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110"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125730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6" w:lineRule="exact"/>
        <w:rPr>
          <w:sz w:val="24"/>
          <w:szCs w:val="24"/>
          <w:color w:val="auto"/>
        </w:rPr>
      </w:pPr>
    </w:p>
    <w:p>
      <w:pPr>
        <w:ind w:left="1820" w:hanging="844"/>
        <w:spacing w:after="0"/>
        <w:tabs>
          <w:tab w:leader="none" w:pos="18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631825</wp:posOffset>
            </wp:positionH>
            <wp:positionV relativeFrom="paragraph">
              <wp:posOffset>-128270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1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1800" w:hanging="840"/>
        <w:spacing w:after="0"/>
        <w:tabs>
          <w:tab w:leader="none" w:pos="18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621665</wp:posOffset>
            </wp:positionH>
            <wp:positionV relativeFrom="paragraph">
              <wp:posOffset>-129540</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25" w:lineRule="exact"/>
        <w:rPr>
          <w:sz w:val="24"/>
          <w:szCs w:val="24"/>
          <w:color w:val="auto"/>
        </w:rPr>
      </w:pPr>
    </w:p>
    <w:p>
      <w:pPr>
        <w:ind w:left="3640"/>
        <w:spacing w:after="0"/>
        <w:tabs>
          <w:tab w:leader="none" w:pos="6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3792220</wp:posOffset>
            </wp:positionH>
            <wp:positionV relativeFrom="paragraph">
              <wp:posOffset>-7620</wp:posOffset>
            </wp:positionV>
            <wp:extent cx="780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3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Commission File Number 1-00087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120015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9"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EASTMAN KODAK COMPANY</w:t>
      </w:r>
    </w:p>
    <w:p>
      <w:pPr>
        <w:spacing w:after="0" w:line="3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9"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640" w:type="dxa"/>
            <w:vAlign w:val="bottom"/>
          </w:tcPr>
          <w:p>
            <w:pPr>
              <w:jc w:val="center"/>
              <w:ind w:left="199"/>
              <w:spacing w:after="0"/>
              <w:rPr>
                <w:sz w:val="20"/>
                <w:szCs w:val="20"/>
                <w:color w:val="auto"/>
              </w:rPr>
            </w:pPr>
            <w:r>
              <w:rPr>
                <w:rFonts w:ascii="Arial" w:cs="Arial" w:eastAsia="Arial" w:hAnsi="Arial"/>
                <w:sz w:val="18"/>
                <w:szCs w:val="18"/>
                <w:b w:val="1"/>
                <w:bCs w:val="1"/>
                <w:color w:val="auto"/>
                <w:w w:val="98"/>
              </w:rPr>
              <w:t>NEW JERSEY</w:t>
            </w:r>
          </w:p>
        </w:tc>
        <w:tc>
          <w:tcPr>
            <w:tcW w:w="2240" w:type="dxa"/>
            <w:vAlign w:val="bottom"/>
            <w:tcBorders>
              <w:top w:val="single" w:sz="8" w:color="auto"/>
            </w:tcBorders>
          </w:tcPr>
          <w:p>
            <w:pPr>
              <w:spacing w:after="0"/>
              <w:rPr>
                <w:sz w:val="20"/>
                <w:szCs w:val="20"/>
                <w:color w:val="auto"/>
              </w:rPr>
            </w:pPr>
          </w:p>
        </w:tc>
        <w:tc>
          <w:tcPr>
            <w:tcW w:w="2800" w:type="dxa"/>
            <w:vAlign w:val="bottom"/>
          </w:tcPr>
          <w:p>
            <w:pPr>
              <w:jc w:val="right"/>
              <w:ind w:right="539"/>
              <w:spacing w:after="0"/>
              <w:rPr>
                <w:sz w:val="20"/>
                <w:szCs w:val="20"/>
                <w:color w:val="auto"/>
              </w:rPr>
            </w:pPr>
            <w:r>
              <w:rPr>
                <w:rFonts w:ascii="Arial" w:cs="Arial" w:eastAsia="Arial" w:hAnsi="Arial"/>
                <w:sz w:val="18"/>
                <w:szCs w:val="18"/>
                <w:b w:val="1"/>
                <w:bCs w:val="1"/>
                <w:color w:val="auto"/>
              </w:rPr>
              <w:t>16-0417150</w:t>
            </w:r>
          </w:p>
        </w:tc>
      </w:tr>
      <w:tr>
        <w:trPr>
          <w:trHeight w:val="186"/>
        </w:trPr>
        <w:tc>
          <w:tcPr>
            <w:tcW w:w="588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3"/>
              </w:rPr>
              <w:t>(State of incorporation)</w:t>
            </w:r>
          </w:p>
        </w:tc>
        <w:tc>
          <w:tcPr>
            <w:tcW w:w="2800" w:type="dxa"/>
            <w:vAlign w:val="bottom"/>
          </w:tcPr>
          <w:p>
            <w:pPr>
              <w:jc w:val="center"/>
              <w:ind w:left="61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23"/>
        </w:trPr>
        <w:tc>
          <w:tcPr>
            <w:tcW w:w="588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97"/>
              </w:rPr>
              <w:t>343 STATE STREET, ROCHESTER, NEW YORK</w:t>
            </w:r>
          </w:p>
        </w:tc>
        <w:tc>
          <w:tcPr>
            <w:tcW w:w="2800" w:type="dxa"/>
            <w:vAlign w:val="bottom"/>
          </w:tcPr>
          <w:p>
            <w:pPr>
              <w:jc w:val="right"/>
              <w:ind w:right="739"/>
              <w:spacing w:after="0"/>
              <w:rPr>
                <w:sz w:val="20"/>
                <w:szCs w:val="20"/>
                <w:color w:val="auto"/>
              </w:rPr>
            </w:pPr>
            <w:r>
              <w:rPr>
                <w:rFonts w:ascii="Arial" w:cs="Arial" w:eastAsia="Arial" w:hAnsi="Arial"/>
                <w:sz w:val="18"/>
                <w:szCs w:val="18"/>
                <w:b w:val="1"/>
                <w:bCs w:val="1"/>
                <w:color w:val="auto"/>
              </w:rPr>
              <w:t>14650</w:t>
            </w:r>
          </w:p>
        </w:tc>
      </w:tr>
      <w:tr>
        <w:trPr>
          <w:trHeight w:val="190"/>
        </w:trPr>
        <w:tc>
          <w:tcPr>
            <w:tcW w:w="588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0" w:type="dxa"/>
            <w:vAlign w:val="bottom"/>
          </w:tcPr>
          <w:p>
            <w:pPr>
              <w:jc w:val="center"/>
              <w:ind w:left="619"/>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120015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5"/>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8"/>
        </w:trPr>
        <w:tc>
          <w:tcPr>
            <w:tcW w:w="4600" w:type="dxa"/>
            <w:vAlign w:val="bottom"/>
            <w:gridSpan w:val="5"/>
          </w:tcPr>
          <w:p>
            <w:pPr>
              <w:jc w:val="center"/>
              <w:ind w:right="1260"/>
              <w:spacing w:after="0"/>
              <w:rPr>
                <w:sz w:val="20"/>
                <w:szCs w:val="20"/>
                <w:color w:val="auto"/>
              </w:rPr>
            </w:pPr>
            <w:r>
              <w:rPr>
                <w:rFonts w:ascii="Arial" w:cs="Arial" w:eastAsia="Arial" w:hAnsi="Arial"/>
                <w:sz w:val="18"/>
                <w:szCs w:val="18"/>
                <w:color w:val="auto"/>
                <w:w w:val="90"/>
              </w:rPr>
              <w:t>Title of each class</w:t>
            </w:r>
          </w:p>
        </w:tc>
        <w:tc>
          <w:tcPr>
            <w:tcW w:w="21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Trading Symbol (s)</w:t>
            </w:r>
          </w:p>
        </w:tc>
        <w:tc>
          <w:tcPr>
            <w:tcW w:w="392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Name of each exchange on which registered</w:t>
            </w:r>
          </w:p>
        </w:tc>
      </w:tr>
      <w:tr>
        <w:trPr>
          <w:trHeight w:val="439"/>
        </w:trPr>
        <w:tc>
          <w:tcPr>
            <w:tcW w:w="10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3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r>
      <w:tr>
        <w:trPr>
          <w:trHeight w:val="237"/>
        </w:trPr>
        <w:tc>
          <w:tcPr>
            <w:tcW w:w="4600" w:type="dxa"/>
            <w:vAlign w:val="bottom"/>
            <w:gridSpan w:val="5"/>
          </w:tcPr>
          <w:p>
            <w:pPr>
              <w:jc w:val="center"/>
              <w:ind w:right="1280"/>
              <w:spacing w:after="0"/>
              <w:rPr>
                <w:sz w:val="20"/>
                <w:szCs w:val="20"/>
                <w:color w:val="auto"/>
              </w:rPr>
            </w:pPr>
            <w:r>
              <w:rPr>
                <w:rFonts w:ascii="Arial" w:cs="Arial" w:eastAsia="Arial" w:hAnsi="Arial"/>
                <w:sz w:val="18"/>
                <w:szCs w:val="18"/>
                <w:color w:val="auto"/>
                <w:w w:val="89"/>
              </w:rPr>
              <w:t>Common stock, par value $0.01 per share</w:t>
            </w:r>
          </w:p>
        </w:tc>
        <w:tc>
          <w:tcPr>
            <w:tcW w:w="2120" w:type="dxa"/>
            <w:vAlign w:val="bottom"/>
            <w:gridSpan w:val="2"/>
          </w:tcPr>
          <w:p>
            <w:pPr>
              <w:jc w:val="center"/>
              <w:ind w:right="720"/>
              <w:spacing w:after="0"/>
              <w:rPr>
                <w:sz w:val="20"/>
                <w:szCs w:val="20"/>
                <w:color w:val="auto"/>
              </w:rPr>
            </w:pPr>
            <w:r>
              <w:rPr>
                <w:rFonts w:ascii="Arial" w:cs="Arial" w:eastAsia="Arial" w:hAnsi="Arial"/>
                <w:sz w:val="18"/>
                <w:szCs w:val="18"/>
                <w:color w:val="auto"/>
              </w:rPr>
              <w:t>KODK</w:t>
            </w:r>
          </w:p>
        </w:tc>
        <w:tc>
          <w:tcPr>
            <w:tcW w:w="7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9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0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See the definitions of “large accelerated filer,” “accelerated filer” “smaller reporting company” and “emerging growth company in Rule 12b-2 of the Exchange Act.</w:t>
      </w:r>
    </w:p>
    <w:p>
      <w:pPr>
        <w:spacing w:after="0" w:line="165"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1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41"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520"/>
        <w:spacing w:after="0" w:line="31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3, 2020, the registrant had 75,684,110 shares of common stock, par value $0.01 per share, outstanding.</w:t>
      </w:r>
    </w:p>
    <w:p>
      <w:pPr>
        <w:spacing w:after="0" w:line="20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520" w:top="661"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2020</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260"/>
          </w:cols>
          <w:pgMar w:left="320" w:top="36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Item 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Item 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84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Part I.—Financial Information</w:t>
            </w:r>
          </w:p>
        </w:tc>
        <w:tc>
          <w:tcPr>
            <w:tcW w:w="1700" w:type="dxa"/>
            <w:vAlign w:val="bottom"/>
          </w:tcPr>
          <w:p>
            <w:pPr>
              <w:ind w:left="14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1"/>
        </w:trPr>
        <w:tc>
          <w:tcPr>
            <w:tcW w:w="784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78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 of Operations (Unaudited)</w:t>
              </w:r>
            </w:hyperlink>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 of Comprehensive (Loss) Income (Unaudited)</w:t>
              </w:r>
            </w:hyperlink>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 of Financial Position (Unaudited)</w:t>
              </w:r>
            </w:hyperlink>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 of Cash Flows (Unaudited)</w:t>
              </w:r>
            </w:hyperlink>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 of Equity (Deficit) (Unaudited)</w:t>
              </w:r>
            </w:hyperlink>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Financial Statements (Unaudited)</w:t>
              </w:r>
            </w:hyperlink>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Management’s Discussion and Analysis of Financial Condition and Results of Operations</w:t>
              </w:r>
            </w:hyperlink>
          </w:p>
        </w:tc>
        <w:tc>
          <w:tcPr>
            <w:tcW w:w="1700" w:type="dxa"/>
            <w:vAlign w:val="bottom"/>
          </w:tcPr>
          <w:p>
            <w:pPr>
              <w:jc w:val="center"/>
              <w:ind w:left="1432"/>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Liquidity and Capital Resources</w:t>
              </w:r>
            </w:hyperlink>
          </w:p>
        </w:tc>
        <w:tc>
          <w:tcPr>
            <w:tcW w:w="1700" w:type="dxa"/>
            <w:vAlign w:val="bottom"/>
          </w:tcPr>
          <w:p>
            <w:pPr>
              <w:jc w:val="center"/>
              <w:ind w:left="1432"/>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43"/>
        </w:trPr>
        <w:tc>
          <w:tcPr>
            <w:tcW w:w="78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Controls and Procedures</w:t>
              </w:r>
            </w:hyperlink>
          </w:p>
        </w:tc>
        <w:tc>
          <w:tcPr>
            <w:tcW w:w="1700" w:type="dxa"/>
            <w:vAlign w:val="bottom"/>
          </w:tcPr>
          <w:p>
            <w:pPr>
              <w:jc w:val="center"/>
              <w:ind w:left="1432"/>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ectPr>
          <w:pgSz w:w="11900" w:h="16838" w:orient="portrait"/>
          <w:cols w:equalWidth="0" w:num="2">
            <w:col w:w="520" w:space="200"/>
            <w:col w:w="10540"/>
          </w:cols>
          <w:pgMar w:left="320" w:top="364" w:right="31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0" w:type="dxa"/>
            <w:vAlign w:val="bottom"/>
          </w:tcPr>
          <w:p>
            <w:pPr>
              <w:spacing w:after="0"/>
              <w:rPr>
                <w:sz w:val="20"/>
                <w:szCs w:val="20"/>
                <w:color w:val="auto"/>
              </w:rPr>
            </w:pPr>
            <w:r>
              <w:rPr>
                <w:rFonts w:ascii="Arial" w:cs="Arial" w:eastAsia="Arial" w:hAnsi="Arial"/>
                <w:sz w:val="18"/>
                <w:szCs w:val="18"/>
                <w:color w:val="auto"/>
              </w:rPr>
              <w:t>Item 1.</w:t>
            </w:r>
          </w:p>
        </w:tc>
        <w:tc>
          <w:tcPr>
            <w:tcW w:w="4600" w:type="dxa"/>
            <w:vAlign w:val="bottom"/>
          </w:tcPr>
          <w:p>
            <w:pPr>
              <w:ind w:left="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Legal Proceedings</w:t>
              </w:r>
            </w:hyperlink>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48</w:t>
            </w:r>
          </w:p>
        </w:tc>
      </w:tr>
      <w:tr>
        <w:trPr>
          <w:trHeight w:val="243"/>
        </w:trPr>
        <w:tc>
          <w:tcPr>
            <w:tcW w:w="680" w:type="dxa"/>
            <w:vAlign w:val="bottom"/>
          </w:tcPr>
          <w:p>
            <w:pPr>
              <w:spacing w:after="0"/>
              <w:rPr>
                <w:sz w:val="20"/>
                <w:szCs w:val="20"/>
                <w:color w:val="auto"/>
              </w:rPr>
            </w:pPr>
            <w:r>
              <w:rPr>
                <w:rFonts w:ascii="Arial" w:cs="Arial" w:eastAsia="Arial" w:hAnsi="Arial"/>
                <w:sz w:val="18"/>
                <w:szCs w:val="18"/>
                <w:color w:val="auto"/>
                <w:w w:val="98"/>
              </w:rPr>
              <w:t>Item 1A.</w:t>
            </w:r>
          </w:p>
        </w:tc>
        <w:tc>
          <w:tcPr>
            <w:tcW w:w="4600" w:type="dxa"/>
            <w:vAlign w:val="bottom"/>
          </w:tcPr>
          <w:p>
            <w:pPr>
              <w:ind w:left="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Risk Factors</w:t>
              </w:r>
            </w:hyperlink>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48</w:t>
            </w:r>
          </w:p>
        </w:tc>
      </w:tr>
      <w:tr>
        <w:trPr>
          <w:trHeight w:val="243"/>
        </w:trPr>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4600" w:type="dxa"/>
            <w:vAlign w:val="bottom"/>
          </w:tcPr>
          <w:p>
            <w:pPr>
              <w:ind w:left="40"/>
              <w:spacing w:after="0"/>
              <w:rPr>
                <w:rFonts w:ascii="Arial" w:cs="Arial" w:eastAsia="Arial" w:hAnsi="Arial"/>
                <w:sz w:val="18"/>
                <w:szCs w:val="18"/>
                <w:u w:val="single" w:color="auto"/>
                <w:color w:val="0000EE"/>
                <w:w w:val="93"/>
              </w:rPr>
            </w:pPr>
            <w:hyperlink w:anchor="page49">
              <w:r>
                <w:rPr>
                  <w:rFonts w:ascii="Arial" w:cs="Arial" w:eastAsia="Arial" w:hAnsi="Arial"/>
                  <w:sz w:val="18"/>
                  <w:szCs w:val="18"/>
                  <w:u w:val="single" w:color="auto"/>
                  <w:color w:val="0000EE"/>
                  <w:w w:val="93"/>
                </w:rPr>
                <w:t>Unregistered Sales of Equity Securities and Use of Proceeds</w:t>
              </w:r>
            </w:hyperlink>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49</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Item 6.</w:t>
            </w:r>
          </w:p>
        </w:tc>
        <w:tc>
          <w:tcPr>
            <w:tcW w:w="4600" w:type="dxa"/>
            <w:vAlign w:val="bottom"/>
          </w:tcPr>
          <w:p>
            <w:pPr>
              <w:ind w:left="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Exhibits</w:t>
              </w:r>
            </w:hyperlink>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49</w:t>
            </w:r>
          </w:p>
        </w:tc>
      </w:tr>
      <w:tr>
        <w:trPr>
          <w:trHeight w:val="486"/>
        </w:trPr>
        <w:tc>
          <w:tcPr>
            <w:tcW w:w="680" w:type="dxa"/>
            <w:vAlign w:val="bottom"/>
          </w:tcPr>
          <w:p>
            <w:pPr>
              <w:spacing w:after="0"/>
              <w:rPr>
                <w:sz w:val="24"/>
                <w:szCs w:val="24"/>
                <w:color w:val="auto"/>
              </w:rPr>
            </w:pPr>
          </w:p>
        </w:tc>
        <w:tc>
          <w:tcPr>
            <w:tcW w:w="4600" w:type="dxa"/>
            <w:vAlign w:val="bottom"/>
          </w:tcPr>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Index to Exhibits</w:t>
              </w:r>
            </w:hyperlink>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50</w:t>
            </w:r>
          </w:p>
        </w:tc>
      </w:tr>
      <w:tr>
        <w:trPr>
          <w:trHeight w:val="243"/>
        </w:trPr>
        <w:tc>
          <w:tcPr>
            <w:tcW w:w="680" w:type="dxa"/>
            <w:vAlign w:val="bottom"/>
          </w:tcPr>
          <w:p>
            <w:pPr>
              <w:spacing w:after="0"/>
              <w:rPr>
                <w:sz w:val="21"/>
                <w:szCs w:val="21"/>
                <w:color w:val="auto"/>
              </w:rPr>
            </w:pPr>
          </w:p>
        </w:tc>
        <w:tc>
          <w:tcPr>
            <w:tcW w:w="4600" w:type="dxa"/>
            <w:vAlign w:val="bottom"/>
          </w:tcPr>
          <w:p>
            <w:pPr>
              <w:ind w:left="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Signatures</w:t>
              </w:r>
            </w:hyperlink>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51</w:t>
            </w:r>
          </w:p>
        </w:tc>
      </w:tr>
      <w:tr>
        <w:trPr>
          <w:trHeight w:val="918"/>
        </w:trPr>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980" w:type="dxa"/>
            <w:vAlign w:val="bottom"/>
          </w:tcPr>
          <w:p>
            <w:pPr>
              <w:jc w:val="right"/>
              <w:ind w:right="5450"/>
              <w:spacing w:after="0"/>
              <w:rPr>
                <w:sz w:val="20"/>
                <w:szCs w:val="20"/>
                <w:color w:val="auto"/>
              </w:rPr>
            </w:pPr>
            <w:r>
              <w:rPr>
                <w:rFonts w:ascii="Arial" w:cs="Arial" w:eastAsia="Arial" w:hAnsi="Arial"/>
                <w:sz w:val="18"/>
                <w:szCs w:val="18"/>
                <w:color w:val="auto"/>
              </w:rPr>
              <w:t>[2]</w:t>
            </w:r>
          </w:p>
        </w:tc>
      </w:tr>
      <w:tr>
        <w:trPr>
          <w:trHeight w:val="115"/>
        </w:trPr>
        <w:tc>
          <w:tcPr>
            <w:tcW w:w="6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2580" w:type="dxa"/>
            <w:vAlign w:val="bottom"/>
            <w:gridSpan w:val="5"/>
            <w:vMerge w:val="restart"/>
          </w:tcPr>
          <w:p>
            <w:pPr>
              <w:jc w:val="right"/>
              <w:ind w:right="187"/>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5"/>
            <w:vMerge w:val="restart"/>
          </w:tcPr>
          <w:p>
            <w:pPr>
              <w:jc w:val="right"/>
              <w:ind w:right="9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4740" w:type="dxa"/>
            <w:vAlign w:val="bottom"/>
          </w:tcPr>
          <w:p>
            <w:pPr>
              <w:spacing w:after="0"/>
              <w:rPr>
                <w:sz w:val="19"/>
                <w:szCs w:val="19"/>
                <w:color w:val="auto"/>
              </w:rPr>
            </w:pPr>
          </w:p>
        </w:tc>
        <w:tc>
          <w:tcPr>
            <w:tcW w:w="2580" w:type="dxa"/>
            <w:vAlign w:val="bottom"/>
            <w:gridSpan w:val="5"/>
            <w:vMerge w:val="continue"/>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67"/>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9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Sales</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9"/>
                <w:szCs w:val="19"/>
                <w:color w:val="auto"/>
              </w:rPr>
            </w:pPr>
          </w:p>
        </w:tc>
        <w:tc>
          <w:tcPr>
            <w:tcW w:w="104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Sales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revenues</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9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Loss from continuing operations before interest expense,</w:t>
            </w: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pension income excluding service cost component,</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other charges (income), net and income taxes</w:t>
            </w:r>
          </w:p>
        </w:tc>
        <w:tc>
          <w:tcPr>
            <w:tcW w:w="9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9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 charges (income), net</w:t>
            </w: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(Loss) income from continuing operations before</w:t>
            </w: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9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9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 net of</w:t>
            </w: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9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740" w:type="dxa"/>
            <w:vAlign w:val="bottom"/>
          </w:tcPr>
          <w:p>
            <w:pPr>
              <w:spacing w:after="0"/>
              <w:rPr>
                <w:sz w:val="20"/>
                <w:szCs w:val="20"/>
                <w:color w:val="auto"/>
              </w:rPr>
            </w:pPr>
            <w:r>
              <w:rPr>
                <w:rFonts w:ascii="Arial" w:cs="Arial" w:eastAsia="Arial" w:hAnsi="Arial"/>
                <w:sz w:val="18"/>
                <w:szCs w:val="18"/>
                <w:color w:val="auto"/>
              </w:rPr>
              <w:t>Net (loss) income</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22"/>
                <w:szCs w:val="22"/>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Basic and diluted (loss) income per share attributable to</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920" w:type="dxa"/>
            <w:vAlign w:val="bottom"/>
            <w:shd w:val="clear" w:color="auto" w:fill="CFF0FC"/>
          </w:tcPr>
          <w:p>
            <w:pPr>
              <w:jc w:val="right"/>
              <w:ind w:right="761"/>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(0.23)</w:t>
            </w:r>
          </w:p>
        </w:tc>
        <w:tc>
          <w:tcPr>
            <w:tcW w:w="104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(0.25)</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(2.88)</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9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jc w:val="right"/>
              <w:ind w:right="761"/>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(0.23)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Number of common shares used in basic and diluted net</w:t>
            </w: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per share</w:t>
            </w:r>
          </w:p>
        </w:tc>
        <w:tc>
          <w:tcPr>
            <w:tcW w:w="9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 INCOME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224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6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w w:val="99"/>
              </w:rPr>
              <w:t>June 30,</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860" w:type="dxa"/>
            <w:vAlign w:val="bottom"/>
            <w:shd w:val="clear" w:color="auto" w:fill="CFF0FC"/>
          </w:tcPr>
          <w:p>
            <w:pPr>
              <w:jc w:val="right"/>
              <w:ind w:right="698"/>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8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8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86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 of allowances of $12 and $8, respectively</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 current portion</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 held for sale</w:t>
            </w: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 of accumulated depreciation of $418 and $423,</w:t>
            </w: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1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Goodwill</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12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1,160</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1"/>
        </w:trPr>
        <w:tc>
          <w:tcPr>
            <w:tcW w:w="7720" w:type="dxa"/>
            <w:vAlign w:val="bottom"/>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(DEFICIT)</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trade</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leases, net of current portion</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1,004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w w:val="94"/>
              </w:rPr>
              <w:t>Redeemable, convertible Series A preferred stock, no par value, $100 per share liquidation preference</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1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w:t>
            </w:r>
          </w:p>
        </w:tc>
        <w:tc>
          <w:tcPr>
            <w:tcW w:w="1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1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(deficit) equity</w:t>
            </w:r>
          </w:p>
        </w:tc>
        <w:tc>
          <w:tcPr>
            <w:tcW w:w="1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FF0FC"/>
            </w:tcBorders>
          </w:tcPr>
          <w:p>
            <w:pPr>
              <w:spacing w:after="0"/>
              <w:rPr>
                <w:sz w:val="19"/>
                <w:szCs w:val="19"/>
                <w:color w:val="auto"/>
              </w:rPr>
            </w:pPr>
          </w:p>
        </w:tc>
      </w:tr>
      <w:tr>
        <w:trPr>
          <w:trHeight w:val="205"/>
        </w:trPr>
        <w:tc>
          <w:tcPr>
            <w:tcW w:w="77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1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(DEFICIT)</w:t>
            </w: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1,160</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67"/>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6"/>
                <w:szCs w:val="16"/>
                <w:color w:val="auto"/>
              </w:rPr>
              <w:t>(in millions)</w:t>
            </w:r>
          </w:p>
        </w:tc>
        <w:tc>
          <w:tcPr>
            <w:tcW w:w="4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8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(116)</w:t>
            </w: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Pension income</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5"/>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embedded derivatives in the Series A Preferred Stock and</w:t>
            </w: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Convertible Notes</w:t>
            </w:r>
          </w:p>
        </w:tc>
        <w:tc>
          <w:tcPr>
            <w:tcW w:w="4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Net gain on sales of assets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Stock based compensation</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deferred income taxes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Decrease in trade receivables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inventories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(Decrease) increase in trade payables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items, net</w:t>
            </w:r>
          </w:p>
        </w:tc>
        <w:tc>
          <w:tcPr>
            <w:tcW w:w="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adjustments</w:t>
            </w:r>
          </w:p>
        </w:tc>
        <w:tc>
          <w:tcPr>
            <w:tcW w:w="4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Additions to properties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sales of assets/businesses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proceeds from return on equity investment</w:t>
            </w:r>
          </w:p>
        </w:tc>
        <w:tc>
          <w:tcPr>
            <w:tcW w:w="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provided by investing activities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Term Credit Agreement</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Proceeds from Convertible Notes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borrowings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Repayment of finance leases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dividend payments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Payment of contingent consideration related to the sale of a business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02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decrease in cash, cash equivalents, restricted cash and cash in assets held for sale</w:t>
            </w:r>
          </w:p>
        </w:tc>
        <w:tc>
          <w:tcPr>
            <w:tcW w:w="4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0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Cash, cash equivalents, restricted cash and cash in assets held for sale, beginning of period</w:t>
            </w:r>
          </w:p>
        </w:tc>
        <w:tc>
          <w:tcPr>
            <w:tcW w:w="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restricted cash and cash in assets held for sale, end of period</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7"/>
                <w:szCs w:val="17"/>
                <w:b w:val="1"/>
                <w:bCs w:val="1"/>
                <w:color w:val="auto"/>
                <w:w w:val="92"/>
              </w:rPr>
              <w:t>Six-Month Period Ending June 30, 2020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12"/>
          </w:tcPr>
          <w:p>
            <w:pPr>
              <w:ind w:left="140"/>
              <w:spacing w:after="0"/>
              <w:rPr>
                <w:sz w:val="20"/>
                <w:szCs w:val="20"/>
                <w:color w:val="auto"/>
              </w:rPr>
            </w:pPr>
            <w:r>
              <w:rPr>
                <w:rFonts w:ascii="Arial" w:cs="Arial" w:eastAsia="Arial" w:hAnsi="Arial"/>
                <w:sz w:val="17"/>
                <w:szCs w:val="17"/>
                <w:b w:val="1"/>
                <w:bCs w:val="1"/>
                <w:color w:val="auto"/>
              </w:rPr>
              <w:t>Eastman Kodak Company Common Shareholders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2"/>
              </w:rPr>
              <w:t>Series A</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Redeemable</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Convertible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Common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Paid in</w:t>
            </w:r>
          </w:p>
        </w:tc>
        <w:tc>
          <w:tcPr>
            <w:tcW w:w="10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7"/>
              </w:rPr>
              <w:t>Accumulated</w:t>
            </w:r>
          </w:p>
        </w:tc>
        <w:tc>
          <w:tcPr>
            <w:tcW w:w="1200" w:type="dxa"/>
            <w:vAlign w:val="bottom"/>
            <w:gridSpan w:val="4"/>
          </w:tcPr>
          <w:p>
            <w:pPr>
              <w:ind w:left="80"/>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Treasury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b w:val="1"/>
                <w:bCs w:val="1"/>
                <w:color w:val="auto"/>
              </w:rPr>
              <w:t>Stock</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Capital</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5"/>
              </w:rPr>
              <w:t>Loss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December 31, 2019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w w:val="95"/>
              </w:rPr>
              <w:t>Other comprehensive (loss) income (net of tax):</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4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7"/>
                <w:szCs w:val="17"/>
                <w:color w:val="auto"/>
              </w:rPr>
              <w:t>Series A preferred stock cash dividends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 dividends</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Stock-based compensation</w:t>
            </w:r>
          </w:p>
        </w:tc>
        <w:tc>
          <w:tcPr>
            <w:tcW w:w="1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March 31, 2020</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loss</w:t>
            </w: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w w:val="95"/>
              </w:rPr>
              <w:t>Other comprehensive (loss) income (net of tax):</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4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440" w:type="dxa"/>
            <w:vAlign w:val="bottom"/>
          </w:tcPr>
          <w:p>
            <w:pPr>
              <w:spacing w:after="0"/>
              <w:rPr>
                <w:sz w:val="20"/>
                <w:szCs w:val="20"/>
                <w:color w:val="auto"/>
              </w:rPr>
            </w:pPr>
            <w:r>
              <w:rPr>
                <w:rFonts w:ascii="Arial" w:cs="Arial" w:eastAsia="Arial" w:hAnsi="Arial"/>
                <w:sz w:val="17"/>
                <w:szCs w:val="17"/>
                <w:color w:val="auto"/>
              </w:rPr>
              <w:t>Series A preferred stock cash</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4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7"/>
                <w:szCs w:val="17"/>
                <w:color w:val="auto"/>
              </w:rPr>
              <w:t>Equity (deficit) as of June 30, 2020</w:t>
            </w:r>
          </w:p>
        </w:tc>
        <w:tc>
          <w:tcPr>
            <w:tcW w:w="1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20" w:type="dxa"/>
            <w:vAlign w:val="bottom"/>
          </w:tcPr>
          <w:p>
            <w:pPr>
              <w:jc w:val="right"/>
              <w:ind w:right="542"/>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595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(195)</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(421)</w:t>
            </w:r>
          </w:p>
        </w:tc>
        <w:tc>
          <w:tcPr>
            <w:tcW w:w="2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vMerge w:val="continue"/>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 (cont’d)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7"/>
                <w:szCs w:val="17"/>
                <w:b w:val="1"/>
                <w:bCs w:val="1"/>
                <w:color w:val="auto"/>
                <w:w w:val="92"/>
              </w:rPr>
              <w:t>Six-Month Period Ending June 30, 2019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12"/>
          </w:tcPr>
          <w:p>
            <w:pPr>
              <w:ind w:left="140"/>
              <w:spacing w:after="0"/>
              <w:rPr>
                <w:sz w:val="20"/>
                <w:szCs w:val="20"/>
                <w:color w:val="auto"/>
              </w:rPr>
            </w:pPr>
            <w:r>
              <w:rPr>
                <w:rFonts w:ascii="Arial" w:cs="Arial" w:eastAsia="Arial" w:hAnsi="Arial"/>
                <w:sz w:val="17"/>
                <w:szCs w:val="17"/>
                <w:b w:val="1"/>
                <w:bCs w:val="1"/>
                <w:color w:val="auto"/>
              </w:rPr>
              <w:t>Eastman Kodak Company Common Shareholders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2"/>
              </w:rPr>
              <w:t>Series A</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Redeemable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Convertible</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Common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Paid in</w:t>
            </w:r>
          </w:p>
        </w:tc>
        <w:tc>
          <w:tcPr>
            <w:tcW w:w="10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7"/>
              </w:rPr>
              <w:t>Accumulated</w:t>
            </w:r>
          </w:p>
        </w:tc>
        <w:tc>
          <w:tcPr>
            <w:tcW w:w="1200" w:type="dxa"/>
            <w:vAlign w:val="bottom"/>
            <w:gridSpan w:val="4"/>
          </w:tcPr>
          <w:p>
            <w:pPr>
              <w:ind w:left="80"/>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Treasury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61"/>
        </w:trPr>
        <w:tc>
          <w:tcPr>
            <w:tcW w:w="3440" w:type="dxa"/>
            <w:vAlign w:val="bottom"/>
            <w:vMerge w:val="restart"/>
          </w:tcPr>
          <w:p>
            <w:pPr>
              <w:spacing w:after="0"/>
              <w:rPr>
                <w:sz w:val="20"/>
                <w:szCs w:val="20"/>
                <w:color w:val="auto"/>
              </w:rPr>
            </w:pPr>
            <w:r>
              <w:rPr>
                <w:rFonts w:ascii="Arial" w:cs="Arial" w:eastAsia="Arial" w:hAnsi="Arial"/>
                <w:sz w:val="17"/>
                <w:szCs w:val="17"/>
                <w:color w:val="auto"/>
              </w:rPr>
              <w:t>Equity (deficit) as of December 31, 2018</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b w:val="1"/>
                <w:bCs w:val="1"/>
                <w:color w:val="auto"/>
              </w:rPr>
              <w:t>Stock</w:t>
            </w:r>
          </w:p>
        </w:tc>
        <w:tc>
          <w:tcPr>
            <w:tcW w:w="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5"/>
              </w:rPr>
              <w:t>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542"/>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617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(411)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7"/>
                <w:szCs w:val="17"/>
                <w:color w:val="auto"/>
                <w:w w:val="95"/>
              </w:rPr>
              <w:t>Other comprehensive (loss) income (net of tax):</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Currency translation adjustments</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44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40" w:type="dxa"/>
            <w:vAlign w:val="bottom"/>
          </w:tcPr>
          <w:p>
            <w:pPr>
              <w:ind w:left="380"/>
              <w:spacing w:after="0"/>
              <w:rPr>
                <w:sz w:val="20"/>
                <w:szCs w:val="20"/>
                <w:color w:val="auto"/>
              </w:rPr>
            </w:pPr>
            <w:r>
              <w:rPr>
                <w:rFonts w:ascii="Arial" w:cs="Arial" w:eastAsia="Arial" w:hAnsi="Arial"/>
                <w:sz w:val="17"/>
                <w:szCs w:val="17"/>
                <w:color w:val="auto"/>
              </w:rPr>
              <w:t>liability adjustments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 dividends</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7"/>
                <w:szCs w:val="17"/>
                <w:color w:val="auto"/>
              </w:rPr>
              <w:t>Series A preferred stock deemed dividends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440" w:type="dxa"/>
            <w:vAlign w:val="bottom"/>
          </w:tcPr>
          <w:p>
            <w:pPr>
              <w:spacing w:after="0"/>
              <w:rPr>
                <w:sz w:val="20"/>
                <w:szCs w:val="20"/>
                <w:color w:val="auto"/>
              </w:rPr>
            </w:pPr>
            <w:r>
              <w:rPr>
                <w:rFonts w:ascii="Arial" w:cs="Arial" w:eastAsia="Arial" w:hAnsi="Arial"/>
                <w:sz w:val="17"/>
                <w:szCs w:val="17"/>
                <w:color w:val="auto"/>
              </w:rPr>
              <w:t>Prior period adjustment due to adoption</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4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of ASU 2016-02</w:t>
            </w:r>
          </w:p>
        </w:tc>
        <w:tc>
          <w:tcPr>
            <w:tcW w:w="1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March 31, 2019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income</w:t>
            </w: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 (net of tax):</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4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440" w:type="dxa"/>
            <w:vAlign w:val="bottom"/>
          </w:tcPr>
          <w:p>
            <w:pPr>
              <w:spacing w:after="0"/>
              <w:rPr>
                <w:sz w:val="20"/>
                <w:szCs w:val="20"/>
                <w:color w:val="auto"/>
              </w:rPr>
            </w:pPr>
            <w:r>
              <w:rPr>
                <w:rFonts w:ascii="Arial" w:cs="Arial" w:eastAsia="Arial" w:hAnsi="Arial"/>
                <w:sz w:val="17"/>
                <w:szCs w:val="17"/>
                <w:color w:val="auto"/>
              </w:rPr>
              <w:t>Series A preferred stock cash</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4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Stock-based compensation</w:t>
            </w:r>
          </w:p>
        </w:tc>
        <w:tc>
          <w:tcPr>
            <w:tcW w:w="1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June 30, 2019</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2019 (the “2019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consolidated interim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and December 31, 2019, Kodak had approximately $180 million and $233 million, respectively, of cash and cash equivalents. $95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and $72 million were held in the United States (“U.S.”) as of June 30, 2020 and December 31, 2019, respectively, and $85 million and $161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held outside the U.S. Cash balances held outside the U.S. are generally required to support local country operations and may have high tax costs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limitations that delay the ability to repatriate, and therefore may not be readily available for transfer to other jurisdictions. Outstanding inter-company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to the U.S. as of June 30, 2020 and December 31, 2019 were $429 million and $408 million, respectively, which includes short-term intercompany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loans from Kodak’s international finance center of $130 million and $110 million as of June 30, 2020 and December 31, 2019, respectively. In China,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where approximately $23 million and $89 million of cash and cash equivalents was held as of June 30, 2020 and December 31, 2019, respectively, there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limitations related to net asset balances that may impact the ability to make cash available to other jurisdictions in the world. On May 12, 2020, a Chinese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of Kodak transferred approximately $70 million to a U.S. subsidiary of Kodak associated with an inter-company transaction. Kodak had a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cash, cash equivalents, restricted cash and cash in assets held for sale of $78 million and $9 million for the six months ended June 30, 2020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2019, respectively, and a net increase in cash, cash equivalents, restricted cash and cash in assets held for sale of $23 million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Kodak used cash of $64 million and $13 million in operating activities for the six months ended June 30, 2020 and 2019,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generated cash from operating activities for the year ended December 31, 2019 of $12 million. Cash flow from operations in 2019 benefitted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improvements and individual transactions that occurred during the year.</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 or prior to the conditions or events that create the going concern risk.</w:t>
      </w:r>
    </w:p>
    <w:p>
      <w:pPr>
        <w:spacing w:after="0" w:line="16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Kodak is facing liquidity challenges due to operating losses, low or negative cash flow from operations and collateral needs. Kodak has $80 million of letters of credit issued under the Amended and Restated Credit Agreement (the “ABL Credit Agreement”) which matures on May 26, 2021. The Company’s 5.50% Series A Convertible Preferred Stock (the “Series A Preferred Stock”) must be redeemed on November 15, 2021 if not converted prior to then. Additionally, Kodak has significant cash requirements to fund ongoing operations, restructuring programs, pension and other postretirement obligations, and other obligations. Kodak’s plans to return to sustainable positive cash flow include growing revenues profitably, reducing operating expenses, continuing to simplify the organizational structure, generating cash from selling and leasing underutilized assets and paring investment in new technology by eliminating or delaying product development programs as needed. Additionally, the Company looks to implement ways to reduce collateral needs in the U.S.</w:t>
      </w:r>
    </w:p>
    <w:p>
      <w:pPr>
        <w:spacing w:after="0" w:line="21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Kodak’s products are sold and serviced in numerous countries across the globe with more than half of sales generated outside the United States. Current global economic conditions are highly volatile due to the COVID-19 pandemic, resulting in market size contractions in many countries due to economic slowdowns and government restrictions on movement. The economic uncertainties surrounding the COVID-19 pandemic are adding complexity to Kodak’s plans to return to sustainable positive cash flow. To mitigate the economic impacts of the pandemic Kodak is employing temporary furloughs and pay reductions and scaling manufacturing volumes due to expectations of reduced demand.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right="60"/>
        <w:spacing w:after="0" w:line="263" w:lineRule="auto"/>
        <w:rPr>
          <w:sz w:val="20"/>
          <w:szCs w:val="20"/>
          <w:color w:val="auto"/>
        </w:rPr>
      </w:pPr>
      <w:r>
        <w:rPr>
          <w:rFonts w:ascii="Arial" w:cs="Arial" w:eastAsia="Arial" w:hAnsi="Arial"/>
          <w:sz w:val="18"/>
          <w:szCs w:val="18"/>
          <w:color w:val="auto"/>
        </w:rPr>
        <w:t>The recent history of negative operating cash flow, maturity of the ABL Credit Agreement in 2021, redemption date in 2021 for the Series A Preferred Stock, increased challenges in managing cash during the COVID-19 pandemic and general lack of certainty regarding the return to positive cash flow raise substantial doubt about Kodak’s ability to continue as a going concern</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July 29, 2020, the Company received conversion notices from holders of the Company’s 5.00% Secured Convertible Notes due 2021 (the “Notes”) exercising their rights to convert an aggregate of $95 million of principal amount of the Notes (the “Converted Notes”) into shares of the Company’s common stock, par value $.01 per share (“Common Stock”). Under the terms of the Notes, the conversion date of the Converted Notes is July 29, 2020 (the “Conversion Date”) and the Company was obligated to deliver an aggregate of 29,922,956 shares of Common Stock (the “Conversion Shares”) to the holders of the Converted Notes within five trading days after the Conversion Date. The Company issued the Conversion Shares on August 3, 2020 and has paid the $5.6 million of accumulated interest on the Converted Notes in cash. As a result, the Company’s obligations under the Converted Notes were fully discharged and the remaining outstanding principal amount of the Notes is $5 million.</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issued stock-based compensation grants for 2.4 million stock options on July 27, 2020. The terms of 1.8 million of the options awarded on July 27, 2020 provide for immediate vesting or vesting upon conversion of the Notes. The terms of 0.6 million of those options provide for vesting terms of between two and three years. As 95% of the Notes were converted on August 3, 2020, 1.7 million of the 1.8 million options with the accelerated vesting terms (all the options which vested immediately and 95% of the of the options that vested upon conversion of the Notes) vested by August 3, 2020. The valuation of the stock options granted on July 27, 2020 could result in material compensation expense being recognized in the three months ended September 30,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due to Kodak’s new organization structure as of January 2020. Refer to Note 22, “Segment Information”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November 2018, the Financial Accounting Standards Board (“FASB”) issued Accounting Standard Update (“ASU”) 2018-18, Collaborative Arrangements (Topic 808): Clarifying the Interaction between Topic 808 and Topic 606.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The new standard is effective for fiscal years, and for interim periods within those fiscal years, beginning after December 15, 2019 (January 1, 2020 for Kodak). The amendments should be applied retrospectively to the date of initial application of Topic 606. Kodak adopted this ASU on January 1, 2020, and it did not have any impact on Kodak’s consolidated financial statements.</w:t>
      </w:r>
    </w:p>
    <w:p>
      <w:pPr>
        <w:spacing w:after="0" w:line="2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September 2018 the FASB issued ASU 2018-13, Fair Value Measurement (Topic 820): Disclosure Framework—Changes to the Disclosure Requirements for Fair Value Measurement, which amends the disclosure requirements in Topic 820 by adding, changing, or removing certain disclosures about recurring or nonrecurring fair value measurements. The additional and/or modified disclosures relate primarily to Level 3 fair value measurements while removing certain disclosures related to transfers between Level 1 and Level 2 of the fair value hierarchy. The ASU is effective retrospectively, for fiscal years beginning after December 15, 2019 (January 1, 2020 for Kodak) and interim periods within those fiscal years. Entities are permitted to early adopt any removed or modified disclosures but can delay adoption of the new disclosures until their effective date. Kodak retrospectively early adopted the provisions of the ASU that removed or modified disclosures in the fourth quarter of 2018 and prospectively adopted the provisions related to new disclosures January 1, 2020. The standard addresses disclosures only and did not have an impact on Kodak’s consolidated financial statements.</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September 2018, the FASB issued ASU 2018-14, Compensation—Retirement Benefits—Defined Benefit Plans—General (Subtopic 715-20): Disclosure Framework—Changes to the Disclosure Requirements for Defined Benefit Plans, which amends the disclosure requirements in ASC 715-20 by adding, clarifying, or removing certain disclosures. ASU 2018-14 requires all entities to disclose (1) the weighted average interest crediting rates for cash balance plans and other plans with promised interest crediting rates, and (2) an explanation of the reasons for significant gains and losses related to changes in the benefit obligation for the period. The ASU also clarifies certain disclosure requirements for entities with two or more defined benefit pension plans when aggregate disclosures are presented. The ASU removes other disclosures from the existing guidance, such as the requirement to disclose the effects of a one-percentage-point change in the assumed health care cost trend rates. The ASU is effective retrospectively for fiscal years ending after December 15, 2020 (the year ended December 31, 2020 for Kodak). Kodak adopted this ASU on January 1, 2020. The standard addresses disclosures only and did not have an impact on Kodak’s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ind w:right="40"/>
        <w:spacing w:after="0" w:line="269"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which addresses how a customer should account for the costs of implementing a cloud computing service arrangement (also referred to as a “hosting arrangement”). Under ASU 2018-15, entities should account for costs associated with implementing a cloud computing arrangement that is considered a service contract in the same way as implementation costs associated with a software license; implementation costs incurred in the application development stage, such as costs for the cloud computing arrangement’s integration with on-premise software, coding, and configuration or customization, should be capitalized and amortized over the term of the cloud computing arrangement, including periods covered by certain renewal options. The ASU is effective in fiscal years beginning after December 15, 2019 (January 1, 2020 for Kodak) including interim periods within those fiscal years. The ASU should be applied either retrospectively or prospectively to all implementation costs incurred after the date of adoption. Kodak adopted this ASU prospectively on January 1, 2020, and it did not have any impact on Kodak’s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which provides optional relief through specific exceptions and practical expedients for transitioning away from reference rates that are expected to be discontinued. The relief generally applies to eligible modifications of contractual terms that change (or have the potential to change) the amount or timing of contractual cash flows related to replacement of a reference rate. The relief allows such modifications to be accounted for as continuations of existing contracts without additional analysis. The optional relief is available from March 2020 through December 31, 2022. Kodak is currently evaluating the impact of this ASU.</w:t>
      </w:r>
    </w:p>
    <w:p>
      <w:pPr>
        <w:spacing w:after="0" w:line="219"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which removes certain exceptions related to intra-period tax allocations and deferred tax accounting on outside basis differences in foreign subsidiaries and equity method investments. Additionally, it provides other simplifying measures for the accounting for income taxes. The new standard is effective for fiscal years beginning after December 15, 2021 (January 1, 2022 for Kodak) with early adoption permitted. Kodak is currently evaluating the impact of this ASU.</w:t>
      </w:r>
    </w:p>
    <w:p>
      <w:pPr>
        <w:spacing w:after="0" w:line="18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ASU 2016-13 (as amended by ASUs 2018-19, 2019-04, 2019-05, 2019-10, 2019-11, 2020-02 and 2020-03)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for smaller reporting companies for fiscal years, and interim periods within those fiscal years, beginning after December 15, 2022, (January 1, 2023 for Kodak). Early adoption is permitted. Kodak is currently evaluating the impact of this ASU.</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Statement of Financial Position that sums to the total of such amounts shown in the Statement of Cash Flows: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120" w:type="dxa"/>
            <w:vAlign w:val="bottom"/>
          </w:tcPr>
          <w:p>
            <w:pPr>
              <w:spacing w:after="0"/>
              <w:rPr>
                <w:sz w:val="20"/>
                <w:szCs w:val="20"/>
                <w:color w:val="auto"/>
              </w:rPr>
            </w:pPr>
            <w:r>
              <w:rPr>
                <w:rFonts w:ascii="Arial" w:cs="Arial" w:eastAsia="Arial" w:hAnsi="Arial"/>
                <w:sz w:val="16"/>
                <w:szCs w:val="16"/>
                <w:color w:val="auto"/>
              </w:rPr>
              <w:t>(in millions)</w:t>
            </w:r>
          </w:p>
        </w:tc>
        <w:tc>
          <w:tcPr>
            <w:tcW w:w="1980" w:type="dxa"/>
            <w:vAlign w:val="bottom"/>
            <w:gridSpan w:val="2"/>
          </w:tcPr>
          <w:p>
            <w:pPr>
              <w:jc w:val="right"/>
              <w:ind w:right="58"/>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7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180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Restricted cash - current portion</w:t>
            </w: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09"/>
        </w:trPr>
        <w:tc>
          <w:tcPr>
            <w:tcW w:w="5120" w:type="dxa"/>
            <w:vAlign w:val="bottom"/>
          </w:tcPr>
          <w:p>
            <w:pPr>
              <w:spacing w:after="0"/>
              <w:rPr>
                <w:sz w:val="20"/>
                <w:szCs w:val="20"/>
                <w:color w:val="auto"/>
              </w:rPr>
            </w:pPr>
            <w:r>
              <w:rPr>
                <w:rFonts w:ascii="Arial" w:cs="Arial" w:eastAsia="Arial" w:hAnsi="Arial"/>
                <w:sz w:val="18"/>
                <w:szCs w:val="18"/>
                <w:color w:val="auto"/>
              </w:rPr>
              <w:t>Total cash, cash equivalents and restricted cash shown in</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the Statement of Cash Flows</w:t>
            </w:r>
          </w:p>
        </w:tc>
        <w:tc>
          <w:tcPr>
            <w:tcW w:w="1980" w:type="dxa"/>
            <w:vAlign w:val="bottom"/>
            <w:gridSpan w:val="2"/>
          </w:tcPr>
          <w:p>
            <w:pPr>
              <w:jc w:val="right"/>
              <w:ind w:right="77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212</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Restricted cash - current portion on the Consolidated Statement of Financial Position primarily represents amounts that support hedging activities. In addition, as of December 31, 2019, it also contained collateral for a guaranty provided to MIR Bidco, SA (the “Purchaser”) who purchased Kodak’s Flexographic Packaging business (“FPD”). On April 16, 2019 the Purchaser of FPD paid Kodak $15 million in the U.S. as a prepayment for transition services and products and services to be provided by Kodak to the Purchaser. Kodak provided a $15 million guaranty, supported by cash collateral in China, to the Purchaser. The Purchaser had the option to satisfy its payment obligations to Kodak through a reduction of the prepayment balance or in cash. When the Purchaser satisfied its payment obligations to Kodak by utilizing its prepayment balance, Kodak followed a guaranty amendment process to reduce the amount of its guaranty and cash collateral supporting the prepayment balance. As of June 30, 2020 and December 31, 2019, the remaining prepayment balance was $0 million and $3 million, respectively, and the cash collateral supporting Kodak’s guaranty was $0 million and $4 million, respectively.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right="40"/>
        <w:spacing w:after="0" w:line="255" w:lineRule="auto"/>
        <w:rPr>
          <w:sz w:val="20"/>
          <w:szCs w:val="20"/>
          <w:color w:val="auto"/>
        </w:rPr>
      </w:pPr>
      <w:r>
        <w:rPr>
          <w:rFonts w:ascii="Arial" w:cs="Arial" w:eastAsia="Arial" w:hAnsi="Arial"/>
          <w:sz w:val="18"/>
          <w:szCs w:val="18"/>
          <w:color w:val="auto"/>
        </w:rPr>
        <w:t>Restricted cash includes $9 million and $22 million as of June 30, 2020 and December 31, 2019, respectively, supporting compliance with the Excess Availability threshold under the ABL Credit Agreement, as defined therein (Refer to Note 8, “Debt and Finance Leases” for information on the decrease in Restricted cash supporting the Excess Availability threshold). In addition, Restricted cash as of both June 30, 2020 and December 31, 2019 includes an escrow of $10 million and $14 million, respectively, in China to secure various ongoing obligations under the agreements for the strategic relationship with Lucky HuaGuang Graphics Co. Ltd. Restricted cash also included $3 million and $5 million of security posted related to Brazilian legal contingencies as of June 30, 2020 and December 31, 2019,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jc w:val="center"/>
              <w:ind w:left="221"/>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74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50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5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Work in process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5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940" w:type="dxa"/>
            <w:vAlign w:val="bottom"/>
            <w:tcBorders>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OTHER LONG-TERM ASSETS</w:t>
            </w: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jc w:val="center"/>
              <w:ind w:left="221"/>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74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50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assets</w:t>
            </w:r>
          </w:p>
        </w:tc>
        <w:tc>
          <w:tcPr>
            <w:tcW w:w="5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225</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Estimated workers' compensation recoveries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Long-term receivables, net of reserve of $4 and $4, respectively</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Series A Preferred Stock embedded conversion option derivative asset</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285</w:t>
            </w:r>
          </w:p>
        </w:tc>
        <w:tc>
          <w:tcPr>
            <w:tcW w:w="2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Other component above consists of other miscellaneous long-term assets that, individually, were less than 5% of the total assets component within the Consolidated Statement of Financial Position as of the end of the preceding year, and therefore have been aggregated in accordance with Regulation S-X.</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goodwill by reportable segment.</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Advanced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Traditional</w:t>
            </w:r>
          </w:p>
        </w:tc>
        <w:tc>
          <w:tcPr>
            <w:tcW w:w="16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Digital</w:t>
            </w:r>
          </w:p>
        </w:tc>
        <w:tc>
          <w:tcPr>
            <w:tcW w:w="22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Materials and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Printing</w:t>
            </w:r>
          </w:p>
        </w:tc>
        <w:tc>
          <w:tcPr>
            <w:tcW w:w="1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Printing</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Chemicals</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2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23"/>
        </w:trPr>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4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9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r>
      <w:tr>
        <w:trPr>
          <w:trHeight w:val="230"/>
        </w:trPr>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impairment losses</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r>
      <w:tr>
        <w:trPr>
          <w:trHeight w:val="223"/>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as of December 31, 2019</w:t>
            </w:r>
          </w:p>
        </w:tc>
        <w:tc>
          <w:tcPr>
            <w:tcW w:w="46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tcPr>
          <w:p>
            <w:pPr>
              <w:spacing w:after="0"/>
              <w:rPr>
                <w:sz w:val="19"/>
                <w:szCs w:val="19"/>
                <w:color w:val="auto"/>
              </w:rPr>
            </w:pPr>
          </w:p>
        </w:tc>
      </w:tr>
      <w:tr>
        <w:trPr>
          <w:trHeight w:val="237"/>
        </w:trPr>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Goodwill reallocation</w:t>
            </w:r>
          </w:p>
        </w:tc>
        <w:tc>
          <w:tcPr>
            <w:tcW w:w="4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96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a result of the change in segments that became effective as of January 1, 2020, Kodak’s goodwill reporting units changed. Refer to Note 22, “Segment Information” for additional information on the change to Kodak’s organizational structure. The Digital Printing segment has three goodwill reporting units: Electrophotographic Printing Solutions; Prosper and Versamark; and Software. The Advanced Materials and Chemicals segment has three goodwill reporting units: Motion Picture and Industrial Films and Chemicals; Advanced Materials and Functional Printing; and Kodak Services for Business. The Traditional Printing segment and Brand segment each have one goodwill reporting unit.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the goodwill balance of $12 million under the prior year segment reporting structure was comprised of $6 million for the Brand, Film and Imaging segment and $6 million for the Kodak Software segment, which had only one reporting unit (Software). The goodwill in the Brand, Film and Imaging segment was reported in the Consumer Products reporting unit.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2" w:name="page13"/>
    <w:bookmarkEnd w:id="12"/>
    <w:p>
      <w:pPr>
        <w:ind w:right="60"/>
        <w:spacing w:after="0" w:line="263" w:lineRule="auto"/>
        <w:rPr>
          <w:sz w:val="20"/>
          <w:szCs w:val="20"/>
          <w:color w:val="auto"/>
        </w:rPr>
      </w:pPr>
      <w:r>
        <w:rPr>
          <w:rFonts w:ascii="Arial" w:cs="Arial" w:eastAsia="Arial" w:hAnsi="Arial"/>
          <w:sz w:val="18"/>
          <w:szCs w:val="18"/>
          <w:color w:val="auto"/>
        </w:rPr>
        <w:t>The goodwill previously reported in the Consumer Products goodwill reporting unit was transferred to the Brand goodwill reporting unit using a relative fair value allocation to affected reporting units. Goodwill previously reported in the Software reporting unit was transferred to the Digital Printing segment where it continues to remain its own reporting unit</w:t>
      </w:r>
      <w:r>
        <w:rPr>
          <w:rFonts w:ascii="Arial" w:cs="Arial" w:eastAsia="Arial" w:hAnsi="Arial"/>
          <w:sz w:val="21"/>
          <w:szCs w:val="21"/>
          <w:color w:val="auto"/>
        </w:rPr>
        <w:t>.</w:t>
      </w:r>
    </w:p>
    <w:p>
      <w:pPr>
        <w:spacing w:after="0" w:line="1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Kodak performed interim tests of impairment for goodwill as of June 30, 2020 due to the continued uncertainty regarding the negative impact of the COVID-19 pandemic on its operations, and as of March 31, 2020, due to the decline in market capitalization as of that date since the last goodwill impairment test (December 31, 2019) and the uncertainty regarding the negative impact of the COVID-19 pandemic at that time. Based on the results of the June 30, 2020 and March 31, 2020 analyses, no impairment of goodwill was indicated. As of June 30, 2020 and March 31, 2020, the Brand reporting unit had negative carrying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by major intangible asset category as of June 30, 2020 and December 31, 2019 were as follows</w:t>
      </w:r>
      <w:r>
        <w:rPr>
          <w:rFonts w:ascii="Arial" w:cs="Arial" w:eastAsia="Arial" w:hAnsi="Arial"/>
          <w:sz w:val="19"/>
          <w:szCs w:val="19"/>
          <w:color w:val="auto"/>
        </w:rPr>
        <w:t>:</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88"/>
              </w:rPr>
              <w:t>June 30, 2020</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05"/>
        </w:trPr>
        <w:tc>
          <w:tcPr>
            <w:tcW w:w="4620" w:type="dxa"/>
            <w:vAlign w:val="bottom"/>
          </w:tcPr>
          <w:p>
            <w:pPr>
              <w:spacing w:after="0"/>
              <w:rPr>
                <w:sz w:val="17"/>
                <w:szCs w:val="17"/>
                <w:color w:val="auto"/>
              </w:rPr>
            </w:pPr>
          </w:p>
        </w:tc>
        <w:tc>
          <w:tcPr>
            <w:tcW w:w="142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Gross Carrying</w:t>
            </w:r>
          </w:p>
        </w:tc>
        <w:tc>
          <w:tcPr>
            <w:tcW w:w="1260" w:type="dxa"/>
            <w:vAlign w:val="bottom"/>
            <w:gridSpan w:val="3"/>
          </w:tcPr>
          <w:p>
            <w:pPr>
              <w:ind w:left="20"/>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Weighted-Average</w:t>
            </w:r>
          </w:p>
        </w:tc>
      </w:tr>
      <w:tr>
        <w:trPr>
          <w:trHeight w:val="234"/>
        </w:trPr>
        <w:tc>
          <w:tcPr>
            <w:tcW w:w="4620" w:type="dxa"/>
            <w:vAlign w:val="bottom"/>
          </w:tcPr>
          <w:p>
            <w:pPr>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8"/>
                <w:szCs w:val="18"/>
                <w:b w:val="1"/>
                <w:bCs w:val="1"/>
                <w:color w:val="auto"/>
              </w:rPr>
              <w:t>Net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 Period</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center"/>
              <w:ind w:right="541"/>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Kodak trade name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years</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54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0"/>
              </w:rPr>
              <w:t>December 31, 2019</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05"/>
        </w:trPr>
        <w:tc>
          <w:tcPr>
            <w:tcW w:w="4620" w:type="dxa"/>
            <w:vAlign w:val="bottom"/>
          </w:tcPr>
          <w:p>
            <w:pPr>
              <w:spacing w:after="0"/>
              <w:rPr>
                <w:sz w:val="17"/>
                <w:szCs w:val="17"/>
                <w:color w:val="auto"/>
              </w:rPr>
            </w:pPr>
          </w:p>
        </w:tc>
        <w:tc>
          <w:tcPr>
            <w:tcW w:w="142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Gross Carrying</w:t>
            </w:r>
          </w:p>
        </w:tc>
        <w:tc>
          <w:tcPr>
            <w:tcW w:w="1260" w:type="dxa"/>
            <w:vAlign w:val="bottom"/>
            <w:gridSpan w:val="3"/>
          </w:tcPr>
          <w:p>
            <w:pPr>
              <w:ind w:left="20"/>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Weighted-Average</w:t>
            </w:r>
          </w:p>
        </w:tc>
      </w:tr>
      <w:tr>
        <w:trPr>
          <w:trHeight w:val="234"/>
        </w:trPr>
        <w:tc>
          <w:tcPr>
            <w:tcW w:w="4620" w:type="dxa"/>
            <w:vAlign w:val="bottom"/>
          </w:tcPr>
          <w:p>
            <w:pPr>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 Period</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center"/>
              <w:ind w:right="62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w:t>
            </w:r>
          </w:p>
        </w:tc>
        <w:tc>
          <w:tcPr>
            <w:tcW w:w="2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Kodak trade name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21</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 years</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621"/>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first quarter of 2020, due to the uncertainty regarding the negative impact of the COVID-19 pandemic at that time, Kodak performed an interim test of impairment for the Kodak trade name. Based on the result of the interim impairment test, Kodak concluded the carrying value of the Kodak trade name exceeded its fair value. Pre-tax impairment charges of $3 million are included in Other operating income, net in the six months ended June 30, 2020 in the Consolidated Statement of Operations.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Kodak also performed an interim test of impairment for the Kodak trade name as of June 30, 2020 due to the continued uncertainty regarding the negative impact of the COVID-19 pandemic. The interim impairment tests of the Kodak trade name used the income approach, specifically the relief from royalty method. Based on the result of the interim impairment test as of June 30, 2020, Kodak concluded the fair value of the Kodak trade name exceeded its’ carrying value resulting in no additional impairment.</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Amortization expense related to intangible assets was $2 million for the three months ended June 30, 2020 and 2019 and $3 million for the six months ended June 30, 2020 and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intangible assets that are currently being amortized as of June 30, 2020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(in millions)</w:t>
            </w: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8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Q3 - Q4 2020</w:t>
            </w:r>
          </w:p>
        </w:tc>
        <w:tc>
          <w:tcPr>
            <w:tcW w:w="29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2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25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shd w:val="clear" w:color="auto" w:fill="CFF0FC"/>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40" w:type="dxa"/>
            <w:vAlign w:val="bottom"/>
            <w:vMerge w:val="restart"/>
          </w:tcPr>
          <w:p>
            <w:pPr>
              <w:jc w:val="right"/>
              <w:ind w:right="1510"/>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2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NOTE 6: OTHER CURRENT LIABILITIES</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1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2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Employee related liabilities</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Customer rebates </w:t>
            </w:r>
            <w:r>
              <w:rPr>
                <w:rFonts w:ascii="Arial" w:cs="Arial" w:eastAsia="Arial" w:hAnsi="Arial"/>
                <w:sz w:val="15"/>
                <w:szCs w:val="15"/>
                <w:color w:val="auto"/>
              </w:rPr>
              <w:t>(1)</w:t>
            </w:r>
          </w:p>
        </w:tc>
        <w:tc>
          <w:tcPr>
            <w:tcW w:w="1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Series A Preferred Stock dividends payable</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Restructuring liabilities</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consideration on disposed businesses </w:t>
            </w:r>
            <w:r>
              <w:rPr>
                <w:rFonts w:ascii="Arial" w:cs="Arial" w:eastAsia="Arial" w:hAnsi="Arial"/>
                <w:sz w:val="15"/>
                <w:szCs w:val="15"/>
                <w:color w:val="auto"/>
              </w:rPr>
              <w:t>(2)</w:t>
            </w:r>
          </w:p>
        </w:tc>
        <w:tc>
          <w:tcPr>
            <w:tcW w:w="1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Transition services agreement prepayment</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(3)</w:t>
            </w:r>
          </w:p>
        </w:tc>
        <w:tc>
          <w:tcPr>
            <w:tcW w:w="13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r>
      <w:tr>
        <w:trPr>
          <w:trHeight w:val="223"/>
        </w:trPr>
        <w:tc>
          <w:tcPr>
            <w:tcW w:w="60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940" w:type="dxa"/>
            <w:vAlign w:val="bottom"/>
            <w:tcBorders>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740" w:right="420" w:hanging="368"/>
        <w:spacing w:after="0" w:line="198" w:lineRule="auto"/>
        <w:tabs>
          <w:tab w:leader="none" w:pos="7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The customer rebate amounts will potentially be settled through customer deductions applied to outstanding trade receivables in lieu of cash payments.</w:t>
      </w:r>
    </w:p>
    <w:p>
      <w:pPr>
        <w:spacing w:after="0" w:line="229" w:lineRule="exact"/>
        <w:rPr>
          <w:rFonts w:ascii="Arial" w:cs="Arial" w:eastAsia="Arial" w:hAnsi="Arial"/>
          <w:sz w:val="29"/>
          <w:szCs w:val="29"/>
          <w:color w:val="auto"/>
          <w:vertAlign w:val="superscript"/>
        </w:rPr>
      </w:pPr>
    </w:p>
    <w:p>
      <w:pPr>
        <w:ind w:left="740" w:hanging="368"/>
        <w:spacing w:after="0" w:line="273" w:lineRule="auto"/>
        <w:tabs>
          <w:tab w:leader="none" w:pos="74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On September 3, 2013, Kodak consummated the sale of certain assets and the assumption of certain liabilities of the Personalized Imaging and Document Imaging Businesses (“PI/DI Businesses”) to the trustee of the U. K. pension plan (and/or its subsidiaries) for net cash consideration of $325 million. Up to $35 million in aggregate of the purchase price was subject to repayment if the PI/DI Business did not achieve certain annual adjusted EBITDA targets over the four-year period ending December 31, 2018. The PI/DI Business did not achieve the adjusted annual EBITDA target for any year in the four-year period. The amounts owed for 2015, 2016 and 2017 were paid in 2016, 2017 and 2019, respectively. The maximum potential payment related to the year ending December 31, 2018 of $14 million was accrued at the time of the divestiture of the business. The Company did not consider the procedural requirements giving rise to the obligation to pay the amount relating to the year ended December 31, 2018 to have been met. The PI/DI Businesses (operating as Kodak Alaris) filed suit against the Company alleging breach of contract based on the failure to pay the $14 million amount with respect to 2018. The Company filed counterclaims seeking contractual penalties related to late payments for goods and services provided by Kodak under various separate agreements. The Company and Kodak Alaris reached a settlement in June 2020 dismissing the actions and all claims and counterclaims asserted against each other and also amended existing supply agreements. As a part of the settlement agreement, $11 million of the deferred consideration on disposed businesses was offset against receivables of $11 million for goods and services owed to the Company by Kodak Alaris. Income of $3 million from the release of the remaining deferred consideration on disposed businesses will be recognized as revenue over the term of the amended supply agreements.</w:t>
      </w:r>
    </w:p>
    <w:p>
      <w:pPr>
        <w:spacing w:after="0" w:line="206" w:lineRule="exact"/>
        <w:rPr>
          <w:rFonts w:ascii="Arial" w:cs="Arial" w:eastAsia="Arial" w:hAnsi="Arial"/>
          <w:sz w:val="26"/>
          <w:szCs w:val="26"/>
          <w:color w:val="auto"/>
          <w:vertAlign w:val="superscript"/>
        </w:rPr>
      </w:pPr>
    </w:p>
    <w:p>
      <w:pPr>
        <w:ind w:left="740" w:right="280" w:hanging="368"/>
        <w:spacing w:after="0" w:line="212" w:lineRule="auto"/>
        <w:tabs>
          <w:tab w:leader="none" w:pos="7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The Other component above consists of other miscellaneous current liabilities that, individually, were less than 5% of the current liabilities component within the Consolidated Statement of Financial Position as of the end of the preceding year, and therefore have been aggregated in accordance with Regulation S-X.</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NOTE 7: OTHER LONG-TERM LIABILITIES</w:t>
            </w: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1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4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3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3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Deferred brand licensing revenue</w:t>
            </w:r>
          </w:p>
        </w:tc>
        <w:tc>
          <w:tcPr>
            <w:tcW w:w="1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Deferred taxes</w:t>
            </w: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liabilities</w:t>
            </w:r>
          </w:p>
        </w:tc>
        <w:tc>
          <w:tcPr>
            <w:tcW w:w="1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Convertible Notes embedded conversion option</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derivative liability</w:t>
            </w: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r>
      <w:tr>
        <w:trPr>
          <w:trHeight w:val="230"/>
        </w:trPr>
        <w:tc>
          <w:tcPr>
            <w:tcW w:w="114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940" w:type="dxa"/>
            <w:vAlign w:val="bottom"/>
            <w:tcBorders>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Other component above consists of other miscellaneous long-term liabilities that, individually, were less than 5% of the total liabilities component within the Consolidated Statement of Financial Position as of the end of the preceding year, and therefore have been aggregated in accordance with Regulation S-X.</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DEBT AND FINANCE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7"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On January 27, 2020 Kodak exercised its right under the ABL Credit Agreement to permanently reduce lender commitments, reducing the commitments from $150 million to $120 million. As a result, the minimum Excess Availability decreased to $15 million from the previous minimum of $18.75 million.</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27, 2020, the Company and the subsidiaries of the Company that are guarantors (the “Subsidiary Guarantors”) entered into Amendment No. 3 to the ABL Credit Agreement (the “Amendment”) with the lenders party thereto (the “Lenders”), Bank of America, N.A., as administrative and collateral agent, and Bank of America, N.A. and each of the parties to the ABL Credit Agreement as lenders. Each of the capitalized but undefined terms used in the context of describing the ABL Credit Agreement and the Amendment has the meaning ascribed to such term in the ABL Credit Agreement and the Amendment.</w:t>
      </w:r>
    </w:p>
    <w:p>
      <w:pPr>
        <w:spacing w:after="0" w:line="21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Amendment decreased the available asset-based revolving loans (the “ABL Loans”) and letters of credit from an aggregate amount of up to $120 million to $110 million, subject to the Borrowing Base. As a result of the additional reduction in lender commitments, the minimum Excess Availability decreased to $13.75 million from the previous amount of $15 million.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Amendment also changed Equipment Availability from (i) the lesser of 75% of Net Orderly Liquidation Value of Eligible Equipment or $6 million to</w:t>
      </w:r>
    </w:p>
    <w:p>
      <w:pPr>
        <w:spacing w:after="0" w:line="46" w:lineRule="exact"/>
        <w:rPr>
          <w:sz w:val="20"/>
          <w:szCs w:val="20"/>
          <w:color w:val="auto"/>
        </w:rPr>
      </w:pPr>
    </w:p>
    <w:p>
      <w:pPr>
        <w:ind w:right="200" w:firstLine="8"/>
        <w:spacing w:after="0" w:line="255"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lesser of 70% of Net Orderly Liquidation Value of Eligible Equipment or $14.75 million as of March 31, 2020. The Equipment Availability was $14.75 million for June 30, 2020. The $14.75 million amount decreases by $1 million per quarter starting on July 1, 2020 until maturity or the amount is decreased to $0, whichever comes first.</w:t>
      </w: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changes effected by the Amendment to the Excess Availability and Equipment Availability combined with increases in Available Accounts Receivable and Inventory allowed the Company to decrease Eligible Cash by $13 million without causing Excess Availability to fall below 12.5 % of lender commitments. Available Accounts Receivable and Inventory and Eligible Equipment have the meaning ascribed to these terms in the ABL Credit Agreement.</w:t>
      </w:r>
    </w:p>
    <w:p>
      <w:pPr>
        <w:spacing w:after="0" w:line="21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had issued approximately $80 million of letters of credit under the ABL Credit Agreement as of both June 30, 2020 and December 31, 2019. Under the ABL Credit Agreement the Company is required to maintain Excess Availability above 12.5% of lender commitments ($13.75 million at June 30, 2020). If Excess Availability is below 12.5% of lender commitments the Company has the ability to fund amounts into the Eligible Cash account which will increase Excess Availability for purposes of the previous month-end compliance reporting. On July 20, 2020 the Company funded $5 million to the Eligible Cash account. Including the July 20, 2020 Eligible Cash funding in the June 30, 2020 compliance calculation the Company had approximately $17 million of Excess Availability under the ABL Credit Agreement for the June 30, 2020 compliance reporting and $22 million of Excess Availability under the ABL Credit Agreement as of December 31, 2019. To maintain Excess Availability of greater than 12.5% of lender commitments ($13.75 million and $18.75 million as of June 30, 2020 and December 31, 2019, respectively), incremental to the $5 million funding of the Eligible Cash account on July 20, 2020, Kodak funded $9 million and $22 million to the Eligible Cash account held with the ABL Credit Agreement Administrative Agent as of June 30, 2020 and December 31, 2019, respectively, which is classified as Restricted Cash in the Consolidated Statement of Financial Position.</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to the changes discussed above, the Amendment increased the interest rate charged on the ABL Loans. The interest rate on the ABL Loans (which is based on Excess Availability) increased to LIBOR plus 3.50% - 4.00% per annum from LIBOR plus 2.25% - 2.75% per annum or the Base Rate plus 2.50% - 3.00% per annum from the Base Rate plus 1.25% - 1.75% per annum.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May 20, 2019, the Company and Longleaf Partners Small Cap Fund, C2W Partners Master Fund Limited and Deseret Mutual Pension Trust, which are investment funds managed by Southeastern Asset Management, Inc. (the “Notes Purchasers”), entered into a Notes Purchase Agreement (the “Purchase Agreement”) pursuant to which the Company agreed to issue and sell to the Notes Purchasers, and the Notes Purchasers agreed to purchase from the Company, $100 million aggregate principal amount of the Convertible Notes. The transaction closed on May 24, 2019. The proceeds were used to repay the remaining first lien term loans outstanding ($83 million) under the Senior Secured First Lien Term Credit Agreement (the “Term Credit Agreement”), which was terminated with the repayment. The remaining proceeds were used for general corporate purposes. The Notes Purchasers also hold all outstanding shares of the Series A Preferred Stock, which vote with the shares of common stock on an as-converted basis, and are holders of shares of the Company’s common stock, par value $0.01 per share (the “Common Stock”).</w:t>
      </w:r>
    </w:p>
    <w:p>
      <w:pPr>
        <w:spacing w:after="0" w:line="21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Convertible Notes bear interest at a rate of 5.00% per annum, which will be payable in cash on their maturity date and, at the option of the Company, in either cash or additional shares of Common Stock on any conversion date. The payment of interest only at the maturity date has the same effect as delivering additional debt instruments to the holders of the Convertible Notes and therefore is considered paid-in-kind interest (“PIK”). Therefore, PIK will be added to the carrying value of the debt through the term and interest expense will be recorded using the effective interest method.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both"/>
        <w:ind w:right="20"/>
        <w:spacing w:after="0" w:line="263" w:lineRule="auto"/>
        <w:rPr>
          <w:sz w:val="20"/>
          <w:szCs w:val="20"/>
          <w:color w:val="auto"/>
        </w:rPr>
      </w:pPr>
      <w:r>
        <w:rPr>
          <w:rFonts w:ascii="Arial" w:cs="Arial" w:eastAsia="Arial" w:hAnsi="Arial"/>
          <w:sz w:val="18"/>
          <w:szCs w:val="18"/>
          <w:color w:val="auto"/>
        </w:rPr>
        <w:t>The maturity date of the Convertible Notes is initially November 1, 2021. The Company has the option to extend the maturity of the Convertible Notes by up to three years in the event that the Series A Preferred Stock is refinanced with debt or equity or the mandatory redemption date of the Series A Preferred Stock is extended.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Derivatives</w:t>
      </w:r>
    </w:p>
    <w:p>
      <w:pPr>
        <w:spacing w:after="0" w:line="27"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Kodak allocated $14 million of the net proceeds received to a derivative liability based on the aggregate fair value of the embedded features and term extension on the date of issuance which reduced the net carrying value of the Convertible Notes (refer to Note 24, “Financial Instruments”).</w:t>
      </w:r>
    </w:p>
    <w:p>
      <w:pPr>
        <w:spacing w:after="0" w:line="1"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The carrying value of the Convertible Notes at the time of issuance, $84 million ($100 million aggregate gross proceeds less $14 million allocated to the derivative liability and $2 million in transaction costs), is being accreted to the face amount using the effective interest method from the date of issuance through the maturity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none of the Convertible Notes had been converted.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REDEEMABLE, CONVERTIBLE SERIES A PREFERRED STOCK</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November 15, 2016, the Company issued 2,000,000 shares of Series A Preferred Stock for an aggregate purchase price of $200 million, or $100 per share pursuant to a Series A Preferred Stock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has classified the Series A Preferred Stock as temporary equity in the Consolidated Statement of Financial Position.</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Kodak allocated $43 million of the net proceeds received to a derivative liability based on the aggregate fair value of the embedded conversion features on the date of issuance which reduced the net carrying value of the Series A Preferred Stock (see Note 24, “Financial Instruments”). 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holders of Series A Preferred Stock are entitled to cumulative dividends payable quarterly in cash at a rate of 5.50% per annum. Until the third quarter of 2018 all dividends owed on the Series A Preferred Stock were declared and paid when due. No quarterly dividend was declared in the third or fourth quarters of 2018 or the first and second quarters of 2019. The Company declared quarterly cash dividends in the third and fourth quarters of 2019 and the first and second quarters of 2020 that were paid when due. In July 2020, the Company declared and paid the four quarterly dividends that were in arrears. The total amount of dividends in arrears was $11 million.</w:t>
      </w:r>
    </w:p>
    <w:p>
      <w:pPr>
        <w:spacing w:after="0" w:line="21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Purchasers have the right to nominate members to the Company’s board of directors proportional to their ownership on an as converted basis, which initially allowed the Purchasers to nominate two members to the board.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 The nomination right of the Purchasers will be reduced by two nominees at any time the holders of Series A Preferred Stock have the right to elect, or participate in the election of, two additional directors. Two of the directors on the Company’s current board of directors were nominated by the Purchasers although the holders of the Series A Preferred Stock currently have the contractual right to nominate only one director based on the results of the ownership formula.</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June 30, 2020,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LEASES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Income recognized on operating lease arrangements for the three months ended June 30, 2020 and 2019 and is presented below (income recognized for sales-type lease arrangements is $0 million for both periods):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Six Months Ended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2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520" w:type="dxa"/>
            <w:vAlign w:val="bottom"/>
            <w:tcBorders>
              <w:top w:val="single" w:sz="8" w:color="CFF0FC"/>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Lease income</w:t>
            </w:r>
          </w:p>
        </w:tc>
        <w:tc>
          <w:tcPr>
            <w:tcW w:w="14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r>
      <w:tr>
        <w:trPr>
          <w:trHeight w:val="243"/>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1"/>
                <w:szCs w:val="21"/>
                <w:color w:val="auto"/>
              </w:rPr>
            </w:pPr>
          </w:p>
        </w:tc>
      </w:tr>
      <w:tr>
        <w:trPr>
          <w:trHeight w:val="243"/>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income</w:t>
            </w:r>
          </w:p>
        </w:tc>
        <w:tc>
          <w:tcPr>
            <w:tcW w:w="52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21"/>
                <w:szCs w:val="21"/>
                <w:color w:val="auto"/>
              </w:rPr>
            </w:pPr>
          </w:p>
        </w:tc>
      </w:tr>
      <w:tr>
        <w:trPr>
          <w:trHeight w:val="236"/>
        </w:trPr>
        <w:tc>
          <w:tcPr>
            <w:tcW w:w="2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income</w:t>
            </w:r>
          </w:p>
        </w:tc>
        <w:tc>
          <w:tcPr>
            <w:tcW w:w="140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20"/>
                <w:szCs w:val="20"/>
                <w:color w:val="auto"/>
              </w:rPr>
            </w:pPr>
          </w:p>
        </w:tc>
      </w:tr>
      <w:tr>
        <w:trPr>
          <w:trHeight w:val="20"/>
        </w:trPr>
        <w:tc>
          <w:tcPr>
            <w:tcW w:w="28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of June 30, 2020, the Company had outstanding letters of credit of $80 million issued under the ABL Credit Agreement, as well as bank guarantees and letters of credit of $2 million, surety bonds in the amount of $38 million, and restricted cash of $32 million, primarily to address the payment of possible casualty and workers’ compensation claims, support legal contingencies, hedging activities, compliance with the Excess Availability threshold under the ABL Credit Agreement, environmental liabilities, rental payments and to support various customs, tax and trade activities.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June 30, 2020, the unreserved portion of these contingencies, inclusive of any related interest and penalties, for which there was at least a reasonable possibility that a loss may be incurred, amounted to approximately $5 million.</w:t>
      </w:r>
    </w:p>
    <w:p>
      <w:pPr>
        <w:spacing w:after="0" w:line="2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assessments in Brazil, local regulations may require Kodak’s Brazilian operations to post security for a portion of the amounts in dispute. As of June 30, 2020, Kodak’s Brazilian operations have posted security composed of $3 million of pledged cash reported within Restricted cash in the Consolidated Statement of Financial Position and liens on certain Brazilian assets with a net book value of approximately $41 million. Generally, any encumbrances on the Brazilian assets would be removed to the extent the matter is resolved in Kodak's favor.</w:t>
      </w:r>
    </w:p>
    <w:p>
      <w:pPr>
        <w:spacing w:after="0" w:line="19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settlement of certain of the Company’s historical environmental liabilities at Eastman Business Park, a more than 1,200-</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acre technology center and industrial complex in Rochester, New York,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Kodak offers its customers extended warranty arrangements that are generally one year, but may range from three months to six years after the original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warranty period. The change in Kodak’s deferred revenue balance in relation to these extended warranty and maintenance arrangements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to June 30, 2020, which is reflected in Other current liabilities in the accompanying Consolidated Statement of Financial Position,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47" w:lineRule="exact"/>
        <w:rPr>
          <w:sz w:val="20"/>
          <w:szCs w:val="20"/>
          <w:color w:val="auto"/>
        </w:rPr>
      </w:pPr>
    </w:p>
    <w:tbl>
      <w:tblPr>
        <w:tblLayout w:type="fixed"/>
        <w:tblInd w:w="2260" w:type="dxa"/>
        <w:tblCellMar>
          <w:top w:w="0" w:type="dxa"/>
          <w:left w:w="0" w:type="dxa"/>
          <w:bottom w:w="0" w:type="dxa"/>
          <w:right w:w="0" w:type="dxa"/>
        </w:tblCellMar>
      </w:tblPr>
      <w:tr>
        <w:trPr>
          <w:trHeight w:val="167"/>
        </w:trPr>
        <w:tc>
          <w:tcPr>
            <w:tcW w:w="550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on extended warranties as of December 31, 2019</w:t>
            </w:r>
          </w:p>
        </w:tc>
        <w:tc>
          <w:tcPr>
            <w:tcW w:w="480" w:type="dxa"/>
            <w:vAlign w:val="bottom"/>
            <w:gridSpan w:val="2"/>
            <w:shd w:val="clear" w:color="auto" w:fill="CFF0FC"/>
          </w:tcPr>
          <w:p>
            <w:pPr>
              <w:jc w:val="right"/>
              <w:ind w:right="34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Extended warranty and maintenance arrangements deferred in 2020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r>
      <w:tr>
        <w:trPr>
          <w:trHeight w:val="215"/>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Recognition of extended warranty and maintenance arrangement</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 in 2020</w:t>
            </w:r>
          </w:p>
        </w:tc>
        <w:tc>
          <w:tcPr>
            <w:tcW w:w="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Deferred revenue on extended warranties as of June 30, 2020</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23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June 30,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r>
              <w:rPr>
                <w:rFonts w:ascii="Arial" w:cs="Arial" w:eastAsia="Arial" w:hAnsi="Arial"/>
                <w:sz w:val="16"/>
                <w:szCs w:val="16"/>
                <w:color w:val="auto"/>
              </w:rPr>
              <w:t>(in millions)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26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09"/>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6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Ongoing service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60" w:type="dxa"/>
            <w:vAlign w:val="bottom"/>
          </w:tcPr>
          <w:p>
            <w:pPr>
              <w:ind w:left="140"/>
              <w:spacing w:after="0"/>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6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560" w:type="dxa"/>
            <w:vAlign w:val="bottom"/>
          </w:tcPr>
          <w:p>
            <w:pPr>
              <w:spacing w:after="0"/>
              <w:rPr>
                <w:sz w:val="20"/>
                <w:szCs w:val="20"/>
                <w:color w:val="auto"/>
              </w:rPr>
            </w:pPr>
            <w:r>
              <w:rPr>
                <w:rFonts w:ascii="Arial" w:cs="Arial" w:eastAsia="Arial" w:hAnsi="Arial"/>
                <w:sz w:val="18"/>
                <w:szCs w:val="18"/>
                <w:color w:val="auto"/>
              </w:rPr>
              <w:t>Equipment &amp; software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8"/>
        </w:trPr>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0"/>
              </w:rPr>
              <w:t>Six Months Ended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8"/>
              </w:rPr>
              <w:t>June 30, 2020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r>
              <w:rPr>
                <w:rFonts w:ascii="Arial" w:cs="Arial" w:eastAsia="Arial" w:hAnsi="Arial"/>
                <w:sz w:val="16"/>
                <w:szCs w:val="16"/>
                <w:color w:val="auto"/>
              </w:rPr>
              <w:t>(in millions)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26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09"/>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6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Ongoing service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60" w:type="dxa"/>
            <w:vAlign w:val="bottom"/>
          </w:tcPr>
          <w:p>
            <w:pPr>
              <w:ind w:left="140"/>
              <w:spacing w:after="0"/>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6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560" w:type="dxa"/>
            <w:vAlign w:val="bottom"/>
          </w:tcPr>
          <w:p>
            <w:pPr>
              <w:spacing w:after="0"/>
              <w:rPr>
                <w:sz w:val="20"/>
                <w:szCs w:val="20"/>
                <w:color w:val="auto"/>
              </w:rPr>
            </w:pPr>
            <w:r>
              <w:rPr>
                <w:rFonts w:ascii="Arial" w:cs="Arial" w:eastAsia="Arial" w:hAnsi="Arial"/>
                <w:sz w:val="18"/>
                <w:szCs w:val="18"/>
                <w:color w:val="auto"/>
              </w:rPr>
              <w:t>Equipment &amp; software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8" w:name="page19"/>
    <w:bookmarkEnd w:id="18"/>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June 30,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26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Plates, inks and other consumables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Equipment &amp; software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8"/>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0"/>
              </w:rPr>
              <w:t>Six Months Ended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8"/>
              </w:rPr>
              <w:t>June 30, 2019</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26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Plates, inks and other consumables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Equipment &amp; software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right="220" w:hanging="552"/>
        <w:spacing w:after="0" w:line="277"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97" w:lineRule="exact"/>
        <w:rPr>
          <w:rFonts w:ascii="Arial" w:cs="Arial" w:eastAsia="Arial" w:hAnsi="Arial"/>
          <w:sz w:val="15"/>
          <w:szCs w:val="15"/>
          <w:color w:val="auto"/>
        </w:rPr>
      </w:pPr>
    </w:p>
    <w:p>
      <w:pPr>
        <w:ind w:left="560" w:right="240" w:hanging="552"/>
        <w:spacing w:after="0" w:line="277"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print and managed media services, tenant rent and related property management services and licensing.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Product Portfolio Summary:</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8"/>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Digital</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Chemicals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5"/>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center"/>
              <w:ind w:right="27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Digital</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Chemicals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88"/>
              </w:rPr>
              <w:t>June 30, 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Digital</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Chemicals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5"/>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center"/>
              <w:ind w:right="27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88"/>
              </w:rPr>
              <w:t>June 30, 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Digital</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Chemicals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4"/>
          </w:tcPr>
          <w:p>
            <w:pPr>
              <w:jc w:val="right"/>
              <w:ind w:right="41"/>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0" w:name="page21"/>
    <w:bookmarkEnd w:id="20"/>
    <w:p>
      <w:pPr>
        <w:ind w:left="580" w:right="60" w:hanging="572"/>
        <w:spacing w:after="0" w:line="342" w:lineRule="auto"/>
        <w:tabs>
          <w:tab w:leader="none" w:pos="580" w:val="left"/>
        </w:tabs>
        <w:numPr>
          <w:ilvl w:val="0"/>
          <w:numId w:val="6"/>
        </w:numPr>
        <w:rPr>
          <w:rFonts w:ascii="Arial" w:cs="Arial" w:eastAsia="Arial" w:hAnsi="Arial"/>
          <w:sz w:val="13"/>
          <w:szCs w:val="13"/>
          <w:color w:val="auto"/>
        </w:rPr>
      </w:pPr>
      <w:r>
        <w:rPr>
          <w:rFonts w:ascii="Arial" w:cs="Arial" w:eastAsia="Arial" w:hAnsi="Arial"/>
          <w:sz w:val="16"/>
          <w:szCs w:val="16"/>
          <w:color w:val="auto"/>
        </w:rPr>
        <w:t>Growth engines consist of Sonora in the Traditional Printing segment, PROSPER and Software in the Digital Printing segment, brand licensing and Advanced Materials and Functional Printing in the Advanced Materials and Chemicals segment, excluding intellectual property (IP) licensing.</w:t>
      </w:r>
    </w:p>
    <w:p>
      <w:pPr>
        <w:spacing w:after="0" w:line="150" w:lineRule="exact"/>
        <w:rPr>
          <w:rFonts w:ascii="Arial" w:cs="Arial" w:eastAsia="Arial" w:hAnsi="Arial"/>
          <w:sz w:val="13"/>
          <w:szCs w:val="13"/>
          <w:color w:val="auto"/>
        </w:rPr>
      </w:pPr>
    </w:p>
    <w:p>
      <w:pPr>
        <w:ind w:left="580" w:right="60" w:hanging="572"/>
        <w:spacing w:after="0" w:line="263"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8"/>
          <w:szCs w:val="18"/>
          <w:color w:val="auto"/>
        </w:rPr>
        <w:t>Strategic other businesses include plates in the Traditional Printing segment; Computer to Plate (“CTP”) equipment and related service and Nexpress and related toner business in the Digital Printing segment and Motion Picture and Industrial Film and Chemicals (including external inks) and IP licensing in the Advanced Materials and Chemicals segment.</w:t>
      </w:r>
    </w:p>
    <w:p>
      <w:pPr>
        <w:spacing w:after="0" w:line="210" w:lineRule="exact"/>
        <w:rPr>
          <w:rFonts w:ascii="Arial" w:cs="Arial" w:eastAsia="Arial" w:hAnsi="Arial"/>
          <w:sz w:val="15"/>
          <w:szCs w:val="15"/>
          <w:color w:val="auto"/>
        </w:rPr>
      </w:pPr>
    </w:p>
    <w:p>
      <w:pPr>
        <w:ind w:left="580" w:right="20" w:hanging="572"/>
        <w:spacing w:after="0" w:line="259"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8"/>
          <w:szCs w:val="18"/>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Consumer Inkjet, Kodak Services for Business and Kodakit in the Advanced Materials and Chemicals segment and Versamark and Digimaster in the Digital Printing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Geography </w:t>
      </w:r>
      <w:r>
        <w:rPr>
          <w:rFonts w:ascii="Arial" w:cs="Arial" w:eastAsia="Arial" w:hAnsi="Arial"/>
          <w:sz w:val="15"/>
          <w:szCs w:val="15"/>
          <w:b w:val="1"/>
          <w:bCs w:val="1"/>
          <w:color w:val="auto"/>
        </w:rPr>
        <w:t>(1):</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June 30,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94"/>
              <w:spacing w:after="0"/>
              <w:rPr>
                <w:sz w:val="20"/>
                <w:szCs w:val="20"/>
                <w:color w:val="auto"/>
              </w:rPr>
            </w:pPr>
            <w:r>
              <w:rPr>
                <w:rFonts w:ascii="Arial" w:cs="Arial" w:eastAsia="Arial" w:hAnsi="Arial"/>
                <w:sz w:val="18"/>
                <w:szCs w:val="18"/>
                <w:b w:val="1"/>
                <w:bCs w:val="1"/>
                <w:color w:val="auto"/>
                <w:w w:val="90"/>
              </w:rPr>
              <w:t>Advanced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Digital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Printing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left="114"/>
              <w:spacing w:after="0"/>
              <w:rPr>
                <w:sz w:val="20"/>
                <w:szCs w:val="20"/>
                <w:color w:val="auto"/>
              </w:rPr>
            </w:pPr>
            <w:r>
              <w:rPr>
                <w:rFonts w:ascii="Arial" w:cs="Arial" w:eastAsia="Arial" w:hAnsi="Arial"/>
                <w:sz w:val="18"/>
                <w:szCs w:val="18"/>
                <w:b w:val="1"/>
                <w:bCs w:val="1"/>
                <w:color w:val="auto"/>
                <w:w w:val="88"/>
              </w:rPr>
              <w:t>Chemicals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gridSpan w:val="2"/>
            <w:shd w:val="clear" w:color="auto" w:fill="CFF0FC"/>
          </w:tcPr>
          <w:p>
            <w:pPr>
              <w:jc w:val="right"/>
              <w:ind w:right="83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25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26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3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5"/>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5"/>
          </w:tcPr>
          <w:p>
            <w:pPr>
              <w:jc w:val="right"/>
              <w:ind w:right="314"/>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5"/>
          </w:tcPr>
          <w:p>
            <w:pPr>
              <w:jc w:val="right"/>
              <w:ind w:right="514"/>
              <w:spacing w:after="0"/>
              <w:rPr>
                <w:sz w:val="20"/>
                <w:szCs w:val="20"/>
                <w:color w:val="auto"/>
              </w:rPr>
            </w:pPr>
            <w:r>
              <w:rPr>
                <w:rFonts w:ascii="Arial" w:cs="Arial" w:eastAsia="Arial" w:hAnsi="Arial"/>
                <w:sz w:val="18"/>
                <w:szCs w:val="18"/>
                <w:b w:val="1"/>
                <w:bCs w:val="1"/>
                <w:color w:val="auto"/>
              </w:rPr>
              <w:t>June 30, 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left="94"/>
              <w:spacing w:after="0"/>
              <w:rPr>
                <w:sz w:val="20"/>
                <w:szCs w:val="20"/>
                <w:color w:val="auto"/>
              </w:rPr>
            </w:pPr>
            <w:r>
              <w:rPr>
                <w:rFonts w:ascii="Arial" w:cs="Arial" w:eastAsia="Arial" w:hAnsi="Arial"/>
                <w:sz w:val="18"/>
                <w:szCs w:val="18"/>
                <w:b w:val="1"/>
                <w:bCs w:val="1"/>
                <w:color w:val="auto"/>
                <w:w w:val="90"/>
              </w:rPr>
              <w:t>Advanced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Digital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Printing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left="114"/>
              <w:spacing w:after="0"/>
              <w:rPr>
                <w:sz w:val="20"/>
                <w:szCs w:val="20"/>
                <w:color w:val="auto"/>
              </w:rPr>
            </w:pPr>
            <w:r>
              <w:rPr>
                <w:rFonts w:ascii="Arial" w:cs="Arial" w:eastAsia="Arial" w:hAnsi="Arial"/>
                <w:sz w:val="18"/>
                <w:szCs w:val="18"/>
                <w:b w:val="1"/>
                <w:bCs w:val="1"/>
                <w:color w:val="auto"/>
                <w:w w:val="88"/>
              </w:rPr>
              <w:t>Chemicals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gridSpan w:val="2"/>
            <w:shd w:val="clear" w:color="auto" w:fill="CFF0FC"/>
          </w:tcPr>
          <w:p>
            <w:pPr>
              <w:jc w:val="right"/>
              <w:ind w:right="83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55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56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3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gridSpan w:val="4"/>
          </w:tcPr>
          <w:p>
            <w:pPr>
              <w:jc w:val="right"/>
              <w:ind w:right="814"/>
              <w:spacing w:after="0"/>
              <w:rPr>
                <w:sz w:val="20"/>
                <w:szCs w:val="20"/>
                <w:color w:val="auto"/>
              </w:rPr>
            </w:pPr>
            <w:r>
              <w:rPr>
                <w:rFonts w:ascii="Arial" w:cs="Arial" w:eastAsia="Arial" w:hAnsi="Arial"/>
                <w:sz w:val="18"/>
                <w:szCs w:val="18"/>
                <w:color w:val="auto"/>
                <w:w w:val="99"/>
              </w:rPr>
              <w:t>[21]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21" w:name="page22"/>
    <w:bookmarkEnd w:id="21"/>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June 30,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Digital</w:t>
            </w: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Chemicals</w:t>
            </w: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5"/>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Digital</w:t>
            </w: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Chemicals</w:t>
            </w: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13"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5"/>
          <w:szCs w:val="15"/>
          <w:color w:val="auto"/>
        </w:rPr>
      </w:pPr>
      <w:r>
        <w:rPr>
          <w:rFonts w:ascii="Arial" w:cs="Arial" w:eastAsia="Arial" w:hAnsi="Arial"/>
          <w:sz w:val="18"/>
          <w:szCs w:val="18"/>
          <w:color w:val="auto"/>
        </w:rPr>
        <w:t>Sales are reported in the geographic area in which they originate.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-130175</wp:posOffset>
            </wp:positionV>
            <wp:extent cx="5246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June 30, 2020 and December 31, 2019 were $2 million and $4 million, respectively, and are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June 30, 2020 and December 31, 2019 were $55 million and $61 million, respectively, of which $40 million and $43 million are reported in Other current liabilities, respectively, and $15 million and $18 million, respectively, are reported in Other long-term liabilities in the Consolidated Statement of Financial Position.</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Revenue recognized for the three and six months ended June 30, 2020 and 2019 that was included in the contract liability balance at the beginning of the year was $5 million and $31 million in 2020, respectively, and $5 million and $30 million in 2019, respectively, and primarily represented revenue from prepaid service contracts and equipment revenue recognition. Contract liabilities as of June 30, 2020 included $19 million and $21 million of cash payments received during the three and six months ended June 30, 2020, respectively. Contract liabilities as of June 30, 2019 included $20 million and $23 million of cash payments received during the three and six months ended June 30, 2019,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2" w:name="page23"/>
    <w:bookmarkEnd w:id="22"/>
    <w:p>
      <w:pPr>
        <w:spacing w:after="0" w:line="275" w:lineRule="auto"/>
        <w:rPr>
          <w:sz w:val="20"/>
          <w:szCs w:val="20"/>
          <w:color w:val="auto"/>
        </w:rPr>
      </w:pPr>
      <w:r>
        <w:rPr>
          <w:rFonts w:ascii="Arial" w:cs="Arial" w:eastAsia="Arial" w:hAnsi="Arial"/>
          <w:sz w:val="17"/>
          <w:szCs w:val="17"/>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June 30, 2020, there was approximately $65 million of unrecognized revenue from unsatisfied performance obligations. Approximately 20% of the revenue from unsatisfied performance obligations is expected to be recognized in the rest of 2020, 25% in 2021, 20% in 2022 and 35% thereafter.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NOTE 14: OTHER OPERATING INCOME, NET</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3"/>
              </w:rPr>
              <w:t>Three Months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Six Months Ended</w:t>
            </w:r>
          </w:p>
        </w:tc>
      </w:tr>
      <w:tr>
        <w:trPr>
          <w:trHeight w:val="234"/>
        </w:trPr>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4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 (income):</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 xml:space="preserve">(Gain) loss on sale of assets </w:t>
            </w:r>
            <w:r>
              <w:rPr>
                <w:rFonts w:ascii="Arial" w:cs="Arial" w:eastAsia="Arial" w:hAnsi="Arial"/>
                <w:sz w:val="15"/>
                <w:szCs w:val="15"/>
                <w:color w:val="auto"/>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5"/>
                <w:szCs w:val="15"/>
                <w:color w:val="auto"/>
              </w:rPr>
              <w:t>(2)</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Transition services agreement income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484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580" w:hanging="452"/>
        <w:spacing w:after="0"/>
        <w:tabs>
          <w:tab w:leader="none" w:pos="158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March 2020 Kodak sold a property in the U.S.</w:t>
      </w:r>
    </w:p>
    <w:p>
      <w:pPr>
        <w:spacing w:after="0" w:line="252" w:lineRule="exact"/>
        <w:rPr>
          <w:rFonts w:ascii="Arial" w:cs="Arial" w:eastAsia="Arial" w:hAnsi="Arial"/>
          <w:sz w:val="15"/>
          <w:szCs w:val="15"/>
          <w:color w:val="auto"/>
        </w:rPr>
      </w:pPr>
    </w:p>
    <w:p>
      <w:pPr>
        <w:ind w:left="1580" w:hanging="452"/>
        <w:spacing w:after="0"/>
        <w:tabs>
          <w:tab w:leader="none" w:pos="1580" w:val="left"/>
        </w:tabs>
        <w:numPr>
          <w:ilvl w:val="0"/>
          <w:numId w:val="8"/>
        </w:numPr>
        <w:rPr>
          <w:rFonts w:ascii="Arial" w:cs="Arial" w:eastAsia="Arial" w:hAnsi="Arial"/>
          <w:sz w:val="15"/>
          <w:szCs w:val="15"/>
          <w:color w:val="auto"/>
        </w:rPr>
      </w:pPr>
      <w:r>
        <w:rPr>
          <w:rFonts w:ascii="Arial" w:cs="Arial" w:eastAsia="Arial" w:hAnsi="Arial"/>
          <w:sz w:val="18"/>
          <w:szCs w:val="18"/>
          <w:color w:val="auto"/>
        </w:rPr>
        <w:t>Refer to Note 5, “Goodwill and Other Intangible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15: OTHER CHARGES (INCOME), NET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8"/>
          </w:tcPr>
          <w:p>
            <w:pPr>
              <w:jc w:val="right"/>
              <w:ind w:right="380"/>
              <w:spacing w:after="0"/>
              <w:rPr>
                <w:sz w:val="20"/>
                <w:szCs w:val="20"/>
                <w:color w:val="auto"/>
              </w:rPr>
            </w:pPr>
            <w:r>
              <w:rPr>
                <w:rFonts w:ascii="Arial" w:cs="Arial" w:eastAsia="Arial" w:hAnsi="Arial"/>
                <w:sz w:val="18"/>
                <w:szCs w:val="18"/>
                <w:b w:val="1"/>
                <w:bCs w:val="1"/>
                <w:color w:val="auto"/>
                <w:w w:val="98"/>
              </w:rPr>
              <w:t>Three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9"/>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8"/>
          </w:tcPr>
          <w:p>
            <w:pPr>
              <w:jc w:val="right"/>
              <w:ind w:right="88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6"/>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3"/>
          </w:tcPr>
          <w:p>
            <w:pPr>
              <w:ind w:left="1140"/>
              <w:spacing w:after="0"/>
              <w:rPr>
                <w:sz w:val="20"/>
                <w:szCs w:val="20"/>
                <w:color w:val="auto"/>
              </w:rPr>
            </w:pPr>
            <w:r>
              <w:rPr>
                <w:rFonts w:ascii="Arial" w:cs="Arial" w:eastAsia="Arial" w:hAnsi="Arial"/>
                <w:sz w:val="16"/>
                <w:szCs w:val="16"/>
                <w:color w:val="auto"/>
              </w:rPr>
              <w:t>(in millions)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5"/>
              </w:rPr>
              <w:t>Change in fair value of embedded conversion features</w:t>
            </w: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derivative liability </w:t>
            </w:r>
            <w:r>
              <w:rPr>
                <w:rFonts w:ascii="Arial" w:cs="Arial" w:eastAsia="Arial" w:hAnsi="Arial"/>
                <w:sz w:val="15"/>
                <w:szCs w:val="15"/>
                <w:color w:val="auto"/>
              </w:rPr>
              <w:t>(1)</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32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Loss on foreign exchange transactions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early retirement of debt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ind w:left="1080"/>
              <w:spacing w:after="0"/>
              <w:rPr>
                <w:sz w:val="20"/>
                <w:szCs w:val="20"/>
                <w:color w:val="auto"/>
              </w:rPr>
            </w:pPr>
            <w:r>
              <w:rPr>
                <w:rFonts w:ascii="Arial" w:cs="Arial" w:eastAsia="Arial" w:hAnsi="Arial"/>
                <w:sz w:val="15"/>
                <w:szCs w:val="15"/>
                <w:color w:val="auto"/>
                <w:w w:val="87"/>
              </w:rPr>
              <w:t>(1)</w:t>
            </w:r>
          </w:p>
        </w:tc>
        <w:tc>
          <w:tcPr>
            <w:tcW w:w="4040" w:type="dxa"/>
            <w:vAlign w:val="bottom"/>
            <w:vMerge w:val="restart"/>
          </w:tcPr>
          <w:p>
            <w:pPr>
              <w:ind w:left="320"/>
              <w:spacing w:after="0"/>
              <w:rPr>
                <w:sz w:val="20"/>
                <w:szCs w:val="20"/>
                <w:color w:val="auto"/>
              </w:rPr>
            </w:pPr>
            <w:r>
              <w:rPr>
                <w:rFonts w:ascii="Arial" w:cs="Arial" w:eastAsia="Arial" w:hAnsi="Arial"/>
                <w:sz w:val="18"/>
                <w:szCs w:val="18"/>
                <w:color w:val="auto"/>
              </w:rPr>
              <w:t>Refer to Note 24, “Financial Instruments”.</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260" w:type="dxa"/>
            <w:vAlign w:val="bottom"/>
            <w:gridSpan w:val="2"/>
            <w:vMerge w:val="continue"/>
          </w:tcPr>
          <w:p>
            <w:pPr>
              <w:spacing w:after="0"/>
              <w:rPr>
                <w:sz w:val="24"/>
                <w:szCs w:val="24"/>
                <w:color w:val="auto"/>
              </w:rPr>
            </w:pPr>
          </w:p>
        </w:tc>
        <w:tc>
          <w:tcPr>
            <w:tcW w:w="4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NOTE 16: INCOME TAXES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00" w:type="dxa"/>
            <w:vAlign w:val="bottom"/>
            <w:gridSpan w:val="3"/>
          </w:tcPr>
          <w:p>
            <w:pPr>
              <w:spacing w:after="0"/>
              <w:rPr>
                <w:sz w:val="20"/>
                <w:szCs w:val="20"/>
                <w:color w:val="auto"/>
              </w:rPr>
            </w:pPr>
            <w:r>
              <w:rPr>
                <w:rFonts w:ascii="Arial" w:cs="Arial" w:eastAsia="Arial" w:hAnsi="Arial"/>
                <w:sz w:val="18"/>
                <w:szCs w:val="18"/>
                <w:color w:val="auto"/>
                <w:w w:val="98"/>
              </w:rPr>
              <w:t>Kodak’s income tax provision and effective tax rate were as follows: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8"/>
          </w:tcPr>
          <w:p>
            <w:pPr>
              <w:jc w:val="right"/>
              <w:ind w:right="520"/>
              <w:spacing w:after="0"/>
              <w:rPr>
                <w:sz w:val="20"/>
                <w:szCs w:val="20"/>
                <w:color w:val="auto"/>
              </w:rPr>
            </w:pPr>
            <w:r>
              <w:rPr>
                <w:rFonts w:ascii="Arial" w:cs="Arial" w:eastAsia="Arial" w:hAnsi="Arial"/>
                <w:sz w:val="18"/>
                <w:szCs w:val="18"/>
                <w:b w:val="1"/>
                <w:bCs w:val="1"/>
                <w:color w:val="auto"/>
                <w:w w:val="90"/>
              </w:rPr>
              <w:t>Three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9"/>
          </w:tcPr>
          <w:p>
            <w:pPr>
              <w:jc w:val="right"/>
              <w:ind w:right="560"/>
              <w:spacing w:after="0"/>
              <w:rPr>
                <w:sz w:val="20"/>
                <w:szCs w:val="20"/>
                <w:color w:val="auto"/>
              </w:rPr>
            </w:pPr>
            <w:r>
              <w:rPr>
                <w:rFonts w:ascii="Arial" w:cs="Arial" w:eastAsia="Arial" w:hAnsi="Arial"/>
                <w:sz w:val="18"/>
                <w:szCs w:val="18"/>
                <w:b w:val="1"/>
                <w:bCs w:val="1"/>
                <w:color w:val="auto"/>
                <w:w w:val="98"/>
              </w:rPr>
              <w:t>Six Months Ended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3"/>
          </w:tcPr>
          <w:p>
            <w:pPr>
              <w:ind w:left="1140"/>
              <w:spacing w:after="0"/>
              <w:rPr>
                <w:sz w:val="20"/>
                <w:szCs w:val="20"/>
                <w:color w:val="auto"/>
              </w:rPr>
            </w:pPr>
            <w:r>
              <w:rPr>
                <w:rFonts w:ascii="Arial" w:cs="Arial" w:eastAsia="Arial" w:hAnsi="Arial"/>
                <w:sz w:val="16"/>
                <w:szCs w:val="16"/>
                <w:color w:val="auto"/>
              </w:rPr>
              <w:t>(in millions)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b w:val="1"/>
                <w:bCs w:val="1"/>
                <w:color w:val="auto"/>
                <w:w w:val="84"/>
              </w:rPr>
              <w:t>2019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(Loss) earnings from continuing operations before</w:t>
            </w: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40" w:type="dxa"/>
            <w:vAlign w:val="bottom"/>
            <w:shd w:val="clear" w:color="auto" w:fill="CFF0FC"/>
          </w:tcPr>
          <w:p>
            <w:pPr>
              <w:ind w:left="60"/>
              <w:spacing w:after="0"/>
              <w:rPr>
                <w:sz w:val="20"/>
                <w:szCs w:val="20"/>
                <w:color w:val="auto"/>
              </w:rPr>
            </w:pPr>
            <w:r>
              <w:rPr>
                <w:rFonts w:ascii="Arial" w:cs="Arial" w:eastAsia="Arial" w:hAnsi="Arial"/>
                <w:sz w:val="18"/>
                <w:szCs w:val="18"/>
                <w:color w:val="auto"/>
              </w:rPr>
              <w:t>income taxes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w:t>
            </w:r>
          </w:p>
        </w:tc>
        <w:tc>
          <w:tcPr>
            <w:tcW w:w="32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gridSpan w:val="3"/>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332.0%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w w:val="92"/>
              </w:rPr>
              <w:t>(Benefit) provision for income taxes at U.S. statutory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rate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9"/>
              </w:rPr>
              <w:t>Difference between tax at effective vs. statutory rate</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the three months ended June 30, 2020, the difference between Kodak’s effective tax rate and the U.S. statutory rate of 21.0% is primarily attributable to: (1) the impact related to existing valuation allowances associated with changes in net deferred tax assets from current earnings, (2) the results from operations in jurisdictions outside the U.S and (3) a provision associated with foreign withholding taxes on undistributed earnings.</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color w:val="auto"/>
        </w:rPr>
        <w:t>For the six months ended June 30, 2020, the difference between Kodak’s effective tax rate and the U.S. statutory rate of 21.0% is primarily attributable to:</w:t>
      </w:r>
    </w:p>
    <w:p>
      <w:pPr>
        <w:spacing w:after="0" w:line="46" w:lineRule="exact"/>
        <w:rPr>
          <w:sz w:val="20"/>
          <w:szCs w:val="20"/>
          <w:color w:val="auto"/>
        </w:rPr>
      </w:pPr>
    </w:p>
    <w:p>
      <w:pPr>
        <w:jc w:val="both"/>
        <w:ind w:right="400" w:firstLine="8"/>
        <w:spacing w:after="0" w:line="255"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provision of $167 million associated with the establishment of valuation allowances in certain outside U.S. jurisdictions, (2) the impact related to existing valuation allowances associated with changes in net deferred tax assets from current earnings and losses and (3) the results from operations in jurisdictions outside the U.S.</w:t>
      </w:r>
    </w:p>
    <w:p>
      <w:pPr>
        <w:spacing w:after="0" w:line="2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Kodak considers the scheduled reversal of deferred tax liabilities and assets, available taxes in carryback periods, tax planning strategies and projected future taxable income in making this assessment.</w:t>
      </w:r>
    </w:p>
    <w:p>
      <w:pPr>
        <w:spacing w:after="0" w:line="21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December 31, 2019, Kodak’s deferred tax asset valuation allowance is $821 million. Of this amount, $168 million was attributable to the Company’s net deferred tax assets outside the U.S. of $322 million, and $653 million related to the Company’s net deferred tax assets in the U.S. of $633 million, for which Kodak believed it was more likely than not that the assets would not be realized.</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March 31, 2020, Kodak determined that it was more likely than not that deferred tax assets outside the U.S. which were not offset with valuation allowances as of March 31, 2020 would not be realized due to reductions in estimates of future profitability as a result of the COVID-19 pandemic in locations outside the U.S. Accordingly, Kodak recorded a provision of $167 million associated with the establishment of a valuation allowance on those deferred tax assets.</w:t>
      </w:r>
    </w:p>
    <w:p>
      <w:pPr>
        <w:spacing w:after="0" w:line="179" w:lineRule="exact"/>
        <w:rPr>
          <w:sz w:val="20"/>
          <w:szCs w:val="20"/>
          <w:color w:val="auto"/>
        </w:rPr>
      </w:pPr>
    </w:p>
    <w:p>
      <w:pPr>
        <w:ind w:right="140"/>
        <w:spacing w:after="0" w:line="305" w:lineRule="auto"/>
        <w:rPr>
          <w:sz w:val="20"/>
          <w:szCs w:val="20"/>
          <w:color w:val="auto"/>
        </w:rPr>
      </w:pPr>
      <w:r>
        <w:rPr>
          <w:rFonts w:ascii="Arial" w:cs="Arial" w:eastAsia="Arial" w:hAnsi="Arial"/>
          <w:sz w:val="16"/>
          <w:szCs w:val="16"/>
          <w:color w:val="auto"/>
        </w:rPr>
        <w:t>Additionally</w:t>
      </w:r>
      <w:r>
        <w:rPr>
          <w:rFonts w:ascii="Arial" w:cs="Arial" w:eastAsia="Arial" w:hAnsi="Arial"/>
          <w:sz w:val="19"/>
          <w:szCs w:val="19"/>
          <w:color w:val="auto"/>
        </w:rPr>
        <w:t>,</w:t>
      </w:r>
      <w:r>
        <w:rPr>
          <w:rFonts w:ascii="Arial" w:cs="Arial" w:eastAsia="Arial" w:hAnsi="Arial"/>
          <w:sz w:val="16"/>
          <w:szCs w:val="16"/>
          <w:color w:val="auto"/>
        </w:rPr>
        <w:t xml:space="preserve"> on February 21, 2020, Kodak agreed to terms with the IRS and settled the federal audit for calendar years 2013 and 2014. For these years, Kodak originally recorded a federal unrecognized tax position totaling $41 million, which was fully offset by tax attributes. This settlement resulted in an increase in net deferred tax assets and was fully offset by a corresponding increase in Kodak’s U.S. valuation allowance, resulting in no net tax benefit.</w:t>
      </w:r>
    </w:p>
    <w:p>
      <w:pPr>
        <w:spacing w:after="0" w:line="1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three and six months ended June 30, 2019, the difference between Kodak’s recorded provision and the benefit that would result from applying the U.S. statutory rate of 21.0%, is primarily attributable to: (1) the impact related to existing valuation allowances associated with changes in net deferred tax assets from current earnings and losses, (2) the results from operations in jurisdictions outside the U.S. and (3) a provision associated with foreign withholding taxes on undistributed earnings.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RESTRUCTURING LIABILITIES</w:t>
      </w:r>
    </w:p>
    <w:p>
      <w:pPr>
        <w:spacing w:after="0" w:line="25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six months of 2020 were initiated to reduce Kodak’s cost structure as part of its commitment to drive sustainable profitability and included various targeted reductions in manufacturing, service, sales and other administrative functions.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Reserve Activity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activity in the accrued balances and the non-cash charges and credits incurred in relation to restructuring activities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Long-lived Asset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Exit</w:t>
            </w:r>
          </w:p>
        </w:tc>
        <w:tc>
          <w:tcPr>
            <w:tcW w:w="1680" w:type="dxa"/>
            <w:vAlign w:val="bottom"/>
            <w:gridSpan w:val="4"/>
          </w:tcPr>
          <w:p>
            <w:pPr>
              <w:ind w:left="100"/>
              <w:spacing w:after="0"/>
              <w:rPr>
                <w:sz w:val="20"/>
                <w:szCs w:val="20"/>
                <w:color w:val="auto"/>
              </w:rPr>
            </w:pPr>
            <w:r>
              <w:rPr>
                <w:rFonts w:ascii="Arial" w:cs="Arial" w:eastAsia="Arial" w:hAnsi="Arial"/>
                <w:sz w:val="18"/>
                <w:szCs w:val="18"/>
                <w:b w:val="1"/>
                <w:bCs w:val="1"/>
                <w:color w:val="auto"/>
              </w:rPr>
              <w:t>Impairments 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Severance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Costs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Inventory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100" w:type="dxa"/>
            <w:vAlign w:val="bottom"/>
          </w:tcPr>
          <w:p>
            <w:pPr>
              <w:spacing w:after="0"/>
              <w:rPr>
                <w:sz w:val="20"/>
                <w:szCs w:val="20"/>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 xml:space="preserve">Write-downs </w:t>
            </w:r>
            <w:r>
              <w:rPr>
                <w:rFonts w:ascii="Arial" w:cs="Arial" w:eastAsia="Arial" w:hAnsi="Arial"/>
                <w:sz w:val="15"/>
                <w:szCs w:val="15"/>
                <w:b w:val="1"/>
                <w:bCs w:val="1"/>
                <w:color w:val="auto"/>
                <w:w w:val="91"/>
              </w:rPr>
              <w:t>(1)</w:t>
            </w: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Q1 charges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 xml:space="preserve">Q1 other adjustments and reclasses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2020</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Q2 charges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Q2 utilization/cash payments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Balance as of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right="300" w:hanging="372"/>
        <w:spacing w:after="0" w:line="258" w:lineRule="auto"/>
        <w:tabs>
          <w:tab w:leader="none" w:pos="3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and inventory write-downs represent non-cash items.</w:t>
      </w:r>
    </w:p>
    <w:p>
      <w:pPr>
        <w:spacing w:after="0" w:line="1" w:lineRule="exact"/>
        <w:rPr>
          <w:rFonts w:ascii="Arial" w:cs="Arial" w:eastAsia="Arial" w:hAnsi="Arial"/>
          <w:sz w:val="15"/>
          <w:szCs w:val="15"/>
          <w:color w:val="auto"/>
        </w:rPr>
      </w:pPr>
    </w:p>
    <w:p>
      <w:pPr>
        <w:ind w:left="380" w:right="40" w:hanging="372"/>
        <w:spacing w:after="0" w:line="260" w:lineRule="auto"/>
        <w:tabs>
          <w:tab w:leader="none" w:pos="3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$(1) million of severance charges funded from pension plan assets, which were reclassified to Pension and other postretirement liabilities and $(1) million of currency translation impacts.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right="140"/>
        <w:spacing w:after="0" w:line="277" w:lineRule="auto"/>
        <w:rPr>
          <w:sz w:val="20"/>
          <w:szCs w:val="20"/>
          <w:color w:val="auto"/>
        </w:rPr>
      </w:pPr>
      <w:r>
        <w:rPr>
          <w:rFonts w:ascii="Arial" w:cs="Arial" w:eastAsia="Arial" w:hAnsi="Arial"/>
          <w:sz w:val="18"/>
          <w:szCs w:val="18"/>
          <w:color w:val="auto"/>
        </w:rPr>
        <w:t>The $1 million and $7 million of charges for the three and six months ended June 30, 2020, respectively, were reported as Restructuring costs and other in the Consolidated Statement of Operations.</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severance costs for the 3 months ended June 30, 2020 related to the elimination of 3 administrative positions outside of the U.S. The severance costs for the six months ended June 30, 2020 related to the elimination of approximately 90 positions including approximately 20 manufacturing/service positions, and 70 administrative and sales positions. The geographic composition of these positions includes approximately 40 in the U.S. and Canada and 50 throughout the rest of the world.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initiatives, the majority of the severance will be paid during periods through the end of the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RETIREMENT PLANS AND OTHER POSTRETIREMENT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for all major U.S. and non-U.S. defined benefit plans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3"/>
              </w:rPr>
              <w:t>Three Months Ended</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Six Months Ended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9"/>
                <w:szCs w:val="19"/>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Non-U.S.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U.S.</w:t>
            </w:r>
          </w:p>
        </w:tc>
        <w:tc>
          <w:tcPr>
            <w:tcW w:w="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Non-U.S.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19"/>
                <w:szCs w:val="19"/>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Non-U.S.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w w:val="86"/>
              </w:rPr>
              <w:t>Non-U.S.</w:t>
            </w:r>
          </w:p>
        </w:tc>
        <w:tc>
          <w:tcPr>
            <w:tcW w:w="100" w:type="dxa"/>
            <w:vAlign w:val="bottom"/>
          </w:tcPr>
          <w:p>
            <w:pPr>
              <w:spacing w:after="0"/>
              <w:rPr>
                <w:sz w:val="19"/>
                <w:szCs w:val="19"/>
                <w:color w:val="auto"/>
              </w:rPr>
            </w:pPr>
          </w:p>
        </w:tc>
      </w:tr>
      <w:tr>
        <w:trPr>
          <w:trHeight w:val="22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540" w:type="dxa"/>
            <w:vAlign w:val="bottom"/>
          </w:tcPr>
          <w:p>
            <w:pPr>
              <w:spacing w:after="0"/>
              <w:rPr>
                <w:sz w:val="20"/>
                <w:szCs w:val="20"/>
                <w:color w:val="auto"/>
              </w:rPr>
            </w:pPr>
            <w:r>
              <w:rPr>
                <w:rFonts w:ascii="Arial" w:cs="Arial" w:eastAsia="Arial" w:hAnsi="Arial"/>
                <w:sz w:val="18"/>
                <w:szCs w:val="18"/>
                <w:color w:val="auto"/>
              </w:rPr>
              <w:t>Service cost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9"/>
        </w:trPr>
        <w:tc>
          <w:tcPr>
            <w:tcW w:w="25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29"/>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2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Actuarial loss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09"/>
        </w:trPr>
        <w:tc>
          <w:tcPr>
            <w:tcW w:w="2540" w:type="dxa"/>
            <w:vAlign w:val="bottom"/>
          </w:tcPr>
          <w:p>
            <w:pPr>
              <w:spacing w:after="0"/>
              <w:rPr>
                <w:sz w:val="20"/>
                <w:szCs w:val="20"/>
                <w:color w:val="auto"/>
              </w:rPr>
            </w:pPr>
            <w:r>
              <w:rPr>
                <w:rFonts w:ascii="Arial" w:cs="Arial" w:eastAsia="Arial" w:hAnsi="Arial"/>
                <w:sz w:val="18"/>
                <w:szCs w:val="18"/>
                <w:color w:val="auto"/>
              </w:rPr>
              <w:t>Net pension income before</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special termination benefits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Curtailment gain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pension income from major</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plans</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Other plans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09"/>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pension (income)</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4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25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For the three and six months ended June 30, 2020 and 2019 the special termination benefits charges were incurred as a result of Kodak’s restructuring actions and have been included in Restructuring costs and other in the Consolidated Statement of Operations for those periods.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19: EARNINGS PER SHARE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available to common shareholders, diluted earnings per share are calculated using weighted-average basic shares for that period, as utilizing diluted shares would be anti-dilutive to loss per share.</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reconciliation of the amounts used to calculate basic and diluted earnings per share for the three and six months ended June 30, 2020 and 2019 follows (in millions):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Less: Series A convertible preferred stock cash dividend</w:t>
            </w:r>
          </w:p>
        </w:tc>
        <w:tc>
          <w:tcPr>
            <w:tcW w:w="2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Series A convertible preferred stock deemed dividend</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Loss from continuing operations available to common</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140"/>
              <w:spacing w:after="0"/>
              <w:rPr>
                <w:sz w:val="20"/>
                <w:szCs w:val="20"/>
                <w:color w:val="auto"/>
              </w:rPr>
            </w:pPr>
            <w:r>
              <w:rPr>
                <w:rFonts w:ascii="Arial" w:cs="Arial" w:eastAsia="Arial" w:hAnsi="Arial"/>
                <w:sz w:val="18"/>
                <w:szCs w:val="18"/>
                <w:color w:val="auto"/>
              </w:rPr>
              <w:t>shareholders - basic and diluted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Net (loss)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Series A convertible preferred stock cash dividend</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Less: Series A convertible preferred stock deemed dividend</w:t>
            </w:r>
          </w:p>
        </w:tc>
        <w:tc>
          <w:tcPr>
            <w:tcW w:w="2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 available to common shareholders</w:t>
            </w: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basic and diluted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(in millions of shares)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 basic and diluted</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 net loss from continuing operations available to common shareholders for the three and six months ended June 30, 2020 and 2019, Kodak calculated diluted earnings per share using weighted-average basic shares outstanding. If Kodak reported earnings from continuing operations available to common shareholders for the three and six months ended June 30, 2020 and 2019, the calculation of diluted earnings per share would have included the assumed conversion of 0.5 million unvested restricted stock units for both periods in 2020 and 0.5 million and 0.4 million unvested restricted stock units for the periods in 2019, respectively.</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computation of diluted earnings per share for the three and six months ended June 30, 2020 and 2019 also excluded the impact of (1) the assumed conversion of 2.0 million shares of Series A Preferred Stock and (2) the assumed conversion of outstanding employee stock options of 7.1 million for both periods in 2020 and 7.2 million for both periods in 2019 because the effects would have been anti-dilutive. In addition, the computation of diluted earnings per share for the three and six months ended June 30, 2020 and the three months ended June 30, 2019 also excluded the assumed conversion of $100 million of Convertible Notes because the effect would have been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560 million shares of authorized stock, consisting of: (i) 500 million shares of common stock, par value $0.01 per share and</w:t>
      </w:r>
    </w:p>
    <w:p>
      <w:pPr>
        <w:spacing w:after="0" w:line="35" w:lineRule="exact"/>
        <w:rPr>
          <w:sz w:val="20"/>
          <w:szCs w:val="20"/>
          <w:color w:val="auto"/>
        </w:rPr>
      </w:pPr>
    </w:p>
    <w:p>
      <w:pPr>
        <w:ind w:right="60" w:firstLine="8"/>
        <w:spacing w:after="0" w:line="255"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60 million shares of preferred stock, no par value, issuable in one or more series. As of June 30, 2020 and December 31, 2019, there were 43.7 million and 43.2 million shares of common stock outstanding, respectively, and 2.0 million shares of Series A Preferred Stock issued and outstanding. Treasury stock consisted of approximately 0.7 million shares as of both June 30, 2020 and December 31, 2019.</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NOTE 21: OTHER COMPREHENSIVE (LOSS) INCOME</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80" w:type="dxa"/>
            <w:vAlign w:val="bottom"/>
            <w:gridSpan w:val="4"/>
          </w:tcPr>
          <w:p>
            <w:pPr>
              <w:spacing w:after="0"/>
              <w:rPr>
                <w:sz w:val="20"/>
                <w:szCs w:val="20"/>
                <w:color w:val="auto"/>
              </w:rPr>
            </w:pPr>
            <w:r>
              <w:rPr>
                <w:rFonts w:ascii="Arial" w:cs="Arial" w:eastAsia="Arial" w:hAnsi="Arial"/>
                <w:sz w:val="18"/>
                <w:szCs w:val="18"/>
                <w:color w:val="auto"/>
                <w:w w:val="90"/>
              </w:rPr>
              <w:t>The changes in Other comprehensive (loss) income, by component, were as follows: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Tax Provision</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 net of tax</w:t>
            </w:r>
          </w:p>
        </w:tc>
        <w:tc>
          <w:tcPr>
            <w:tcW w:w="4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Reclassification adjustments: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Amortization of prior service credit </w:t>
            </w:r>
            <w:r>
              <w:rPr>
                <w:rFonts w:ascii="Arial" w:cs="Arial" w:eastAsia="Arial" w:hAnsi="Arial"/>
                <w:sz w:val="15"/>
                <w:szCs w:val="15"/>
                <w:color w:val="auto"/>
              </w:rPr>
              <w:t>(a)</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tcPr>
          <w:p>
            <w:pPr>
              <w:ind w:left="480"/>
              <w:spacing w:after="0"/>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15"/>
                <w:szCs w:val="15"/>
                <w:color w:val="auto"/>
              </w:rPr>
              <w:t>(a)</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Recognition of losses (gains) due to curtailments and</w:t>
            </w: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settlements</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vMerge w:val="restart"/>
          </w:tcPr>
          <w:p>
            <w:pPr>
              <w:ind w:left="240"/>
              <w:spacing w:after="0"/>
              <w:rPr>
                <w:sz w:val="20"/>
                <w:szCs w:val="20"/>
                <w:color w:val="auto"/>
              </w:rPr>
            </w:pPr>
            <w:r>
              <w:rPr>
                <w:rFonts w:ascii="Arial" w:cs="Arial" w:eastAsia="Arial" w:hAnsi="Arial"/>
                <w:sz w:val="18"/>
                <w:szCs w:val="18"/>
                <w:color w:val="auto"/>
              </w:rPr>
              <w:t>Total reclassification adjustments</w:t>
            </w: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provision</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vMerge w:val="restart"/>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4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4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920" w:hanging="359"/>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18, "Retirement Plans and Other Postretirement Benefits".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Segments</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January 1, 2020 Kodak changed its organizational structure. Prepress Solutions, formerly part of the Print Systems segment, operates as a separate segment named the Traditional Printing segment. Electrophotographic Printing Solutions, formerly part of the Print Systems segment, was combined with the Enterprise Inkjet Systems segment and Kodak Software segment to form the Digital Printing segment. The Brand, Film and Imaging segment, except for the licensing of the Kodak brand to third parties, was combined with the Advanced Materials and 3D Printing segment to form the Advanced Materials and Chemicals segment. The licensing of the Kodak brand to third parties operates as a separate segment named the Brand segment. The Eastman Business Park segment is no longer a reportable segment. A description of Kodak’s reportable segments follows.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Printing</w:t>
      </w:r>
      <w:r>
        <w:rPr>
          <w:rFonts w:ascii="Arial" w:cs="Arial" w:eastAsia="Arial" w:hAnsi="Arial"/>
          <w:sz w:val="18"/>
          <w:szCs w:val="18"/>
          <w:color w:val="auto"/>
        </w:rPr>
        <w:t>: The Traditional Printing segment is comprised of Prepress Solutions.</w:t>
      </w:r>
    </w:p>
    <w:p>
      <w:pPr>
        <w:spacing w:after="0" w:line="25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Digital Printing</w:t>
      </w:r>
      <w:r>
        <w:rPr>
          <w:rFonts w:ascii="Arial" w:cs="Arial" w:eastAsia="Arial" w:hAnsi="Arial"/>
          <w:sz w:val="18"/>
          <w:szCs w:val="18"/>
          <w:color w:val="auto"/>
        </w:rPr>
        <w:t>: The Digital Printing segment is comprised of four lines of business: the Electrophotographic Printing Solutions business, the Prosper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the Versamark business and the Kodak Software business.</w:t>
      </w:r>
    </w:p>
    <w:p>
      <w:pPr>
        <w:spacing w:after="0" w:line="189" w:lineRule="exact"/>
        <w:rPr>
          <w:sz w:val="20"/>
          <w:szCs w:val="20"/>
          <w:color w:val="auto"/>
        </w:rPr>
      </w:pPr>
    </w:p>
    <w:p>
      <w:pPr>
        <w:ind w:right="680"/>
        <w:spacing w:after="0" w:line="312" w:lineRule="auto"/>
        <w:rPr>
          <w:sz w:val="20"/>
          <w:szCs w:val="20"/>
          <w:color w:val="auto"/>
        </w:rPr>
      </w:pPr>
      <w:r>
        <w:rPr>
          <w:rFonts w:ascii="Arial" w:cs="Arial" w:eastAsia="Arial" w:hAnsi="Arial"/>
          <w:sz w:val="17"/>
          <w:szCs w:val="17"/>
          <w:b w:val="1"/>
          <w:bCs w:val="1"/>
          <w:color w:val="auto"/>
        </w:rPr>
        <w:t xml:space="preserve">Advanced Materials and Chemicals: </w:t>
      </w:r>
      <w:r>
        <w:rPr>
          <w:rFonts w:ascii="Arial" w:cs="Arial" w:eastAsia="Arial" w:hAnsi="Arial"/>
          <w:sz w:val="17"/>
          <w:szCs w:val="17"/>
          <w:color w:val="auto"/>
        </w:rPr>
        <w:t>The Advanced Materials and Chemicals segment is comprised of five lines of business: Industrial Film and</w:t>
      </w:r>
      <w:r>
        <w:rPr>
          <w:rFonts w:ascii="Arial" w:cs="Arial" w:eastAsia="Arial" w:hAnsi="Arial"/>
          <w:sz w:val="17"/>
          <w:szCs w:val="17"/>
          <w:b w:val="1"/>
          <w:bCs w:val="1"/>
          <w:color w:val="auto"/>
        </w:rPr>
        <w:t xml:space="preserve"> </w:t>
      </w:r>
      <w:r>
        <w:rPr>
          <w:rFonts w:ascii="Arial" w:cs="Arial" w:eastAsia="Arial" w:hAnsi="Arial"/>
          <w:sz w:val="17"/>
          <w:szCs w:val="17"/>
          <w:color w:val="auto"/>
        </w:rPr>
        <w:t>Chemicals, Motion Picture, Advanced Materials and Functional Printing Technology and Kodak Services for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r>
        <w:rPr>
          <w:rFonts w:ascii="Arial" w:cs="Arial" w:eastAsia="Arial" w:hAnsi="Arial"/>
          <w:sz w:val="18"/>
          <w:szCs w:val="18"/>
          <w:color w:val="auto"/>
        </w:rPr>
        <w:t>: The Brand segment contains the brand licensing business.</w:t>
      </w:r>
    </w:p>
    <w:p>
      <w:pPr>
        <w:spacing w:after="0" w:line="252"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All Other</w:t>
      </w:r>
      <w:r>
        <w:rPr>
          <w:rFonts w:ascii="Arial" w:cs="Arial" w:eastAsia="Arial" w:hAnsi="Arial"/>
          <w:sz w:val="16"/>
          <w:szCs w:val="16"/>
          <w:color w:val="auto"/>
        </w:rPr>
        <w:t>: All Other is comprised of the operations of the Eastman Business Park, a more than 1,200-acre technology center and industrial complex.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Segment financial information is shown below:</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4"/>
              </w:rPr>
              <w:t>June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Digital Printing</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Brand</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Consolidated 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r>
      <w:tr>
        <w:trPr>
          <w:trHeight w:val="20"/>
        </w:trPr>
        <w:tc>
          <w:tcPr>
            <w:tcW w:w="58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9540" w:type="dxa"/>
            <w:vAlign w:val="bottom"/>
            <w:gridSpan w:val="11"/>
          </w:tcPr>
          <w:p>
            <w:pPr>
              <w:spacing w:after="0"/>
              <w:rPr>
                <w:sz w:val="20"/>
                <w:szCs w:val="20"/>
                <w:color w:val="auto"/>
              </w:rPr>
            </w:pPr>
            <w:r>
              <w:rPr>
                <w:rFonts w:ascii="Arial" w:cs="Arial" w:eastAsia="Arial" w:hAnsi="Arial"/>
                <w:sz w:val="18"/>
                <w:szCs w:val="18"/>
                <w:b w:val="1"/>
                <w:bCs w:val="1"/>
                <w:color w:val="auto"/>
                <w:w w:val="98"/>
              </w:rPr>
              <w:t>Segment Operational EBITDA and Consolidated (Loss) Income from Continuing Operations Before Income Taxes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4"/>
              </w:rPr>
              <w:t>June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Digital Printing</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29"/>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Brand</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of reportable segments</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All 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Former CEO separation agreement compensation</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5"/>
        </w:trPr>
        <w:tc>
          <w:tcPr>
            <w:tcW w:w="58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(loss) income, net, excluding income from</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transition services agreement </w:t>
            </w:r>
            <w:r>
              <w:rPr>
                <w:rFonts w:ascii="Arial" w:cs="Arial" w:eastAsia="Arial" w:hAnsi="Arial"/>
                <w:sz w:val="15"/>
                <w:szCs w:val="15"/>
                <w:color w:val="auto"/>
              </w:rPr>
              <w:t>(3)</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5"/>
                <w:szCs w:val="15"/>
                <w:color w:val="auto"/>
              </w:rPr>
              <w:t>(4)</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9"/>
        </w:trPr>
        <w:tc>
          <w:tcPr>
            <w:tcW w:w="580" w:type="dxa"/>
            <w:vAlign w:val="bottom"/>
          </w:tcPr>
          <w:p>
            <w:pPr>
              <w:spacing w:after="0"/>
              <w:rPr>
                <w:sz w:val="18"/>
                <w:szCs w:val="18"/>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(loss) income from continuing operations</w:t>
            </w: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before income taxes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0"/>
        </w:trPr>
        <w:tc>
          <w:tcPr>
            <w:tcW w:w="58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920" w:hanging="359"/>
        <w:spacing w:after="0"/>
        <w:tabs>
          <w:tab w:leader="none" w:pos="920" w:val="left"/>
        </w:tabs>
        <w:numPr>
          <w:ilvl w:val="0"/>
          <w:numId w:val="13"/>
        </w:numPr>
        <w:rPr>
          <w:rFonts w:ascii="Arial" w:cs="Arial" w:eastAsia="Arial" w:hAnsi="Arial"/>
          <w:sz w:val="14"/>
          <w:szCs w:val="14"/>
          <w:color w:val="auto"/>
        </w:rPr>
      </w:pPr>
      <w:r>
        <w:rPr>
          <w:rFonts w:ascii="Arial" w:cs="Arial" w:eastAsia="Arial" w:hAnsi="Arial"/>
          <w:sz w:val="17"/>
          <w:szCs w:val="17"/>
          <w:color w:val="auto"/>
        </w:rPr>
        <w:t>Consulting and other costs are primarily professional services and internal costs associated with certain corporate strategic initiatives.</w:t>
      </w:r>
    </w:p>
    <w:p>
      <w:pPr>
        <w:spacing w:after="0" w:line="236" w:lineRule="exact"/>
        <w:rPr>
          <w:rFonts w:ascii="Arial" w:cs="Arial" w:eastAsia="Arial" w:hAnsi="Arial"/>
          <w:sz w:val="14"/>
          <w:szCs w:val="14"/>
          <w:color w:val="auto"/>
        </w:rPr>
      </w:pPr>
    </w:p>
    <w:p>
      <w:pPr>
        <w:ind w:left="940" w:hanging="365"/>
        <w:spacing w:after="0" w:line="277" w:lineRule="auto"/>
        <w:tabs>
          <w:tab w:leader="none" w:pos="940" w:val="left"/>
        </w:tabs>
        <w:numPr>
          <w:ilvl w:val="1"/>
          <w:numId w:val="13"/>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170" w:lineRule="exact"/>
        <w:rPr>
          <w:sz w:val="20"/>
          <w:szCs w:val="20"/>
          <w:color w:val="auto"/>
        </w:rPr>
      </w:pPr>
    </w:p>
    <w:p>
      <w:pPr>
        <w:jc w:val="both"/>
        <w:ind w:left="920" w:right="40" w:hanging="359"/>
        <w:spacing w:after="0" w:line="257" w:lineRule="auto"/>
        <w:tabs>
          <w:tab w:leader="none" w:pos="9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$2 million of income from the transition services agreement with the Purchaser was recognized in the three months ended June 30, 2020 and the three and six months ended June 30, 2019. $4 million of income from the transition services agreement was recognized in the six months ended June 30, 2020. The income was reported in Other operating income, net in the Consolidated Statement of Operations. Other operating income, net is typically excluded from the segment measure. However, the income from the transition services agreement was included in the segment measure.</w:t>
      </w:r>
    </w:p>
    <w:p>
      <w:pPr>
        <w:spacing w:after="0" w:line="187" w:lineRule="exact"/>
        <w:rPr>
          <w:rFonts w:ascii="Arial" w:cs="Arial" w:eastAsia="Arial" w:hAnsi="Arial"/>
          <w:sz w:val="15"/>
          <w:szCs w:val="15"/>
          <w:color w:val="auto"/>
        </w:rPr>
      </w:pPr>
    </w:p>
    <w:p>
      <w:pPr>
        <w:ind w:left="920" w:hanging="359"/>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28" w:name="page29"/>
    <w:bookmarkEnd w:id="28"/>
    <w:p>
      <w:pPr>
        <w:ind w:right="220"/>
        <w:spacing w:after="0" w:line="279" w:lineRule="auto"/>
        <w:rPr>
          <w:sz w:val="20"/>
          <w:szCs w:val="20"/>
          <w:color w:val="auto"/>
        </w:rPr>
      </w:pPr>
      <w:r>
        <w:rPr>
          <w:rFonts w:ascii="Arial" w:cs="Arial" w:eastAsia="Arial" w:hAnsi="Arial"/>
          <w:sz w:val="17"/>
          <w:szCs w:val="17"/>
          <w:color w:val="auto"/>
        </w:rPr>
        <w:t>As demonstrated in the above table,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former Chief Executive Officer (“CEO”) separation agreement compensation; other operating (loss) income, net (unless otherwise indicated); interest expense; and other (charges) income, net.</w:t>
      </w:r>
    </w:p>
    <w:p>
      <w:pPr>
        <w:spacing w:after="0" w:line="198"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DISCONTINUED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of Kodak include the former Flexographic Packaging segment comprised of Kodak’s Flexographic Packaging Business (“FPD”).</w:t>
      </w:r>
    </w:p>
    <w:p>
      <w:pPr>
        <w:spacing w:after="0" w:line="24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Kodak consummated the sale of certain assets of FPD to the Purchaser on April 8, 2019 for net cash consideration at closing, in addition to the assumption by Purchaser of certain liabilities of FPD, of $320 million, pursuant to the Stock and Asset Purchase Agreement (“SAPA”) signed in November 2018 and amended in March 2019. Assets and liabilities of FPD in China were transferred at a deferred closing on July 1, 2019 for net cash consideration of $5.9 million at closing and a promissory note for $1.4 million in addition to the assumption by Purchaser of certain liabilities of FPD, in accordance with the SAPA. Kodak operated FPD in China, subject to certain covenants, until the deferred closing occurred. The promissory note was reduced by a true-up payment of $0.2 million owed by Kodak to the Purchaser which reflected the actual economic benefit attributable to the operation of FPD in China from the time of the initial closing through the time of the deferred closing.</w:t>
      </w:r>
    </w:p>
    <w:p>
      <w:pPr>
        <w:spacing w:after="0" w:line="1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Kodak recognized an after- tax gain on the sale of FPD of $207 million in the quarter ended June 30, 2019 and $212 million in the year ended December 31, 2019.</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results of operations of FPD are classified as discontinued operations in the Consolidated Statement of Operations for all periods presented. Direct operating expenses of the discontinued operations are included in the results of discontinued operations. Indirect expenses that were historically allocated to the discontinued operations have been included in the results of continuing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The results of operations of FPD are presented below:</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1"/>
              </w:rPr>
              <w:t>June 30,</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6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2019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10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2019</w:t>
            </w: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160" w:type="dxa"/>
            <w:vAlign w:val="bottom"/>
            <w:gridSpan w:val="2"/>
          </w:tcPr>
          <w:p>
            <w:pPr>
              <w:ind w:left="1140"/>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Gain on divestiture</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r>
      <w:tr>
        <w:trPr>
          <w:trHeight w:val="223"/>
        </w:trPr>
        <w:tc>
          <w:tcPr>
            <w:tcW w:w="114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discontinued operations before taxes</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After the initial closing, Kodak was required to use a portion of the proceeds from the sale of FPD to repay $312 million of the loans under the Term Credit Agreement. Interest expense on debt that was required to be repaid as a result of the sale was allocated to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FINANCIAL INSTRUMENTS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(loss) earnings at the same time that the exposed assets and liabilities are remeasured through net (loss) earnings (both in Other (income) charges, net in the Consolidated Statement of Operations). The notional amount of such contracts open at June 30, 2020 and December 31, 2019 was approximately $329 million and $332 million, respectively. The majority of the contracts of this type held by Kodak as of June 30, 2020 and December 31, 2019 are denominated in euros, Japanese yen, Chinese renminbi and Swiss francs.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2040" w:type="dxa"/>
            <w:vAlign w:val="bottom"/>
            <w:gridSpan w:val="4"/>
          </w:tcPr>
          <w:p>
            <w:pPr>
              <w:ind w:left="300"/>
              <w:spacing w:after="0"/>
              <w:rPr>
                <w:sz w:val="20"/>
                <w:szCs w:val="20"/>
                <w:color w:val="auto"/>
              </w:rPr>
            </w:pPr>
            <w:r>
              <w:rPr>
                <w:rFonts w:ascii="Arial" w:cs="Arial" w:eastAsia="Arial" w:hAnsi="Arial"/>
                <w:sz w:val="18"/>
                <w:szCs w:val="18"/>
                <w:b w:val="1"/>
                <w:bCs w:val="1"/>
                <w:color w:val="auto"/>
                <w:w w:val="96"/>
              </w:rPr>
              <w:t>Three Months Ended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4"/>
          </w:tcPr>
          <w:p>
            <w:pPr>
              <w:jc w:val="center"/>
              <w:ind w:left="156"/>
              <w:spacing w:after="0"/>
              <w:rPr>
                <w:sz w:val="20"/>
                <w:szCs w:val="20"/>
                <w:color w:val="auto"/>
              </w:rPr>
            </w:pPr>
            <w:r>
              <w:rPr>
                <w:rFonts w:ascii="Arial" w:cs="Arial" w:eastAsia="Arial" w:hAnsi="Arial"/>
                <w:sz w:val="18"/>
                <w:szCs w:val="18"/>
                <w:b w:val="1"/>
                <w:bCs w:val="1"/>
                <w:color w:val="auto"/>
                <w:w w:val="90"/>
              </w:rPr>
              <w:t>Six Months Ended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8"/>
                <w:szCs w:val="18"/>
                <w:b w:val="1"/>
                <w:bCs w:val="1"/>
                <w:color w:val="auto"/>
                <w:w w:val="94"/>
              </w:rPr>
              <w:t>June 30,</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7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(gain) loss from derivatives not designated as hedging</w:t>
            </w: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740" w:type="dxa"/>
            <w:vAlign w:val="bottom"/>
            <w:shd w:val="clear" w:color="auto" w:fill="CFF0FC"/>
          </w:tcPr>
          <w:p>
            <w:pPr>
              <w:jc w:val="right"/>
              <w:ind w:right="57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FF0FC"/>
          </w:tcPr>
          <w:p>
            <w:pPr>
              <w:jc w:val="right"/>
              <w:ind w:right="63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76"/>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9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and six months ended June 30, 2020 and 2019.</w:t>
      </w:r>
    </w:p>
    <w:p>
      <w:pPr>
        <w:spacing w:after="0" w:line="25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In the event of a default under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discussed in Note 8, “Debt and Finance Leases”, the Company concluded that the Convertible Notes are considered more akin to a debt-type instrument and that the economic characteristics and risks of the embedded conversion features and term extension option were not considered clearly and closely related to the Convertible Notes. The embedded conversion features not considered clearly and closely related are the conversion at the option of the holder (“Optional Conversion”) and the conversion in the event of a fundamental change or reorganization (“Fundamental Change or Reorganization Conversion”). Accordingly, these embedded conversion features and term extension option were bifurcated from the Convertible Notes and separately accounted for on a combined basis as a single derivative asset or liability.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derivative is in a liability position at June 30, 2020 and December 31, 2019 and is reported in Other long-term liabilities in the Consolidated Statement of Financial Position. The derivative is being accounted for at fair value with changes in fair value being reported in Other charges (income), net in the Consolidated Statement of Operations.</w:t>
      </w:r>
    </w:p>
    <w:p>
      <w:pPr>
        <w:spacing w:after="0" w:line="2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discussed in Note 9,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derivative was in an asset position at June 30, 2020 and is reported in Other long-term assets in the Consolidated Statement of Financial Position. The derivative was in a liability position at December 31, 2019 and was reported in Other long-term liabilities in the Consolidated Statement of Financial Position. The derivative is being accounted for at fair value with changes in fair value being reported in Other charges (income), net in the Consolidated Statement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both June 30, 2020 and December 31, 2019 was $1 million. The gross fair value of foreign currency forward contracts in a liability position as of both June 30, 2020 and December 31, 2019 was $0 million.</w:t>
      </w:r>
    </w:p>
    <w:p>
      <w:pPr>
        <w:spacing w:after="0" w:line="19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Transfers between levels of the fair value hierarchy are recognized based on the actual date of the event or change in circumstances that caused the transfer. There were no transfers between levels of the fair value hierarchy during the three and six months ended June 30, 2020.</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ind w:right="60"/>
        <w:spacing w:after="0" w:line="259" w:lineRule="auto"/>
        <w:rPr>
          <w:sz w:val="20"/>
          <w:szCs w:val="20"/>
          <w:color w:val="auto"/>
        </w:rPr>
      </w:pPr>
      <w:r>
        <w:rPr>
          <w:rFonts w:ascii="Arial" w:cs="Arial" w:eastAsia="Arial" w:hAnsi="Arial"/>
          <w:sz w:val="18"/>
          <w:szCs w:val="18"/>
          <w:color w:val="auto"/>
        </w:rPr>
        <w:t>The fair value of the embedded conversion features and term extension option derivatives are calculated using unobservable inputs (Level 3 fair measurements). The value of the Optional Conversion associated with both the Convertible Notes and Series A Preferred Stock is calculated using a binomial lattice model. The value of the term extension option reflects the probability weighted average value of the Convertible Notes using the original maturity date and a hypothetical extended maturity date, with all other contractual terms unchanged.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key inputs in the determination of fair value for the embedded conversion features and termination option derivatives: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68"/>
        </w:trPr>
        <w:tc>
          <w:tcPr>
            <w:tcW w:w="1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Valuation Date</w:t>
            </w:r>
          </w:p>
        </w:tc>
      </w:tr>
      <w:tr>
        <w:trPr>
          <w:trHeight w:val="230"/>
        </w:trPr>
        <w:tc>
          <w:tcPr>
            <w:tcW w:w="11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1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Total value of embedded derivative liability ($ millions)</w:t>
            </w:r>
          </w:p>
        </w:tc>
        <w:tc>
          <w:tcPr>
            <w:tcW w:w="6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Kodak's closing stock price</w:t>
            </w:r>
          </w:p>
        </w:tc>
        <w:tc>
          <w:tcPr>
            <w:tcW w:w="7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2.23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Expected stock price volatility</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104.61%</w:t>
            </w:r>
          </w:p>
        </w:tc>
      </w:tr>
      <w:tr>
        <w:trPr>
          <w:trHeight w:val="230"/>
        </w:trPr>
        <w:tc>
          <w:tcPr>
            <w:tcW w:w="11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Risk free rate</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w:t>
            </w:r>
          </w:p>
        </w:tc>
      </w:tr>
      <w:tr>
        <w:trPr>
          <w:trHeight w:val="230"/>
        </w:trPr>
        <w:tc>
          <w:tcPr>
            <w:tcW w:w="114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Yield on the convertible notes</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11.52%</w:t>
            </w:r>
          </w:p>
        </w:tc>
      </w:tr>
      <w:tr>
        <w:trPr>
          <w:trHeight w:val="458"/>
        </w:trPr>
        <w:tc>
          <w:tcPr>
            <w:tcW w:w="654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1"/>
        </w:trPr>
        <w:tc>
          <w:tcPr>
            <w:tcW w:w="1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Valuation Date</w:t>
            </w:r>
          </w:p>
        </w:tc>
      </w:tr>
      <w:tr>
        <w:trPr>
          <w:trHeight w:val="229"/>
        </w:trPr>
        <w:tc>
          <w:tcPr>
            <w:tcW w:w="11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140" w:type="dxa"/>
            <w:vAlign w:val="bottom"/>
          </w:tcPr>
          <w:p>
            <w:pPr>
              <w:spacing w:after="0"/>
              <w:rPr>
                <w:sz w:val="20"/>
                <w:szCs w:val="20"/>
                <w:color w:val="auto"/>
              </w:rPr>
            </w:pPr>
          </w:p>
        </w:tc>
        <w:tc>
          <w:tcPr>
            <w:tcW w:w="5400" w:type="dxa"/>
            <w:vAlign w:val="bottom"/>
            <w:tcBorders>
              <w:bottom w:val="single" w:sz="8" w:color="CFF0FC"/>
            </w:tcBorders>
          </w:tcPr>
          <w:p>
            <w:pPr>
              <w:spacing w:after="0"/>
              <w:rPr>
                <w:sz w:val="20"/>
                <w:szCs w:val="20"/>
                <w:color w:val="auto"/>
              </w:rPr>
            </w:pPr>
          </w:p>
        </w:tc>
        <w:tc>
          <w:tcPr>
            <w:tcW w:w="6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CFF0FC"/>
            </w:tcBorders>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(asset) liability ($ millions)</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7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104.61%</w:t>
            </w:r>
          </w:p>
        </w:tc>
      </w:tr>
      <w:tr>
        <w:trPr>
          <w:trHeight w:val="230"/>
        </w:trPr>
        <w:tc>
          <w:tcPr>
            <w:tcW w:w="11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r>
      <w:tr>
        <w:trPr>
          <w:trHeight w:val="229"/>
        </w:trPr>
        <w:tc>
          <w:tcPr>
            <w:tcW w:w="11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preferred stock</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16.27%</w:t>
            </w: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Fundamental Change and Reorganization Conversion values at issuance were calculated as the difference between the total value of the Convertible Notes or Series A Preferred Stock, as applicable, and the sum of the net present value of the cash flows if the Convertible Notes are repaid at their initial maturity date or Series A Preferred Stock is redeemed on its fifth anniversary and the values of the other embedded derivatives. The Fundamental Change and Reorganization Conversion values reduce the value of the embedded conversion features and term extension option derivative liability. Other than events that alter the likelihood of a fundamental change or reorganization event, the value of the Fundamental Change and Reorganization Conversion reflects the value as of the issuance date, amortized for the passage of time. The Fundamental Change and Reorganization Conversion value for the Series A Preferred Stock exceeded the value of the Optional Conversion and Mandatory Conversion values at June 30, 2020 resulting in the Series A Preferred Stock derivative being reported as an asset.</w:t>
      </w:r>
    </w:p>
    <w:p>
      <w:pPr>
        <w:spacing w:after="0" w:line="178"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$119 million and $111 million at June 30, 2020 and December 31, 2019, respectively.</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carrying values of cash and cash equivalents, restricted cash and the current portion of long-term debt approximate their fair values at both June 30, 2020 and December 31, 2019.</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6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2019 under the headings “Business,” “Risk Factors,” “Legal Proceedings,” and/or “Management’s Discussion and Analysis of Financial Condition and Results of Operations–Liquidity and Capital Resources,” in the corresponding sections of this report on Form 10-Q and the Company’s quarterly report on Form 10-Q for the quarter ended March 31, 2020, and in other filings the Company makes with the SEC from time to time, as well as the following:</w:t>
      </w:r>
    </w:p>
    <w:p>
      <w:pPr>
        <w:spacing w:after="0" w:line="71"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achieve cash forecasts, financial projections, and projected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global economic environment or medical epidemics such as the COVID-19 pandemic;</w:t>
      </w:r>
    </w:p>
    <w:p>
      <w:pPr>
        <w:spacing w:after="0" w:line="117"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U.S. Development Finance Corporation approves and makes the potential $765 million loan to a subsidiary of the Company to support the launch of Kodak Pharmaceuticals and the impact of the circumstances relating to such potential loan and any related announcements and investigations;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ABL Credit Agreement, Kodak’s ability to obtain additional financing if and as needed and Kodak’s ability to provide or facilitate financing for its customers;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Kodak’s ability to effect strategic transactions, such as divestitures, acquisitions, strategic alliances and similar transactions, or to achieve the benefits sought to be achieved from such strategic transactions.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Kodak is a global technology company focused on print and advanced materials and chemicals. Kodak provides industry-leading hardware, software, consumables and services primarily to customers in commercial print, packaging, publishing, manufacturing and entertainment. Kodak is committed to environmental stewardship and ongoing leadership in developing sustainable solutions. Its broad portfolio of superior products, responsive support and world-class research and development (“R&amp;D”) make Kodak solutions a smart investment for customers looking to improve their profitability and drive growth.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ind w:right="220"/>
        <w:spacing w:after="0" w:line="342" w:lineRule="auto"/>
        <w:rPr>
          <w:sz w:val="20"/>
          <w:szCs w:val="20"/>
          <w:color w:val="auto"/>
        </w:rPr>
      </w:pPr>
      <w:r>
        <w:rPr>
          <w:rFonts w:ascii="Arial" w:cs="Arial" w:eastAsia="Arial" w:hAnsi="Arial"/>
          <w:sz w:val="16"/>
          <w:szCs w:val="16"/>
          <w:color w:val="auto"/>
        </w:rPr>
        <w:t>Revenue decreased $94 million and $118 million when compared to the prior year quarter and year-to-date periods, respectively, (31% and 20%, respectively), including the unfavorable impact of currency ($3 million and $6 million) in the current year quarter and year-to-date periods,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film industry and segments within the print industry face competition from digital substitution. Kodak’s strategy is to:</w:t>
      </w:r>
    </w:p>
    <w:p>
      <w:pPr>
        <w:spacing w:after="0" w:line="252" w:lineRule="exact"/>
        <w:rPr>
          <w:sz w:val="20"/>
          <w:szCs w:val="20"/>
          <w:color w:val="auto"/>
        </w:rPr>
      </w:pPr>
    </w:p>
    <w:p>
      <w:pPr>
        <w:ind w:left="1000" w:right="160" w:hanging="371"/>
        <w:spacing w:after="0" w:line="308"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spacing w:after="0" w:line="173" w:lineRule="exact"/>
        <w:rPr>
          <w:rFonts w:ascii="Arial" w:cs="Arial" w:eastAsia="Arial" w:hAnsi="Arial"/>
          <w:sz w:val="17"/>
          <w:szCs w:val="17"/>
          <w:color w:val="auto"/>
        </w:rPr>
      </w:pPr>
    </w:p>
    <w:p>
      <w:pPr>
        <w:ind w:left="1000" w:hanging="37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 revenues through a focus on customers across Kodak’s print divisions, increasing overall share;</w:t>
      </w:r>
    </w:p>
    <w:p>
      <w:pPr>
        <w:spacing w:after="0" w:line="252" w:lineRule="exact"/>
        <w:rPr>
          <w:rFonts w:ascii="Arial" w:cs="Arial" w:eastAsia="Arial" w:hAnsi="Arial"/>
          <w:sz w:val="18"/>
          <w:szCs w:val="18"/>
          <w:color w:val="auto"/>
        </w:rPr>
      </w:pPr>
    </w:p>
    <w:p>
      <w:pPr>
        <w:ind w:left="1000" w:hanging="37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Promote the use of film and expand the applications of Kodak’s film and chemicals to best utilize the existing infrastructure; and</w:t>
      </w:r>
    </w:p>
    <w:p>
      <w:pPr>
        <w:spacing w:after="0" w:line="238" w:lineRule="exact"/>
        <w:rPr>
          <w:rFonts w:ascii="Arial" w:cs="Arial" w:eastAsia="Arial" w:hAnsi="Arial"/>
          <w:sz w:val="18"/>
          <w:szCs w:val="18"/>
          <w:color w:val="auto"/>
        </w:rPr>
      </w:pPr>
    </w:p>
    <w:p>
      <w:pPr>
        <w:ind w:left="980" w:hanging="351"/>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239" w:lineRule="exact"/>
        <w:rPr>
          <w:sz w:val="20"/>
          <w:szCs w:val="20"/>
          <w:color w:val="auto"/>
        </w:rPr>
      </w:pPr>
    </w:p>
    <w:p>
      <w:pPr>
        <w:ind w:left="1000" w:right="40" w:hanging="371"/>
        <w:spacing w:after="0" w:line="270"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COVID-19 pandemic had a material impact on current quarter and year-to-date sales. The duration and extent of demand declines and then recovery is unclear. Kodak has worked closely with government officials in the jurisdictions where it operates to keep its manufacturing facilities open, but the facilities are generally operating at below normal capacity during the pandemic to date. Kodak has endeavored to address the recommended actions of government and health authorities to protect employees world-wide, with particular measures in place for those working in plants and distribution facilities. Kodak intends to continue to work with government authorities and implement employee safety measures so that the manufacturing and distribution of products during the pandemic can continue. However, uncertainty resulting from the pandemic could result in an unforeseen disruption to Kodak’s operations or supply chain. Kodak reduced operating costs, largely beginning in the second quarter of 2020, through the use of temporary furloughs and pay cuts (approximately $12 million) for its employees while operations are being negatively impacted by the COVID-19 pandemic.</w:t>
      </w:r>
    </w:p>
    <w:p>
      <w:pPr>
        <w:spacing w:after="0" w:line="180" w:lineRule="exact"/>
        <w:rPr>
          <w:rFonts w:ascii="Arial" w:cs="Arial" w:eastAsia="Arial" w:hAnsi="Arial"/>
          <w:sz w:val="17"/>
          <w:szCs w:val="17"/>
          <w:color w:val="auto"/>
        </w:rPr>
      </w:pPr>
    </w:p>
    <w:p>
      <w:pPr>
        <w:ind w:left="1000" w:hanging="371"/>
        <w:spacing w:after="0" w:line="296"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Company’s ABL Credit Agreement matures on May 21, 2021 and the Series A Preferred Stock must be redeemed on November 15, 2021 if not converted prior to then. Additionally, Kodak has significant ongoing cash requirements to fund operations, restructuring programs, pension and other postretirement obligations, and other obligations. Kodak’s plans to return to positive cash flow include growing revenues profitably, reducing operating expenses, continuing to simplify the organizational structure, generating cash from selling and leasing underutilized assets and paring investment in new technology by eliminating or delaying product development programs as needed.</w:t>
      </w:r>
    </w:p>
    <w:p>
      <w:pPr>
        <w:spacing w:after="0" w:line="147" w:lineRule="exact"/>
        <w:rPr>
          <w:rFonts w:ascii="Arial" w:cs="Arial" w:eastAsia="Arial" w:hAnsi="Arial"/>
          <w:sz w:val="16"/>
          <w:szCs w:val="16"/>
          <w:color w:val="auto"/>
        </w:rPr>
      </w:pPr>
    </w:p>
    <w:p>
      <w:pPr>
        <w:ind w:left="1000" w:right="100" w:hanging="371"/>
        <w:spacing w:after="0" w:line="25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Traditional Printing’s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which command premium prices, such as SONORA Process Free Plates, are expected to offset some of the long-term price erosion in the market and manufacturing efficiencies, excluding the negative impacts during the COVID-19 pandemic, are expected to mitigate the impact of revenue declines on earnings. Traditional Printing revenues accounted for approximately 56% and 57% of Kodak’s revenues for the three and six months ended June 30, 2020. Traditional Printing’s revenues decreased $62 million (34%) and $74 million (21%) compared with the prior year quarter and year-to-date periods, respectively, including the unfavorable impact of currency ($2 million and $4 million, respectively), primarily reflecting volume and pricing declines. Segment earnings declined by $8 million (89%) and $13 million (87%) compared to the prior year quarter and year-to-date periods, respectively, reflecting the impact of reduced volumes on manufacturing costs and revenue partially offset by operating cost reductions through the use of temporary furloughs and pay cuts</w:t>
      </w:r>
      <w:r>
        <w:rPr>
          <w:rFonts w:ascii="Arial" w:cs="Arial" w:eastAsia="Arial" w:hAnsi="Arial"/>
          <w:sz w:val="17"/>
          <w:szCs w:val="17"/>
          <w:color w:val="auto"/>
        </w:rPr>
        <w:t>.</w:t>
      </w:r>
    </w:p>
    <w:p>
      <w:pPr>
        <w:spacing w:after="0" w:line="150" w:lineRule="exact"/>
        <w:rPr>
          <w:sz w:val="20"/>
          <w:szCs w:val="20"/>
          <w:color w:val="auto"/>
        </w:rPr>
      </w:pPr>
    </w:p>
    <w:p>
      <w:pPr>
        <w:ind w:left="1040" w:right="320"/>
        <w:spacing w:after="0" w:line="286" w:lineRule="auto"/>
        <w:rPr>
          <w:sz w:val="20"/>
          <w:szCs w:val="20"/>
          <w:color w:val="auto"/>
        </w:rPr>
      </w:pPr>
      <w:r>
        <w:rPr>
          <w:rFonts w:ascii="Arial" w:cs="Arial" w:eastAsia="Arial" w:hAnsi="Arial"/>
          <w:sz w:val="16"/>
          <w:szCs w:val="16"/>
          <w:color w:val="auto"/>
        </w:rPr>
        <w:t>None of the Traditional Printing segment’s manufacturing facilities were ordered to close by governmental authorities. Many of the segment’s customers around the globe continued to operate, but at decreased volumes. Therefore, demand for the segment’s products declined. The Traditional Printing segment may also be impacted by supply chain disruptions and travel restrictions. With the decline in customer demand, manufacturing volumes were reduced. The duration and extent of demand declines and then recovery is</w:t>
      </w:r>
    </w:p>
    <w:p>
      <w:pPr>
        <w:spacing w:after="0" w:line="1" w:lineRule="exact"/>
        <w:rPr>
          <w:sz w:val="20"/>
          <w:szCs w:val="20"/>
          <w:color w:val="auto"/>
        </w:rPr>
      </w:pPr>
    </w:p>
    <w:p>
      <w:pPr>
        <w:ind w:left="1040" w:right="20"/>
        <w:spacing w:after="0" w:line="323" w:lineRule="auto"/>
        <w:rPr>
          <w:sz w:val="20"/>
          <w:szCs w:val="20"/>
          <w:color w:val="auto"/>
        </w:rPr>
      </w:pPr>
      <w:r>
        <w:rPr>
          <w:rFonts w:ascii="Arial" w:cs="Arial" w:eastAsia="Arial" w:hAnsi="Arial"/>
          <w:sz w:val="16"/>
          <w:szCs w:val="16"/>
          <w:color w:val="auto"/>
        </w:rPr>
        <w:t>unclear. Manufacturing employees are being temporarily furloughed, as necessary, under reduced production plans. The segment is utilizing furloughs and pay-cuts for non-manufacturing employees in a way which will allow continued operation and product development.</w:t>
      </w:r>
    </w:p>
    <w:p>
      <w:pPr>
        <w:spacing w:after="0" w:line="341" w:lineRule="exact"/>
        <w:rPr>
          <w:sz w:val="20"/>
          <w:szCs w:val="20"/>
          <w:color w:val="auto"/>
        </w:rPr>
      </w:pPr>
    </w:p>
    <w:p>
      <w:pPr>
        <w:ind w:left="1000" w:hanging="371"/>
        <w:spacing w:after="0" w:line="253"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Digital Printing, the legacy VERSAMARK business is expected to continue to decline as a percentage of the segment’s total revenue as the PROSPER business grows. The PROSPER Inkjet Systems business is expected to continue to build profitability, excluding the negative impacts during the COVID-19 pandemic. Investment in the next generation technology, Ultrastream, is focused on the ability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ind w:left="1000"/>
        <w:spacing w:after="0" w:line="231" w:lineRule="auto"/>
        <w:rPr>
          <w:sz w:val="20"/>
          <w:szCs w:val="20"/>
          <w:color w:val="auto"/>
        </w:rPr>
      </w:pPr>
      <w:r>
        <w:rPr>
          <w:rFonts w:ascii="Arial" w:cs="Arial" w:eastAsia="Arial" w:hAnsi="Arial"/>
          <w:sz w:val="18"/>
          <w:szCs w:val="18"/>
          <w:color w:val="auto"/>
        </w:rPr>
        <w:t>to place Ultrastream writing systems in original equipment manufacturers and hybrid applications. Digital Printing’s revenues decreased $17 million (25%) and $24 million (17%) compared with the prior year quarter and year-to-date periods, respectively, primarily reflecting volume declines. Segment loss improved by $1 million compared to each of the prior year quarter (25%) and year-to-date periods (17%), respectively.</w:t>
      </w:r>
    </w:p>
    <w:p>
      <w:pPr>
        <w:spacing w:after="0" w:line="162" w:lineRule="exact"/>
        <w:rPr>
          <w:sz w:val="20"/>
          <w:szCs w:val="20"/>
          <w:color w:val="auto"/>
        </w:rPr>
      </w:pPr>
    </w:p>
    <w:p>
      <w:pPr>
        <w:ind w:left="1040" w:right="80"/>
        <w:spacing w:after="0" w:line="293" w:lineRule="auto"/>
        <w:rPr>
          <w:sz w:val="20"/>
          <w:szCs w:val="20"/>
          <w:color w:val="auto"/>
        </w:rPr>
      </w:pPr>
      <w:r>
        <w:rPr>
          <w:rFonts w:ascii="Arial" w:cs="Arial" w:eastAsia="Arial" w:hAnsi="Arial"/>
          <w:sz w:val="16"/>
          <w:szCs w:val="16"/>
          <w:color w:val="auto"/>
        </w:rPr>
        <w:t>None of the Digital Printing segment’s manufacturing facilities were ordered to close by governmental authorities. Many of the segment’s customers around the globe continued to operate, but at decreased volumes. Therefore, demand for the segment’s products declined. The Digital Printing segment may also be impacted by supply chain disruptions and travel restrictions. With the decline in customer demand, manufacturing volumes were reduced. The duration and extent of demand declines and then recovery is unclear. Manufacturing employees are being temporarily furloughed, as necessary, under reduced production plans. The segment is utilizing furloughs and pay-cuts for non-manufacturing employees in a way which will allow continued operation and product development.</w:t>
      </w:r>
    </w:p>
    <w:p>
      <w:pPr>
        <w:spacing w:after="0" w:line="124" w:lineRule="exact"/>
        <w:rPr>
          <w:sz w:val="20"/>
          <w:szCs w:val="20"/>
          <w:color w:val="auto"/>
        </w:rPr>
      </w:pPr>
    </w:p>
    <w:p>
      <w:pPr>
        <w:ind w:left="1000" w:right="20" w:hanging="371"/>
        <w:spacing w:after="0" w:line="228"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Advanced Materials and Chemicals revenues declined $14 million (27%) and $20 million (20%) compared with the prior year quarter and year-to-date periods, respectively. The segment loss improved $1 million (13%) and $2 million (11%) compared to the prior year quarter and year-to-date periods, respectively, due to price increases on professional and consumer still photographic film and solvents as well as operating cost reductions. Kodak plans to continue promoting the use of film and chemicals to utilize as much manufacturing capacity as possible.</w:t>
      </w:r>
    </w:p>
    <w:p>
      <w:pPr>
        <w:spacing w:after="0" w:line="164" w:lineRule="exact"/>
        <w:rPr>
          <w:sz w:val="20"/>
          <w:szCs w:val="20"/>
          <w:color w:val="auto"/>
        </w:rPr>
      </w:pPr>
    </w:p>
    <w:p>
      <w:pPr>
        <w:ind w:left="1040" w:right="20"/>
        <w:spacing w:after="0" w:line="254" w:lineRule="auto"/>
        <w:rPr>
          <w:sz w:val="20"/>
          <w:szCs w:val="20"/>
          <w:color w:val="auto"/>
        </w:rPr>
      </w:pPr>
      <w:r>
        <w:rPr>
          <w:rFonts w:ascii="Arial" w:cs="Arial" w:eastAsia="Arial" w:hAnsi="Arial"/>
          <w:sz w:val="18"/>
          <w:szCs w:val="18"/>
          <w:color w:val="auto"/>
        </w:rPr>
        <w:t>Advanced Materials and Chemicals experienced adverse impacts from the COVID-19 pandemic in the second quarter of 2020, most notably in Motion Picture where the industry has been heavily impacted and productions in affected regions have been suspended. None of the Advanced Materials and Chemicals segment’s manufacturing facilities were ordered to close by governmental authorities. However, each of the segment’s product lines was impacted by lowered demand and may also be impacted by supply chain disruptions and travel restrictions. The duration and extent of demand declines and then recovery is unclear. Manufacturing volumes were reduced due to the customer demand decline in the near-term. Manufacturing employees are being temporarily furloughed, as necessary, under reduced production plans.</w:t>
      </w:r>
    </w:p>
    <w:p>
      <w:pPr>
        <w:spacing w:after="0" w:line="222" w:lineRule="exact"/>
        <w:rPr>
          <w:sz w:val="20"/>
          <w:szCs w:val="20"/>
          <w:color w:val="auto"/>
        </w:rPr>
      </w:pPr>
    </w:p>
    <w:p>
      <w:pPr>
        <w:ind w:left="1020" w:hanging="364"/>
        <w:spacing w:after="0" w:line="269" w:lineRule="auto"/>
        <w:tabs>
          <w:tab w:leader="none" w:pos="10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In connection with exploring an expansion of its chemical operations which currently produces unregulated key starting materials (“KSMs”) for pharmaceuticals, Kodak applied for a loan from the U.S. International Development Finance Corporation (the “DFC”) to support the launch of Kodak Pharmaceuticals, an initiative that would manufacture pharmaceutical ingredients for essential generic drugs. On July 28, 2020, the DFC announced the signing of a non-binding letter of interest to provide a subsidiary of the Company with a potential $765 million loan (the “DFC Loan”), indicating Kodak’s successful completion of DFC’s initial screening, which would be followed by standard due diligence conducted by the DFC before financing is formally committed. As further described under Part II, Item 1A. Risk Factors, there can be no assurances that the DFC Loan will be approved or made. If the DFC Loan is not made, Kodak intends to continue organic expansion of its KSM production at Eastman Business Park in Rochester, New York while attempting to obtain necessary cGMP and FDA certification to make regulated KSMs and active pharmaceutical ingredients (“APIs”). Depending on its assessment of the business opportunity and availability of capital, Kodak may also explore alternative means to expand its chemical manufacturing operations for purposes of producing KSMs and APIs.</w:t>
      </w:r>
    </w:p>
    <w:p>
      <w:pPr>
        <w:spacing w:after="0" w:line="141" w:lineRule="exact"/>
        <w:rPr>
          <w:rFonts w:ascii="Arial" w:cs="Arial" w:eastAsia="Arial" w:hAnsi="Arial"/>
          <w:sz w:val="17"/>
          <w:szCs w:val="17"/>
          <w:color w:val="auto"/>
        </w:rPr>
      </w:pPr>
    </w:p>
    <w:p>
      <w:pPr>
        <w:ind w:left="1000" w:right="240" w:hanging="371"/>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which helps cost absorption for both Kodak operations and tenants at Eastman Business Park.</w:t>
      </w:r>
    </w:p>
    <w:p>
      <w:pPr>
        <w:spacing w:after="0" w:line="142" w:lineRule="exact"/>
        <w:rPr>
          <w:rFonts w:ascii="Arial" w:cs="Arial" w:eastAsia="Arial" w:hAnsi="Arial"/>
          <w:sz w:val="18"/>
          <w:szCs w:val="18"/>
          <w:color w:val="auto"/>
        </w:rPr>
      </w:pPr>
    </w:p>
    <w:p>
      <w:pPr>
        <w:ind w:left="1000" w:right="60" w:hanging="371"/>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Effective January 1, 2020 Kodak changed its organizational structure. Prepress Solutions, formerly part of the Print Systems segment, now operates as a separate segment named the Traditional Printing segment. Electrophotographic Printing Solutions, formerly part of the Print Systems segment, was combined with the Enterprise Inkjet Systems segment and Kodak Software segment to form the Digital Printing segment. The Brand, Film and Imaging segment, except for the licensing of the Kodak brand to third parties, was combined with the Advanced Materials and 3D Printing segment to form the Advanced Materials and Chemicals segment. The licensing of the Kodak brand to third parties operates as a separate segment named the Brand segment. The Eastman Business Park segment is no longer a reportable segment. A description of the reportable segments follows.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REPORTABLE SEGMENTS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Kodak has four reportable segments: Traditional Printing, Digital Printing, Advanced Materials and Chemicals and Brand. The balance of Kodak’s continuing operations, which do not meet the criteria of a reportable segment, are reported in All Other and primarily represent the Eastman Business Park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Printing</w:t>
      </w:r>
    </w:p>
    <w:p>
      <w:pPr>
        <w:spacing w:after="0" w:line="25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Traditional Printing segment is comprised of Prepress Solutions, which includes Kodak’s digital offset plate offerings and computer-to-plate imaging solutions. The Traditional Printing segment provides digital and traditional product and service offerings to a variety of commercial industries, including commercial print, direct mail, book publishing, newspapers and magazines and packaging.</w:t>
      </w:r>
    </w:p>
    <w:p>
      <w:pPr>
        <w:spacing w:after="0" w:line="200" w:lineRule="exact"/>
        <w:rPr>
          <w:sz w:val="20"/>
          <w:szCs w:val="20"/>
          <w:color w:val="auto"/>
        </w:rPr>
      </w:pPr>
    </w:p>
    <w:p>
      <w:pPr>
        <w:spacing w:after="0" w:line="2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the businesses in this segment are experiencing competitive pricing pressures, innovations in Kodak product lines that can command premium prices offset some of the long-term market price erosion. Additionally, Kodak seeks to mitigate the impact of market dynamics on pricing and volume pressures and of increases in manufacturing costs, including aluminum prices, through a combination of price increases, commodity contracts, improved production efficiency and cost reduction initiatives. In January 2019, Kodak received exemptions from U.S. tariffs on aluminum. The U.S. aluminum tariffs are still in place and Kodak’s exemptions continue.</w:t>
      </w:r>
    </w:p>
    <w:p>
      <w:pPr>
        <w:spacing w:after="0" w:line="21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Traditional Printing products and services are sold globally to customers through both a direct sales team as well as indirectly through dealers.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Prepress Solutions:</w:t>
      </w:r>
    </w:p>
    <w:p>
      <w:pPr>
        <w:spacing w:after="0" w:line="252" w:lineRule="exact"/>
        <w:rPr>
          <w:sz w:val="20"/>
          <w:szCs w:val="20"/>
          <w:color w:val="auto"/>
        </w:rPr>
      </w:pPr>
    </w:p>
    <w:p>
      <w:pPr>
        <w:ind w:left="920" w:right="220" w:hanging="548"/>
        <w:spacing w:after="0" w:line="286" w:lineRule="auto"/>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Digital offset plates includes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192" w:lineRule="exact"/>
        <w:rPr>
          <w:rFonts w:ascii="Arial" w:cs="Arial" w:eastAsia="Arial" w:hAnsi="Arial"/>
          <w:sz w:val="17"/>
          <w:szCs w:val="17"/>
          <w:color w:val="auto"/>
        </w:rPr>
      </w:pPr>
    </w:p>
    <w:p>
      <w:pPr>
        <w:ind w:left="920" w:hanging="548"/>
        <w:spacing w:after="0" w:line="25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CTP output devices that are used by customers to transfer images onto aluminum offset printing plates and provide consistent and high-quality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Traditional Printing segment also provides service and support related to these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Printing</w:t>
      </w:r>
    </w:p>
    <w:p>
      <w:pPr>
        <w:spacing w:after="0" w:line="229" w:lineRule="exact"/>
        <w:rPr>
          <w:sz w:val="20"/>
          <w:szCs w:val="20"/>
          <w:color w:val="auto"/>
        </w:rPr>
      </w:pPr>
    </w:p>
    <w:p>
      <w:pPr>
        <w:ind w:right="180"/>
        <w:spacing w:after="0" w:line="298" w:lineRule="auto"/>
        <w:rPr>
          <w:sz w:val="20"/>
          <w:szCs w:val="20"/>
          <w:color w:val="auto"/>
        </w:rPr>
      </w:pPr>
      <w:r>
        <w:rPr>
          <w:rFonts w:ascii="Arial" w:cs="Arial" w:eastAsia="Arial" w:hAnsi="Arial"/>
          <w:sz w:val="17"/>
          <w:szCs w:val="17"/>
          <w:color w:val="auto"/>
        </w:rPr>
        <w:t>The Digital Printing segment contains Electrophotographic Printing Solutions, Prosper, Versamark and Software. Digital Printing products include high-quality digital printing solutions using electrically charged toner-based technology</w:t>
      </w:r>
      <w:r>
        <w:rPr>
          <w:rFonts w:ascii="Arial" w:cs="Arial" w:eastAsia="Arial" w:hAnsi="Arial"/>
          <w:sz w:val="20"/>
          <w:szCs w:val="20"/>
          <w:color w:val="auto"/>
        </w:rPr>
        <w:t>,</w:t>
      </w:r>
      <w:r>
        <w:rPr>
          <w:rFonts w:ascii="Arial" w:cs="Arial" w:eastAsia="Arial" w:hAnsi="Arial"/>
          <w:sz w:val="17"/>
          <w:szCs w:val="17"/>
          <w:color w:val="auto"/>
        </w:rPr>
        <w:t xml:space="preserve"> production press systems, consumables (primarily ink), inkjet components, software and services. Digital Printing products are distributed directly by Kodak and indirectly through dealers.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Electrophotographic Printing Solutions:</w:t>
      </w:r>
    </w:p>
    <w:p>
      <w:pPr>
        <w:spacing w:after="0" w:line="117" w:lineRule="exact"/>
        <w:rPr>
          <w:sz w:val="20"/>
          <w:szCs w:val="20"/>
          <w:color w:val="auto"/>
        </w:rPr>
      </w:pPr>
    </w:p>
    <w:p>
      <w:pPr>
        <w:ind w:left="920" w:right="320" w:hanging="548"/>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NEXFINITY printers produce high-quality, differentiated printing of short-run, personalized print applications, such as direct mail, books, marketing collateral and photo products.</w:t>
      </w:r>
    </w:p>
    <w:p>
      <w:pPr>
        <w:spacing w:after="0" w:line="197" w:lineRule="exact"/>
        <w:rPr>
          <w:rFonts w:ascii="Arial" w:cs="Arial" w:eastAsia="Arial" w:hAnsi="Arial"/>
          <w:sz w:val="18"/>
          <w:szCs w:val="18"/>
          <w:color w:val="auto"/>
        </w:rPr>
      </w:pPr>
    </w:p>
    <w:p>
      <w:pPr>
        <w:ind w:left="920" w:right="380" w:hanging="548"/>
        <w:spacing w:after="0" w:line="263"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 Kodak has ceased manufacturing Digimaster printers but continues to sell consumables into the installed base.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Prosper:</w:t>
      </w:r>
    </w:p>
    <w:p>
      <w:pPr>
        <w:spacing w:after="0" w:line="117" w:lineRule="exact"/>
        <w:rPr>
          <w:sz w:val="20"/>
          <w:szCs w:val="20"/>
          <w:color w:val="auto"/>
        </w:rPr>
      </w:pPr>
    </w:p>
    <w:p>
      <w:pPr>
        <w:ind w:left="920" w:right="20" w:hanging="548"/>
        <w:spacing w:after="0" w:line="290"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(“OEM”)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192" w:lineRule="exact"/>
        <w:rPr>
          <w:rFonts w:ascii="Arial" w:cs="Arial" w:eastAsia="Arial" w:hAnsi="Arial"/>
          <w:sz w:val="16"/>
          <w:szCs w:val="16"/>
          <w:color w:val="auto"/>
        </w:rPr>
      </w:pPr>
    </w:p>
    <w:p>
      <w:pPr>
        <w:ind w:left="920" w:hanging="548"/>
        <w:spacing w:after="0" w:line="279"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focus of the Prosper business is on developing the next generation platform, Ultrastream, with solutions that place writing systems in OEMs as well as direct sale press products that widens its reach into applications for packaging and décor and expands the substrate range to include plastics. The Prosper business closed on the first sale of an Ultrastream writing system for use in a packaging application in December of 2019 with Uteco Group. Uteco Group has integrated Ultrastream in a packaging press solution.</w:t>
      </w:r>
    </w:p>
    <w:p>
      <w:pPr>
        <w:spacing w:after="0" w:line="198" w:lineRule="exact"/>
        <w:rPr>
          <w:rFonts w:ascii="Arial" w:cs="Arial" w:eastAsia="Arial" w:hAnsi="Arial"/>
          <w:sz w:val="17"/>
          <w:szCs w:val="17"/>
          <w:color w:val="auto"/>
        </w:rPr>
      </w:pPr>
    </w:p>
    <w:p>
      <w:pPr>
        <w:ind w:left="920" w:right="80" w:hanging="548"/>
        <w:spacing w:after="0" w:line="263"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Versamark:</w:t>
      </w:r>
    </w:p>
    <w:p>
      <w:pPr>
        <w:spacing w:after="0" w:line="117" w:lineRule="exact"/>
        <w:rPr>
          <w:sz w:val="20"/>
          <w:szCs w:val="20"/>
          <w:color w:val="auto"/>
        </w:rPr>
      </w:pPr>
    </w:p>
    <w:p>
      <w:pPr>
        <w:ind w:left="920" w:right="40" w:hanging="548"/>
        <w:spacing w:after="0" w:line="311" w:lineRule="auto"/>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KODAK VERSAMARK Products are the predecessor products to the PROSPER business. Kodak has ceased manufacturing VERSAMARK Press Systems. Users of KODAK VERSAMARK products continue to purchase ink and other consumables as well as related service from Kodak. Applications of the VERSAMARK products include publishing, transactional, commercial print and direct mail.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52" w:lineRule="exact"/>
        <w:rPr>
          <w:sz w:val="20"/>
          <w:szCs w:val="20"/>
          <w:color w:val="auto"/>
        </w:rPr>
      </w:pPr>
    </w:p>
    <w:p>
      <w:pPr>
        <w:ind w:left="920" w:right="200" w:hanging="548"/>
        <w:spacing w:after="0" w:line="273" w:lineRule="auto"/>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w:t>
      </w:r>
    </w:p>
    <w:p>
      <w:pPr>
        <w:spacing w:after="0" w:line="204" w:lineRule="exact"/>
        <w:rPr>
          <w:rFonts w:ascii="Arial" w:cs="Arial" w:eastAsia="Arial" w:hAnsi="Arial"/>
          <w:sz w:val="17"/>
          <w:szCs w:val="17"/>
          <w:color w:val="auto"/>
        </w:rPr>
      </w:pPr>
    </w:p>
    <w:p>
      <w:pPr>
        <w:ind w:left="920" w:right="580" w:hanging="548"/>
        <w:spacing w:after="0" w:line="27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Software business includes digital front-end controllers which manage the delivery of personalized content to digital presses while controlling color and print consistency.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Chemicals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Advanced Materials and Chemicals segment is comprised of four lines of business: Industrial Film and Chemicals, Motion Picture, Advanced Materials and Functional Printing and Kodak Services for Business (“KSB”). Kodak’s Advanced Materials and Chemicals products are distributed directly by Kodak and indirectly through dealers. Kodak Alaris, a professional and consumer still photographic film and chemicals customer, represented approximately 20% of total Advanced Materials and Chemicals segment revenues in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Film and Chemicals:</w:t>
      </w:r>
    </w:p>
    <w:p>
      <w:pPr>
        <w:spacing w:after="0" w:line="252" w:lineRule="exact"/>
        <w:rPr>
          <w:sz w:val="20"/>
          <w:szCs w:val="20"/>
          <w:color w:val="auto"/>
        </w:rPr>
      </w:pPr>
    </w:p>
    <w:p>
      <w:pPr>
        <w:ind w:left="920" w:right="100" w:hanging="548"/>
        <w:spacing w:after="0" w:line="277"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Offers industrial film, including films used by the electronics industry to produce printed circuit boards, as well as professional and consumer still photographic film.</w:t>
      </w:r>
    </w:p>
    <w:p>
      <w:pPr>
        <w:spacing w:after="0" w:line="197" w:lineRule="exact"/>
        <w:rPr>
          <w:rFonts w:ascii="Arial" w:cs="Arial" w:eastAsia="Arial" w:hAnsi="Arial"/>
          <w:sz w:val="18"/>
          <w:szCs w:val="18"/>
          <w:color w:val="auto"/>
        </w:rPr>
      </w:pPr>
    </w:p>
    <w:p>
      <w:pPr>
        <w:ind w:left="920" w:hanging="54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related component businesses: Polyester Film; Solvent Recovery; and Specialty Chemicals.</w:t>
      </w:r>
    </w:p>
    <w:p>
      <w:pPr>
        <w:spacing w:after="0" w:line="252" w:lineRule="exact"/>
        <w:rPr>
          <w:rFonts w:ascii="Arial" w:cs="Arial" w:eastAsia="Arial" w:hAnsi="Arial"/>
          <w:sz w:val="18"/>
          <w:szCs w:val="18"/>
          <w:color w:val="auto"/>
        </w:rPr>
      </w:pPr>
    </w:p>
    <w:p>
      <w:pPr>
        <w:ind w:left="920" w:hanging="54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Offers specialty inks and dispersions to third parties.</w:t>
      </w:r>
    </w:p>
    <w:p>
      <w:pPr>
        <w:spacing w:after="0" w:line="252" w:lineRule="exact"/>
        <w:rPr>
          <w:rFonts w:ascii="Arial" w:cs="Arial" w:eastAsia="Arial" w:hAnsi="Arial"/>
          <w:sz w:val="18"/>
          <w:szCs w:val="18"/>
          <w:color w:val="auto"/>
        </w:rPr>
      </w:pPr>
    </w:p>
    <w:p>
      <w:pPr>
        <w:ind w:left="920" w:right="160" w:hanging="548"/>
        <w:spacing w:after="0" w:line="277"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Consumer Inkjet Solutions. Starting in 2013, Kodak stopped manufacturing consumer inkjet printers and focused on the sale of ink to its installed printer base. Kodak’s final build of ink inventory was depleted in the second quarter of 2020.</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Motion Picture: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ind w:left="920" w:right="320" w:hanging="548"/>
        <w:spacing w:after="0" w:line="277"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industry. Motion picture products are sold directly to studios, external laboratories and independent filmmakers.</w:t>
      </w:r>
    </w:p>
    <w:p>
      <w:pPr>
        <w:spacing w:after="0" w:line="197" w:lineRule="exact"/>
        <w:rPr>
          <w:rFonts w:ascii="Arial" w:cs="Arial" w:eastAsia="Arial" w:hAnsi="Arial"/>
          <w:sz w:val="18"/>
          <w:szCs w:val="18"/>
          <w:color w:val="auto"/>
        </w:rPr>
      </w:pPr>
    </w:p>
    <w:p>
      <w:pPr>
        <w:ind w:left="920" w:hanging="54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offering onsite processing services at strategic locations in the U.S. and Europe.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Materials and Functional Printing</w:t>
      </w:r>
    </w:p>
    <w:p>
      <w:pPr>
        <w:spacing w:after="0" w:line="252"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Advanced Materials</w:t>
      </w:r>
    </w:p>
    <w:p>
      <w:pPr>
        <w:spacing w:after="0" w:line="252" w:lineRule="exact"/>
        <w:rPr>
          <w:rFonts w:ascii="Arial" w:cs="Arial" w:eastAsia="Arial" w:hAnsi="Arial"/>
          <w:sz w:val="18"/>
          <w:szCs w:val="18"/>
          <w:color w:val="auto"/>
        </w:rPr>
      </w:pPr>
    </w:p>
    <w:p>
      <w:pPr>
        <w:ind w:left="940" w:hanging="365"/>
        <w:spacing w:after="0" w:line="259" w:lineRule="auto"/>
        <w:tabs>
          <w:tab w:leader="none" w:pos="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Advanced Materials develops solutions for component smart materials based on the materials science inventions and innovations from the research laboratories. There are multiple applications that Kodak contemplates addressing in this category. Currently, the primary focus is on light blocking particles (Kodalux) for the textile market. In addition, a specialty material is manufactured by this group for use by a 3D printing customer.</w:t>
      </w:r>
    </w:p>
    <w:p>
      <w:pPr>
        <w:spacing w:after="0" w:line="213"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Functional Printing:</w:t>
      </w:r>
    </w:p>
    <w:p>
      <w:pPr>
        <w:spacing w:after="0" w:line="252" w:lineRule="exact"/>
        <w:rPr>
          <w:rFonts w:ascii="Arial" w:cs="Arial" w:eastAsia="Arial" w:hAnsi="Arial"/>
          <w:sz w:val="18"/>
          <w:szCs w:val="18"/>
          <w:color w:val="auto"/>
        </w:rPr>
      </w:pPr>
    </w:p>
    <w:p>
      <w:pPr>
        <w:ind w:left="940" w:right="60" w:hanging="365"/>
        <w:spacing w:after="0" w:line="342" w:lineRule="auto"/>
        <w:tabs>
          <w:tab w:leader="none" w:pos="9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Functional Printing concentrates on contract manufacturing, development partnerships, and/or licensing opportunities in very high-resolution 3D printing solutions such as printed electronics. Also, a portfolio of products is offered to enable others to utilize functional printing.</w:t>
      </w:r>
    </w:p>
    <w:p>
      <w:pPr>
        <w:spacing w:after="0" w:line="150" w:lineRule="exact"/>
        <w:rPr>
          <w:rFonts w:ascii="Arial" w:cs="Arial" w:eastAsia="Arial" w:hAnsi="Arial"/>
          <w:sz w:val="16"/>
          <w:szCs w:val="16"/>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IP Licensing:</w:t>
      </w:r>
    </w:p>
    <w:p>
      <w:pPr>
        <w:spacing w:after="0" w:line="252" w:lineRule="exact"/>
        <w:rPr>
          <w:rFonts w:ascii="Arial" w:cs="Arial" w:eastAsia="Arial" w:hAnsi="Arial"/>
          <w:sz w:val="18"/>
          <w:szCs w:val="18"/>
          <w:color w:val="auto"/>
        </w:rPr>
      </w:pPr>
    </w:p>
    <w:p>
      <w:pPr>
        <w:ind w:left="940" w:right="100" w:hanging="365"/>
        <w:spacing w:after="0" w:line="286" w:lineRule="auto"/>
        <w:tabs>
          <w:tab w:leader="none" w:pos="9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the potential for revenue generation from intellectual property licensing and new materials businesses.</w:t>
      </w:r>
    </w:p>
    <w:p>
      <w:pPr>
        <w:spacing w:after="0" w:line="192" w:lineRule="exact"/>
        <w:rPr>
          <w:rFonts w:ascii="Arial" w:cs="Arial" w:eastAsia="Arial" w:hAnsi="Arial"/>
          <w:sz w:val="17"/>
          <w:szCs w:val="17"/>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Kodak Services for Business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40" w:right="40" w:hanging="365"/>
        <w:spacing w:after="0" w:line="293" w:lineRule="auto"/>
        <w:tabs>
          <w:tab w:leader="none" w:pos="9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KSB assists organizations with challenges and opportunities created by the worldwide digital transformation. It provides business process outsourcing services, scan and capture solutions, records conversion services, workflow solutions, content management, and print and managed media services that assist customers with solutions that meet their business requirements. KSB has expertise in the capture, archiving, retrieval and delivery of documents including in depth knowledge of handling legacy media. KSB serves enterprise customers primarily in the banking, insurance and government sectors. Sales in KSB are project-based and can vary from year to year depending on the nature and number of projects in existence that year. KSB currently operates exclusively in Asia, primarily in China and Hong Kong.</w:t>
      </w:r>
    </w:p>
    <w:p>
      <w:pPr>
        <w:spacing w:after="0" w:line="191" w:lineRule="exact"/>
        <w:rPr>
          <w:rFonts w:ascii="Arial" w:cs="Arial" w:eastAsia="Arial" w:hAnsi="Arial"/>
          <w:sz w:val="16"/>
          <w:szCs w:val="16"/>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Kodakit</w:t>
      </w:r>
    </w:p>
    <w:p>
      <w:pPr>
        <w:spacing w:after="0" w:line="252" w:lineRule="exact"/>
        <w:rPr>
          <w:rFonts w:ascii="Arial" w:cs="Arial" w:eastAsia="Arial" w:hAnsi="Arial"/>
          <w:sz w:val="18"/>
          <w:szCs w:val="18"/>
          <w:color w:val="auto"/>
        </w:rPr>
      </w:pPr>
    </w:p>
    <w:p>
      <w:pPr>
        <w:ind w:left="940" w:right="200" w:hanging="365"/>
        <w:spacing w:after="0" w:line="308" w:lineRule="auto"/>
        <w:tabs>
          <w:tab w:leader="none" w:pos="9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Kodakit was a platform that connected businesses with professional photographers to cater to their photography needs. Customers included global hotels and online travel agencies, real estate companies, marketplaces, advertising agencies and global brands.</w:t>
      </w:r>
    </w:p>
    <w:p>
      <w:pPr>
        <w:spacing w:after="0" w:line="173" w:lineRule="exact"/>
        <w:rPr>
          <w:rFonts w:ascii="Arial" w:cs="Arial" w:eastAsia="Arial" w:hAnsi="Arial"/>
          <w:sz w:val="17"/>
          <w:szCs w:val="17"/>
          <w:color w:val="auto"/>
        </w:rPr>
      </w:pPr>
    </w:p>
    <w:p>
      <w:pPr>
        <w:ind w:left="940" w:hanging="365"/>
        <w:spacing w:after="0"/>
        <w:tabs>
          <w:tab w:leader="none" w:pos="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Kodak decided to discontinue the operations of Kodakit in October 2019.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p>
    <w:p>
      <w:pPr>
        <w:spacing w:after="0" w:line="25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Brand segment Includes licensing of the Kodak brand to third parties. Kodak currently licenses its brand for use with a range of products including batteries, digital and instant print cameras and camera accessories, printers, and LED lighting. Kodak intends to continue efforts to grow its portfolio of brand licenses to generate both ongoing royalty streams and upfront payments. Brand licensees use the Kodak brand on their products and use their own distribution channels.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Segment Revenues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9"/>
          </w:tcPr>
          <w:p>
            <w:pPr>
              <w:jc w:val="center"/>
              <w:ind w:left="215"/>
              <w:spacing w:after="0"/>
              <w:rPr>
                <w:sz w:val="20"/>
                <w:szCs w:val="20"/>
                <w:color w:val="auto"/>
              </w:rPr>
            </w:pPr>
            <w:r>
              <w:rPr>
                <w:rFonts w:ascii="Arial" w:cs="Arial" w:eastAsia="Arial" w:hAnsi="Arial"/>
                <w:sz w:val="18"/>
                <w:szCs w:val="18"/>
                <w:b w:val="1"/>
                <w:bCs w:val="1"/>
                <w:color w:val="auto"/>
                <w:w w:val="90"/>
              </w:rPr>
              <w:t>Six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8"/>
                <w:szCs w:val="18"/>
                <w:b w:val="1"/>
                <w:bCs w:val="1"/>
                <w:color w:val="auto"/>
              </w:rPr>
              <w:t>June 30,</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72"/>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79"/>
              </w:rPr>
              <w:t>181</w:t>
            </w:r>
          </w:p>
        </w:tc>
        <w:tc>
          <w:tcPr>
            <w:tcW w:w="2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5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273</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Digital Printing</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9"/>
              </w:rPr>
              <w:t>69</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86"/>
              </w:rPr>
              <w:t>117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141</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52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Brand</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40" w:type="dxa"/>
            <w:vAlign w:val="bottom"/>
            <w:gridSpan w:val="2"/>
          </w:tcPr>
          <w:p>
            <w:pPr>
              <w:ind w:left="240"/>
              <w:spacing w:after="0"/>
              <w:rPr>
                <w:sz w:val="20"/>
                <w:szCs w:val="20"/>
                <w:color w:val="auto"/>
              </w:rPr>
            </w:pPr>
            <w:r>
              <w:rPr>
                <w:rFonts w:ascii="Arial" w:cs="Arial" w:eastAsia="Arial" w:hAnsi="Arial"/>
                <w:sz w:val="18"/>
                <w:szCs w:val="18"/>
                <w:color w:val="auto"/>
              </w:rPr>
              <w:t>Consolidated total</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ind w:right="572"/>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307</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480</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598</w:t>
            </w:r>
          </w:p>
        </w:tc>
        <w:tc>
          <w:tcPr>
            <w:tcW w:w="100" w:type="dxa"/>
            <w:vAlign w:val="bottom"/>
          </w:tcPr>
          <w:p>
            <w:pPr>
              <w:spacing w:after="0"/>
              <w:rPr>
                <w:sz w:val="19"/>
                <w:szCs w:val="19"/>
                <w:color w:val="auto"/>
              </w:rPr>
            </w:pPr>
          </w:p>
        </w:tc>
      </w:tr>
      <w:tr>
        <w:trPr>
          <w:trHeight w:val="20"/>
        </w:trPr>
        <w:tc>
          <w:tcPr>
            <w:tcW w:w="1140" w:type="dxa"/>
            <w:vAlign w:val="bottom"/>
            <w:gridSpan w:val="2"/>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9020" w:type="dxa"/>
            <w:vAlign w:val="bottom"/>
            <w:gridSpan w:val="17"/>
          </w:tcPr>
          <w:p>
            <w:pPr>
              <w:spacing w:after="0"/>
              <w:rPr>
                <w:sz w:val="20"/>
                <w:szCs w:val="20"/>
                <w:color w:val="auto"/>
              </w:rPr>
            </w:pPr>
            <w:r>
              <w:rPr>
                <w:rFonts w:ascii="Arial" w:cs="Arial" w:eastAsia="Arial" w:hAnsi="Arial"/>
                <w:sz w:val="18"/>
                <w:szCs w:val="18"/>
                <w:b w:val="1"/>
                <w:bCs w:val="1"/>
                <w:color w:val="auto"/>
                <w:w w:val="93"/>
              </w:rPr>
              <w:t>Segment Operational EBITDA and Consolidated Income (Loss) from Continuing Operations Before Income Taxes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right"/>
              <w:ind w:right="132"/>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10"/>
          </w:tcPr>
          <w:p>
            <w:pPr>
              <w:jc w:val="right"/>
              <w:ind w:right="560"/>
              <w:spacing w:after="0"/>
              <w:rPr>
                <w:sz w:val="20"/>
                <w:szCs w:val="20"/>
                <w:color w:val="auto"/>
              </w:rPr>
            </w:pPr>
            <w:r>
              <w:rPr>
                <w:rFonts w:ascii="Arial" w:cs="Arial" w:eastAsia="Arial" w:hAnsi="Arial"/>
                <w:sz w:val="18"/>
                <w:szCs w:val="18"/>
                <w:b w:val="1"/>
                <w:bCs w:val="1"/>
                <w:color w:val="auto"/>
              </w:rPr>
              <w:t>Six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840" w:type="dxa"/>
            <w:vAlign w:val="bottom"/>
            <w:gridSpan w:val="2"/>
          </w:tcPr>
          <w:p>
            <w:pPr>
              <w:ind w:left="560"/>
              <w:spacing w:after="0"/>
              <w:rPr>
                <w:sz w:val="20"/>
                <w:szCs w:val="20"/>
                <w:color w:val="auto"/>
              </w:rPr>
            </w:pPr>
            <w:r>
              <w:rPr>
                <w:rFonts w:ascii="Arial" w:cs="Arial" w:eastAsia="Arial" w:hAnsi="Arial"/>
                <w:sz w:val="16"/>
                <w:szCs w:val="16"/>
                <w:color w:val="auto"/>
              </w:rPr>
              <w:t>(in millions)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15"/>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27"/>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Digital Printing</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Brand</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Former CEO separation agreement compensation</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operating (loss) income, net, excluding income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 xml:space="preserve">from transition services agreement </w:t>
            </w:r>
            <w:r>
              <w:rPr>
                <w:rFonts w:ascii="Arial" w:cs="Arial" w:eastAsia="Arial" w:hAnsi="Arial"/>
                <w:sz w:val="15"/>
                <w:szCs w:val="15"/>
                <w:color w:val="auto"/>
              </w:rPr>
              <w:t>(3)</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9"/>
              </w:rPr>
              <w:t xml:space="preserve">Pension income excluding service cost component </w:t>
            </w:r>
            <w:r>
              <w:rPr>
                <w:rFonts w:ascii="Arial" w:cs="Arial" w:eastAsia="Arial" w:hAnsi="Arial"/>
                <w:sz w:val="15"/>
                <w:szCs w:val="15"/>
                <w:color w:val="auto"/>
                <w:w w:val="99"/>
              </w:rPr>
              <w:t>(4)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5"/>
                <w:szCs w:val="15"/>
                <w:color w:val="auto"/>
              </w:rPr>
              <w:t>(4)</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840" w:type="dxa"/>
            <w:vAlign w:val="bottom"/>
            <w:gridSpan w:val="2"/>
          </w:tcPr>
          <w:p>
            <w:pPr>
              <w:ind w:left="560"/>
              <w:spacing w:after="0"/>
              <w:rPr>
                <w:sz w:val="20"/>
                <w:szCs w:val="20"/>
                <w:color w:val="auto"/>
              </w:rPr>
            </w:pPr>
            <w:r>
              <w:rPr>
                <w:rFonts w:ascii="Arial" w:cs="Arial" w:eastAsia="Arial" w:hAnsi="Arial"/>
                <w:sz w:val="18"/>
                <w:szCs w:val="18"/>
                <w:color w:val="auto"/>
                <w:w w:val="98"/>
              </w:rPr>
              <w:t>Consolidated (loss) income from continuing operations</w:t>
            </w: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before income taxes</w:t>
            </w:r>
          </w:p>
        </w:tc>
        <w:tc>
          <w:tcPr>
            <w:tcW w:w="50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00" w:type="dxa"/>
            <w:vAlign w:val="bottom"/>
            <w:gridSpan w:val="3"/>
          </w:tcPr>
          <w:p>
            <w:pPr>
              <w:jc w:val="right"/>
              <w:ind w:right="38"/>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00" w:right="380" w:hanging="492"/>
        <w:spacing w:after="0" w:line="277" w:lineRule="auto"/>
        <w:tabs>
          <w:tab w:leader="none" w:pos="50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62" w:lineRule="exact"/>
        <w:rPr>
          <w:rFonts w:ascii="Arial" w:cs="Arial" w:eastAsia="Arial" w:hAnsi="Arial"/>
          <w:sz w:val="15"/>
          <w:szCs w:val="15"/>
          <w:color w:val="auto"/>
        </w:rPr>
      </w:pPr>
    </w:p>
    <w:p>
      <w:pPr>
        <w:ind w:left="560" w:right="180" w:hanging="552"/>
        <w:spacing w:after="0" w:line="257" w:lineRule="auto"/>
        <w:tabs>
          <w:tab w:leader="none" w:pos="5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$2 million of income from the transition services agreement with the Purchaser was recognized in the three months ended June 30, 2020 and the three and six months ended June 30, 2019. $4 million of income from the transition services agreement was recognized in the six months ended June 30, 2020. The income was reported in Other operating (loss) income, net in the Consolidated Statement of Operations. Other operating income, net is typically excluded from the segment measure. However, the income from the transition services agreement was included in the segment measure.</w:t>
      </w:r>
    </w:p>
    <w:p>
      <w:pPr>
        <w:spacing w:after="0" w:line="79" w:lineRule="exact"/>
        <w:rPr>
          <w:rFonts w:ascii="Arial" w:cs="Arial" w:eastAsia="Arial" w:hAnsi="Arial"/>
          <w:sz w:val="15"/>
          <w:szCs w:val="15"/>
          <w:color w:val="auto"/>
        </w:rPr>
      </w:pPr>
    </w:p>
    <w:p>
      <w:pPr>
        <w:ind w:left="560" w:hanging="552"/>
        <w:spacing w:after="0"/>
        <w:tabs>
          <w:tab w:leader="none" w:pos="5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EBITDA”).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former CEO separation agreement compensation; other operating (loss) income, net (unless otherwise indicated); interest expense; and other (charges) income, net.</w:t>
      </w:r>
    </w:p>
    <w:p>
      <w:pPr>
        <w:spacing w:after="0" w:line="193"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Kodak’s segments are measured using Operational EBITDA both before and after the allocation of corporate SG&amp;A expenses.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2020 COMPARED WITH 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10"/>
          </w:tcPr>
          <w:p>
            <w:pPr>
              <w:jc w:val="right"/>
              <w:ind w:right="500"/>
              <w:spacing w:after="0"/>
              <w:rPr>
                <w:sz w:val="20"/>
                <w:szCs w:val="20"/>
                <w:color w:val="auto"/>
              </w:rPr>
            </w:pPr>
            <w:r>
              <w:rPr>
                <w:rFonts w:ascii="Arial" w:cs="Arial" w:eastAsia="Arial" w:hAnsi="Arial"/>
                <w:sz w:val="18"/>
                <w:szCs w:val="18"/>
                <w:b w:val="1"/>
                <w:bCs w:val="1"/>
                <w:color w:val="auto"/>
                <w:w w:val="91"/>
              </w:rPr>
              <w:t>Three Months Ended June 30,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w w:val="96"/>
              </w:rPr>
              <w:t>Six Months Ended June 30,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rPr>
              <w:t>% of</w:t>
            </w: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 of</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rPr>
              <w:t>% of</w:t>
            </w: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 of</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Arial" w:cs="Arial" w:eastAsia="Arial" w:hAnsi="Arial"/>
                <w:sz w:val="16"/>
                <w:szCs w:val="16"/>
                <w:color w:val="auto"/>
              </w:rPr>
              <w:t>(in millions)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Sales</w:t>
            </w: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4"/>
              </w:rPr>
              <w:t>Sales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87"/>
              </w:rPr>
              <w:t>Change</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Sales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Sales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w w:val="87"/>
              </w:rPr>
              <w:t>Change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307</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265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w w:val="96"/>
              </w:rPr>
              <w:t>Selling, general and administrative expenses</w:t>
            </w: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1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8"/>
                <w:szCs w:val="18"/>
                <w:color w:val="auto"/>
              </w:rPr>
              <w:t>Loss from continuing operations before</w:t>
            </w: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Arial" w:cs="Arial" w:eastAsia="Arial" w:hAnsi="Arial"/>
                <w:sz w:val="18"/>
                <w:szCs w:val="18"/>
                <w:color w:val="auto"/>
                <w:w w:val="99"/>
              </w:rPr>
              <w:t>expense, other (income) charges, net and</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(19)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right"/>
              <w:ind w:right="41"/>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Pension income excluding service cost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component</w:t>
            </w:r>
          </w:p>
        </w:tc>
        <w:tc>
          <w:tcPr>
            <w:tcW w:w="140" w:type="dxa"/>
            <w:vAlign w:val="bottom"/>
          </w:tcPr>
          <w:p>
            <w:pPr>
              <w:spacing w:after="0"/>
              <w:rPr>
                <w:sz w:val="20"/>
                <w:szCs w:val="20"/>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(27)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560" w:type="dxa"/>
            <w:vAlign w:val="bottom"/>
            <w:gridSpan w:val="2"/>
          </w:tcPr>
          <w:p>
            <w:pPr>
              <w:jc w:val="right"/>
              <w:ind w:right="41"/>
              <w:spacing w:after="0"/>
              <w:rPr>
                <w:sz w:val="20"/>
                <w:szCs w:val="20"/>
                <w:color w:val="auto"/>
              </w:rPr>
            </w:pPr>
            <w:r>
              <w:rPr>
                <w:rFonts w:ascii="Arial" w:cs="Arial" w:eastAsia="Arial" w:hAnsi="Arial"/>
                <w:sz w:val="18"/>
                <w:szCs w:val="18"/>
                <w:color w:val="auto"/>
              </w:rPr>
              <w:t>(53)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Other charges (income), net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(45)</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8"/>
                <w:szCs w:val="18"/>
                <w:color w:val="auto"/>
              </w:rPr>
              <w:t>(Loss) income from continuing operations</w:t>
            </w: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before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7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(116)</w:t>
            </w:r>
          </w:p>
        </w:tc>
        <w:tc>
          <w:tcPr>
            <w:tcW w:w="18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w w:val="98"/>
              </w:rPr>
              <w:t>Income from discontinued operations, net of</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207</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29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the three months ended June 30, 2020 revenues declined $94 million compared with the same period in 2019, driven by volume declines and unfavorable pricing within Traditional Printing ($57 million and $3 million, respectively), volume declines in Advanced Materials and Chemicals and Digital Printing ($19 million and $18 million, respectively) and unfavorable foreign currency ($2 million). The revenue declines were offset by improved pricing and product mix in Advanced Materials and Chemicals ($4 million) and favorable mix of products in Digital Printing ($2 million). See segment discussions for additional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six months ended June 30, 2020 revenues declined $118 million compared with the same period in 2019, driven by volume declines and unfavorable pricing and product mix within Traditional Printing ($62 million and $8 million, respectively), volume declines in Advanced Materials and Chemicals and Digital Printing ($29 million and $28 million, respectively) and unfavorable foreign currency ($5 million). The revenue declines were offset by improved pricing and product mix in Advanced Materials and Chemicals ($8 million) and favorable mix of products in Digital Printing ($5 million). See segment discussions for additional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Gross profit for the three months ended June 30, 2020 declined approximately $21 million compared with the same period in 2019 reflecting volume declines, unfavorable pricing and product mix as well as increased costs in Traditional Printing ($7 million, $4 million and $5 million, respectively), volume declines and increased costs in Advanced Materials and Chemicals (each $5 million) and volume declines in Digital Printing ($3 million) partially offset by favorable pricing and product mix in Advanced Materials and Chemicals ($4 million) and lower depreciation and amortization expenses ($4 million). See segment discussions for additional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Gross profit for the six months ended June 30, 2020 declined approximately $25 million compared with the same period in 2019 reflecting volume declines, unfavorable pricing and product mix as well as increased costs in Traditional Printing ($7 million, $10 million and $7 million, respectively), volume declines and increased costs Advanced Materials and Chemicals ($8 million and $7 million, respectively) and volume declines and unfavorable costs in Digital Printing ($4 million and $5 million, respectively) partially offset by favorable pricing and product mix in Advanced Materials and Chemicals ($9 million), favorable mix of products in Digital Printing ($3 million) and lower depreciation and amortization expenses ($9 million). See segment discussions for additional details.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Consolidated SG&amp;A decreased $20 million and $31 million for the three and six month periods ended June 30, 2020, respectively, primarily due to lower investment in segment selling and marketing activities driven by cost reduction efforts ($18 million for the quarter and $22 million year-to-date), and lower consulting and project costs ($2 million for the quarter and $4 million for the year). The temporary furloughs and pay cuts in the current quarter provided approximately $3 million of the $18 million savings in the three months ending June 30, 2020. The six-month period ended June 30, 2019 also included $2 million of compensation related to the former CEO separation agreement while the six-month period ending June 30, 2020 included increased bad debt expense due to increased collection risk related to the COVID-19 pandemic ($3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Consolidated R&amp;D expenses decreased $3 million and $5 million for the quarter and year-to-date periods ended June 30, 2020, respectively, primarily due to cost reduction efforts.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Charges (Income), Net</w:t>
      </w:r>
    </w:p>
    <w:p>
      <w:pPr>
        <w:spacing w:after="0" w:line="27"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The change in Other charges (income) was primarily driven by the embedded conversion features derivative liability associated with the Convertible Notes. Refer to Note 15, “Other Charges (Income), Net” and Note 24, “Financial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7"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The Provision for income taxes in the year-to-date period was primarily driven by the $167 million provision associated with the establishment of a valuation allowance on deferred tax assets outside the U.S. Refer to Note 16, “Income Taxes”.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7"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The Income from discontinued operations in the prior year periods primarily represents the gain recognized on the sale of the FPD business in April 2019. Refer to Note 23, “Discontinued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TRADITIONAL PRINTING SEGMENT</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9"/>
          </w:tcPr>
          <w:p>
            <w:pPr>
              <w:jc w:val="right"/>
              <w:ind w:right="560"/>
              <w:spacing w:after="0"/>
              <w:rPr>
                <w:sz w:val="20"/>
                <w:szCs w:val="20"/>
                <w:color w:val="auto"/>
              </w:rPr>
            </w:pPr>
            <w:r>
              <w:rPr>
                <w:rFonts w:ascii="Arial" w:cs="Arial" w:eastAsia="Arial" w:hAnsi="Arial"/>
                <w:sz w:val="18"/>
                <w:szCs w:val="18"/>
                <w:b w:val="1"/>
                <w:bCs w:val="1"/>
                <w:color w:val="auto"/>
                <w:w w:val="99"/>
              </w:rPr>
              <w:t>Three Months Ended June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9"/>
          </w:tcPr>
          <w:p>
            <w:pPr>
              <w:ind w:left="3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6"/>
                <w:szCs w:val="16"/>
                <w:color w:val="auto"/>
              </w:rPr>
              <w:t>(in millions)</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74"/>
              </w:rPr>
              <w:t>(74)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7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decrease in Traditional Printing revenues for the three months ended June 30, 2020 of approximately $62 million reflected volume and pricing declines ($50 million and $4 million, respectively) in Prepress Solutions consumables, volume declines in Prepress Solutions service ($3 million) and Prepress equipment ($3 million) and unfavorable foreign currency ($2 million). The volume declines were primarily driven by COVID-19 pandemic related declines in customer demand.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decrease in Traditional Printing revenues for the six months ended June 30, 2020 of approximately $74 million primarily reflected volume and pricing declines ($54 million and $9 million, respectively) in Prepress Solutions consumables, volume declines in Prepress Solutions service ($3 million) and Prepress equipment ($5 million) and unfavorable foreign currency ($4 million) offset by favorable pricing and product mix ($2 million) in Prepress equipment. The volume declines were primarily driven by COVID-19 pandemic related declines in customer demand.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Traditional Printing Operational EBITDA for the three months ended June 30, 2020 declined $8 million reflecting volume and pricing declines ($6 million and $4 million, respectively) in Prepress Solutions consumables, volume declines in Prepress service ($1 million), and higher manufacturing costs ($7 million) driven by unfavorable cost absorption from the volume declines partially offset by lower SG&amp;A expenses ($8 million) and lower aluminum costs in the current year ($2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7"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Traditional Printing Operational EBITDA for the six months ended June 30, 2020 declined $13 million primarily due to volume and pricing declines ($6 million and $9 million, respectively) in Prepress Solutions consumables, volume declines in Prepress service ($2 million), higher manufacturing costs driven by unfavorable cost absorption from the volume declines ($9 million), aluminum tariff refunds received in 2019 ($2 million) and an increase in bad debt expense ($2 million) partially offset by lower SG&amp;A expenses ($12 million) and lower aluminum costs in the current year ($4 million).</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2018 U.S. tariffs imposed on aluminum purchases were included as part of the cost of printing plates sold. In January 2019, Kodak received retroactive exemptions from U.S. tariffs on aluminum. Due to the exemptions, all aluminum tariffs paid by Kodak in prior periods were recognized as a cost reduction in the prior year-to-date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DIGITAL PRINTING SEGMENT</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10"/>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10"/>
          </w:tcPr>
          <w:p>
            <w:pPr>
              <w:ind w:left="4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6"/>
                <w:szCs w:val="16"/>
                <w:color w:val="auto"/>
              </w:rPr>
              <w:t>(in millions)</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The decline in Digital Printing revenues for the three months ended June 30, 2020 of approximately $17 million primarily reflected volume declines in Electrophotographic Printing Solutions consumables and service ($11 million), Electrophotographic Printing Solutions equipment ($2 million) and PROSPER consumables and service ($4 million) which were driven by the decline in customer demand with the COVID-19 pandemic. There were also volume declines in VERSAMARK service and consumables ($3 million) due to both declines in the installed base of VERSAMARK systems and the COVID 19 pandemic. The impact of the volume declines was partially offset by improved volume in PROSPER components ($4 million).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Year-to-Date</w:t>
      </w:r>
    </w:p>
    <w:p>
      <w:pPr>
        <w:spacing w:after="0" w:line="2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decline in Digital Printing revenues for the six months ended June 30, 2020 of approximately $24 million primarily reflected volume declines in Electrophotographic Printing Solutions consumables and service ($15 million), Electrophotographic Printing Solutions equipment ($4 million), PROSPER consumables and service ($4 million) and PROSPER systems ($1 million) which were driven by the decline in customer demand with the COVID-19 pandemic. There were also volume declines in VERSAMARK service and consumables ($6 million) due to both declines in the installed base of VERSAMARK systems and the COVID 19 pandemic. The impact of the volume declines was partially offset by improved volume in PROSPER components ($5 million) and improved pricing in PROSPER components and PROSPER systems (each $1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Digital Printing Operational EBITDA for the three months ended June 30, 2020 improved $1 million driven by higher manufacturing costs in Electrophotographic Printing Solutions ($3 million), volume declines in Electrophotographic Printing Solutions consumables and service ($2 million), PROSPER consumables and service ($2 million) and VERSAMARK service and consumables ($1 million) offset by improved volume in PROSPER components ($2 million), inventory write-downs driven by pricing declines in PROSPER systems in the prior year quarter ($2 million) and lower SG&amp;A costs ($5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Digital Printing Operational EBITDA for the six months ended June 30, 2020 improved $1 million driven by higher manufacturing costs in Electrophotographic Printing Solutions ($6 million), volume declines in Electrophotographic Printing Solutions consumables and service ($3 million), PROSPER consumables and service ($2 million) and VERSAMARK service and consumables ($2 million) offset by improved volume in PROSPER components ($3 million), volume improvements in Electrophotographic Printing Solutions equipment ($1 million), improved pricing in PROSPER systems ($2 million) and PROSPER components ($1 million) and lower SG&amp;A costs ($6 million).</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5"/>
          </w:tcPr>
          <w:p>
            <w:pPr>
              <w:spacing w:after="0"/>
              <w:rPr>
                <w:sz w:val="20"/>
                <w:szCs w:val="20"/>
                <w:color w:val="auto"/>
              </w:rPr>
            </w:pPr>
            <w:r>
              <w:rPr>
                <w:rFonts w:ascii="Arial" w:cs="Arial" w:eastAsia="Arial" w:hAnsi="Arial"/>
                <w:sz w:val="18"/>
                <w:szCs w:val="18"/>
                <w:b w:val="1"/>
                <w:bCs w:val="1"/>
                <w:color w:val="auto"/>
              </w:rPr>
              <w:t>ADVANCED MATERIALS AND CHEMICALS SEGMENT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10"/>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10"/>
          </w:tcPr>
          <w:p>
            <w:pPr>
              <w:ind w:left="4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6"/>
                <w:szCs w:val="16"/>
                <w:color w:val="auto"/>
              </w:rPr>
              <w:t>(in millions)</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w:t>
            </w:r>
          </w:p>
        </w:tc>
        <w:tc>
          <w:tcPr>
            <w:tcW w:w="2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(18)</w:t>
            </w: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Advanced Materials and Chemicals revenues for the three months ended June 30, 2020 declined $14 million primarily from volume declines in Motion Picture ($10 million) driven by productions halted as a result of the COVID 19 pandemic, Industrial Film and Chemicals ($5 million) primarily due to the COVID-19 pandemic’s impacts on its customers and Consumer Inkjet Solutions ($2 million) driven by lower sales of ink to the existing installed base of printers. Additionally, current year revenues for Kodak Services for Business declined ($2 million) primarily due to operations in Asia being impacted by the COVID-19 pandemic, and the prior year period included revenues from Kodakit ($1 million) which ceased operating in January 2020. Partially offsetting these impacts was improved pricing in Industrial Film and Chemicals ($4 million) driven by higher pricing for solvents and professional and consumer still photographic film.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Advanced Materials and Chemicals revenues for the six months ended June 30, 2020 declined $20 million primarily from volume declines in Motion Picture ($12 million) driven by productions halted as a result of the pandemic, Industrial Film and Chemicals ($6 million) primarily due to COVID-19 pandemic’s impacts on its customers, and Consumer Inkjet Solutions ($4 million) driven by lower sales of ink to the existing installed base of printers. Additionally, current year revenues for Kodak Services for Business declined ($4 million) primarily due to operations in Asia being impacted by the COVID-19 pandemic, and the prior year period included revenues from Kodakit ($3 million) which ceased operations in January 2020. Partially offsetting these impacts was improved pricing and improved product mix in Industrial Film and Chemicals ($8 million) driven by higher pricing and favorable product mix in professional and consumer still photographic film and higher pricing for solvents.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Advanced Materials and Chemicals Operational EBITDA improved $1 million for the three months ended June 30, 2020 primarily due to favorable pricing ($4 million) in Industrial Film and Chemicals.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right="20"/>
        <w:spacing w:after="0" w:line="286" w:lineRule="auto"/>
        <w:rPr>
          <w:sz w:val="20"/>
          <w:szCs w:val="20"/>
          <w:color w:val="auto"/>
        </w:rPr>
      </w:pPr>
      <w:r>
        <w:rPr>
          <w:rFonts w:ascii="Arial" w:cs="Arial" w:eastAsia="Arial" w:hAnsi="Arial"/>
          <w:sz w:val="17"/>
          <w:szCs w:val="17"/>
          <w:color w:val="auto"/>
        </w:rPr>
        <w:t>Also contributing were lower selling and administrative expenses ($4 million), and lower R&amp;D costs ($2 million). Partially offsetting were volume declines in Motion Picture ($3 million), Consumer Inkjet Solutions ($1 million) and Industrial Film and Chemicals ($1 million), as well as unfavorable cost impacts in Industrial Film and Chemicals ($3 million) and Motion Picture ($2 million) driven by unfavorable cost absorption.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Advanced Materials and Chemicals Operational EBITDA improved $2 million for the six months ended June 30, 2020 primarily due to favorable pricing and improved product mix ($8 million) in Industrial Film and Chemicals. Also contributing were lower selling and administrative expenses ($7 million) and lower R&amp;D costs ($2 million). Partially offsetting were volumes declines in Motion Picture ($4 million), Industrial Film and Chemicals ($2 million) and Consumer Inkjet Solutions ($2 million) as well as unfavorable cost impacts in Industrial Film and Chemicals ($5 million) and Motion Picture ($1 million) driven by unfavorable cost absorption.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BRAND SEGMENT</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8"/>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9"/>
          </w:tcPr>
          <w:p>
            <w:pPr>
              <w:ind w:left="3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8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Brand revenues and EBITDA for the three and six months ended June 30, 2020 remained relatively flat compared to the prior year quarter and year-to-date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Kodak recorded $1 million and $8 million of charges for the three and six months ended June 30, 2020, respectively, in Restructuring costs and other in the Consolidated Statement of Operations.</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Kodak made cash payments related to restructuring of approximately $3 million and $10 million during the three and six months ended June 30, 2020, respectively.</w:t>
      </w:r>
    </w:p>
    <w:p>
      <w:pPr>
        <w:spacing w:after="0" w:line="19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restructuring actions implemented in the first six months of 2020 are expected to generate future annual cash savings of approximately $9 million. These savings are expected to reduce future annual Cost of revenues and SG&amp;A expenses by $1 million and $8 million, respectively. Kodak began realizing a portion of these savings in the first six months of 2020 and expects the majority of the annual savings to be in effect by the end of the year as actions are completed.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CRITICAL ACCOUNTING POLICIES AND ESTIMATES UPDATE</w:t>
      </w:r>
    </w:p>
    <w:p>
      <w:pPr>
        <w:spacing w:after="0" w:line="256"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Updates to critical accounting policies and estimates in Kodak’s 2019 Annual Report on Form 10-K are presented in this section. Refer to Item 7. “Management’s Discussion and Analysis of Financial Condition and Results of Operations” in the 2019 Annual Report on Form 10-K for a complete discussion of all Kodak’s critical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Useful Lives of Long-Lived Assets, Including Goodwill and Intangible Assets</w:t>
      </w:r>
    </w:p>
    <w:p>
      <w:pPr>
        <w:spacing w:after="0" w:line="2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Goodwill is tested for impairment at a level of reporting referred to as a reporting unit, which is an operating segment or one level below an operating segment (a component) if the component constitutes a business for which discrete financial information is available and regularly reviewed by segment management. As a result of the change in segments that became effective as of January 1, 2020, Kodak’s goodwill reporting units changed. The Digital Printing segment has three goodwill reporting units: Electrophotographic Printing Solutions, Prosper and Versamark, and Software. The Advanced Materials and Chemicals segment has three goodwill reporting units: Motion Picture and Industrial Films and Chemicals, Advanced Materials and Functional Printing and Kodak Services for Business. The Traditional Printing segment, Brand segment and Eastman Business Park segment each have one goodwill reporting unit.</w:t>
      </w:r>
    </w:p>
    <w:p>
      <w:pPr>
        <w:spacing w:after="0" w:line="2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2019, the goodwill balance of $12 million under the prior year segment reporting structure was comprised of $6 million for the Brand, Film and Imaging segment and $6 million for the Kodak Software segment, which had only one reporting unit (Software). The goodwill in the Brand, Film and Imaging segment was reported in the Consumer Products reporting unit.</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goodwill previously reported in the Consumer Products goodwill reporting unit was transferred to the Brand goodwill reporting unit using a relative fair value allocation to affected reporting units. Goodwill previously reported in the Software reporting unit was transferred to the Digital Printing segment and continues to remain its own reporting unit.</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Kodak performed interim tests of impairment for goodwill as of June 30, 2020 due to the continued uncertainty regarding the negative impact of the COVID-19 pandemic on its operations, and as of March 31, 2020, due to the decline in market capitalization as of that date since the last goodwill impairment test (December 31, 2019) and the uncertainty regarding the negative impact of the COVID-19 pandemic at that time. Kodak utilized the discounted cash flow method to estimate the fair value of all reporting units for both tests. Kodak established an estimate of future cash flows for the period ranging from July 1, 2020 to December 31, 2024 for the June 30, 2020 interim test, and April 1, 2020 to December 31, 2024 for the March 31, 2020 interim test. The future cash flows were discounted to present value. The expected cash flows were derived from earnings forecasts and assumptions regarding the timing and impact of the COVID-19 pandemic on each reporting unit as of each applicable interim test date.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16% to 55% were utilized in the June 30, 2020 valuation, and 21% to 55% for the March 31, 2020 valuation, both based on Kodak’s best estimates of the after-tax weighted-average cost of capital of each reporting unit as of the applicable valuation date.</w:t>
      </w:r>
    </w:p>
    <w:p>
      <w:pPr>
        <w:spacing w:after="0" w:line="1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 terminal value was included for all reporting units at the end of the cash flow projection period to reflect the remaining value that the reporting unit is expected to generate. The terminal value was calculated using either the constant growth method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Based upon the results of Kodak’s June 30, 2020 and March 31, 2020 analyses, no impairment of goodwill was indicated. Impairment of goodwill could occur in the future if a reporting unit’s fair value changes significantly, if Kodak’s market capitalization significantly declines, if a reporting unit’s carrying value changes materially compared with changes in its fair value, or as a result of changes in operating segments or reporting units.</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Kodak updated the fair value of the Kodak trade name as of June 30, 2020 and March 31, 2020. The fair value of the Kodak trade name was valued using the income approach, specifically the relief from royalty method based on the following significant assumptions: (a) forecasted revenues ranging from July 1, 2020 to December 31, 2024 for the June 30, 2020 interim test, and April 1, 2020 to December 31, 2024 for the March 31, 2020 interim test, both valuations included a terminal year with growth rates ranging from -3% to 2.5% (b) an after-tax royalty rate of 0.4% of expected net sales, and (c) discount rates ranging from 16% to 25% for the June 30, 2020 interim test, and 23% to 32% for the March 31, 2020 interim test. The discount rates are based on the after-tax weighted-average cost of capital.</w:t>
      </w: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the results of Kodak’s March 31, 2020 assessment, the carrying value of the Kodak trade name exceeded its fair value and Kodak recorded a pre-tax impairment charge of $3 million.</w:t>
      </w:r>
    </w:p>
    <w:p>
      <w:pPr>
        <w:spacing w:after="0" w:line="19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Based on the results of Kodak’s June 30, 2020 assessment, the fair value of the Kodak trade name exceeded its’ carrying value. Impairment of the Kodak trade name could occur in the future if estimated revenues decline or if there are significant changes in the discount or royalty rates. A one percent increase in the discount rate and a 10 percent miss in expected revenues would impact the fair value of the Kodak trade name by $2 million as of June 30, 2020.</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right="160"/>
        <w:spacing w:after="0" w:line="279" w:lineRule="auto"/>
        <w:rPr>
          <w:sz w:val="20"/>
          <w:szCs w:val="20"/>
          <w:color w:val="auto"/>
        </w:rPr>
      </w:pPr>
      <w:r>
        <w:rPr>
          <w:rFonts w:ascii="Arial" w:cs="Arial" w:eastAsia="Arial" w:hAnsi="Arial"/>
          <w:sz w:val="17"/>
          <w:szCs w:val="17"/>
          <w:color w:val="auto"/>
        </w:rPr>
        <w:t>Long-lived assets other than goodwill and indefinite-lived intangible assets are evaluated for impairment whenever events or changes in circumstances indicate the carrying value may not be recoverable. When evaluating long-lived assets for impairment, the carrying value of an asset group is compared to its estimated undiscounted future cash flows. An impairment is indicated if the estimated future cash flows are less than the carrying value of the asset group. The impairment is the excess of the carrying value over the fair value of the long-lived asset group.</w:t>
      </w:r>
    </w:p>
    <w:p>
      <w:pPr>
        <w:spacing w:after="0" w:line="19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Kodak updated its estimate of undiscounted cash flows for each asset group as of June 30, 2020 and March 31, 2020 using a probability weighted approach in determining the likelihood of possible adverse impacts from the COVID-19 pandemic as of each applicable interim test date. Based on the results of the interim impairment tests, no impairment indicators were noted. Impairment of long-lived assets other than goodwill and indefinite lived intangible assets could occur in the future if expected estimated future cash flows decline or if there are significant changes in the estimated useful life of the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Kodak is facing liquidity challenges due to operating losses and low or negative cash flow from operations and collateral needs. Kodak has $80 million of letters of credit issued under the ABL Credit Agreement which matures on May 26, 2021. The Series A Preferred Stock must be redeemed on November 15, 2021 if not converted prior to then. Kodak has ongoing significant cash requirements to fund operations, restructuring programs, pension and other postretirement obligations, and other obligations. Kodak’s plans to return to sustainable positive cash flow include growing revenues profitably, reducing operating expenses, continuing to simplify the organizational structure, generating cash from selling and leasing underutilized assets and paring investment in new technology by eliminating or delaying product development programs. Additionally, the Company looks to implement ways to reduce collateral needs in the U.S.</w:t>
      </w:r>
    </w:p>
    <w:p>
      <w:pPr>
        <w:spacing w:after="0" w:line="22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Kodak’s products are sold and serviced in numerous countries across the globe with more than half of sales generated outside the U.S. Current global economic conditions are highly volatile due to the COVID-19 pandemic, resulting in market size contractions in many countries due to economic slowdowns and government restrictions on movement. The conversion of accounts receivable to cash is taking longer and collection risk has increased since before the pandemic. The economic uncertainty surrounding the COVID-19 pandemic is an additional complexity in Kodak’s plans to return to sustainable positive cash flow. To mitigate the economic impacts of the pandemic Kodak is employing temporary furloughs and pay reductions and scaling manufacturing volumes due to reduced volumes. The Company is also seeking to take advantage of any available government incentives around the world in response to the COVID-19 pandemic such as employee related tax deferrals or holidays, wage subsidies and loan programs including those under the U.S. CARES Act, although the Company has not yet been able to take advantage of any loan programs and may not qualify for any loans under the programs created under the U.S. CARES Act. Many of the available government incentives for which the Company qualifies are in the form of deferrals of payments that will be required to be paid in the future.</w:t>
      </w:r>
    </w:p>
    <w:p>
      <w:pPr>
        <w:spacing w:after="0" w:line="21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recent history of negative operating cash flow, maturity of the ABL Credit Agreement in 2021, redemption date in 2021 for the Series A Preferred Stock, increased challenges in managing cash during the COVID-19 pandemic and general lack of certainty regarding the return to positive cash flow raise substantial doubt about Kodak’s ability to continue as a going concern</w:t>
      </w:r>
      <w:r>
        <w:rPr>
          <w:rFonts w:ascii="Arial" w:cs="Arial" w:eastAsia="Arial" w:hAnsi="Arial"/>
          <w:sz w:val="18"/>
          <w:szCs w:val="18"/>
          <w:b w:val="1"/>
          <w:bCs w:val="1"/>
          <w:color w:val="auto"/>
        </w:rPr>
        <w:t>.</w:t>
      </w:r>
    </w:p>
    <w:p>
      <w:pPr>
        <w:spacing w:after="0" w:line="18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Refer to the Going Concern section of Note 1, “Basis of Presentation and Recent Accounting Pronouncements”; Note 8, "Debt and Finance Leases," and Note 9, “Redeemable, Convertible Series A Preferred Stock” in the Notes to Financial Statements for further discussion. Refer to Note 2, “Cash, Cash Equivalents and Restricted Cash” for a reconciliation of cash, cash equivalents and restricted cash.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5"/>
          </w:tcPr>
          <w:p>
            <w:pPr>
              <w:ind w:left="10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76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gridSpan w:val="4"/>
          </w:tcPr>
          <w:p>
            <w:pPr>
              <w:ind w:left="540"/>
              <w:spacing w:after="0"/>
              <w:rPr>
                <w:sz w:val="20"/>
                <w:szCs w:val="20"/>
                <w:color w:val="auto"/>
              </w:rPr>
            </w:pPr>
            <w:r>
              <w:rPr>
                <w:rFonts w:ascii="Arial" w:cs="Arial" w:eastAsia="Arial" w:hAnsi="Arial"/>
                <w:sz w:val="16"/>
                <w:szCs w:val="16"/>
                <w:color w:val="auto"/>
              </w:rPr>
              <w:t>(in millions)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6"/>
            <w:vMerge w:val="restart"/>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440" w:type="dxa"/>
            <w:vAlign w:val="bottom"/>
            <w:gridSpan w:val="6"/>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00" w:type="dxa"/>
            <w:vAlign w:val="bottom"/>
            <w:gridSpan w:val="7"/>
          </w:tcPr>
          <w:p>
            <w:pPr>
              <w:jc w:val="center"/>
              <w:ind w:left="310"/>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gridSpan w:val="6"/>
          </w:tcPr>
          <w:p>
            <w:pPr>
              <w:ind w:left="1140"/>
              <w:spacing w:after="0"/>
              <w:rPr>
                <w:sz w:val="20"/>
                <w:szCs w:val="20"/>
                <w:color w:val="auto"/>
              </w:rPr>
            </w:pPr>
            <w:r>
              <w:rPr>
                <w:rFonts w:ascii="Arial" w:cs="Arial" w:eastAsia="Arial" w:hAnsi="Arial"/>
                <w:sz w:val="16"/>
                <w:szCs w:val="16"/>
                <w:color w:val="auto"/>
              </w:rPr>
              <w:t>(in millions)</w:t>
            </w:r>
          </w:p>
        </w:tc>
        <w:tc>
          <w:tcPr>
            <w:tcW w:w="10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Change</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top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color w:val="auto"/>
              </w:rPr>
              <w:t>Cash flows from operating activities:</w:t>
            </w:r>
          </w:p>
        </w:tc>
        <w:tc>
          <w:tcPr>
            <w:tcW w:w="10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0"/>
              </w:rPr>
              <w:t>Net cash used in operating activities</w:t>
            </w:r>
          </w:p>
        </w:tc>
        <w:tc>
          <w:tcPr>
            <w:tcW w:w="1640" w:type="dxa"/>
            <w:vAlign w:val="bottom"/>
            <w:tcBorders>
              <w:top w:val="single" w:sz="8" w:color="CFF0FC"/>
            </w:tcBorders>
          </w:tcPr>
          <w:p>
            <w:pPr>
              <w:spacing w:after="0"/>
              <w:rPr>
                <w:sz w:val="19"/>
                <w:szCs w:val="19"/>
                <w:color w:val="auto"/>
              </w:rPr>
            </w:pPr>
          </w:p>
        </w:tc>
        <w:tc>
          <w:tcPr>
            <w:tcW w:w="1620" w:type="dxa"/>
            <w:vAlign w:val="bottom"/>
            <w:tcBorders>
              <w:top w:val="single" w:sz="8" w:color="CFF0FC"/>
            </w:tcBorders>
            <w:gridSpan w:val="2"/>
          </w:tcPr>
          <w:p>
            <w:pPr>
              <w:jc w:val="right"/>
              <w:ind w:right="45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tcPr>
          <w:p>
            <w:pPr>
              <w:spacing w:after="0"/>
              <w:rPr>
                <w:sz w:val="19"/>
                <w:szCs w:val="19"/>
                <w:color w:val="auto"/>
              </w:rPr>
            </w:pPr>
          </w:p>
        </w:tc>
        <w:tc>
          <w:tcPr>
            <w:tcW w:w="42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(64)</w:t>
            </w:r>
          </w:p>
        </w:tc>
        <w:tc>
          <w:tcPr>
            <w:tcW w:w="560" w:type="dxa"/>
            <w:vAlign w:val="bottom"/>
            <w:tcBorders>
              <w:top w:val="single" w:sz="8" w:color="CFF0FC"/>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tcPr>
          <w:p>
            <w:pPr>
              <w:spacing w:after="0"/>
              <w:rPr>
                <w:sz w:val="19"/>
                <w:szCs w:val="19"/>
                <w:color w:val="auto"/>
              </w:rPr>
            </w:pPr>
          </w:p>
        </w:tc>
        <w:tc>
          <w:tcPr>
            <w:tcW w:w="560" w:type="dxa"/>
            <w:vAlign w:val="bottom"/>
            <w:tcBorders>
              <w:top w:val="single" w:sz="8" w:color="CFF0FC"/>
            </w:tcBorders>
            <w:gridSpan w:val="3"/>
          </w:tcPr>
          <w:p>
            <w:pPr>
              <w:jc w:val="right"/>
              <w:ind w:right="8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gridSpan w:val="4"/>
          </w:tcPr>
          <w:p>
            <w:pPr>
              <w:jc w:val="right"/>
              <w:ind w:right="20"/>
              <w:spacing w:after="0"/>
              <w:rPr>
                <w:sz w:val="20"/>
                <w:szCs w:val="20"/>
                <w:color w:val="auto"/>
              </w:rPr>
            </w:pPr>
            <w:r>
              <w:rPr>
                <w:rFonts w:ascii="Arial" w:cs="Arial" w:eastAsia="Arial" w:hAnsi="Arial"/>
                <w:sz w:val="18"/>
                <w:szCs w:val="18"/>
                <w:color w:val="auto"/>
              </w:rPr>
              <w:t>(51)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top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color w:val="auto"/>
              </w:rPr>
              <w:t>Cash flows from investing activities:</w:t>
            </w:r>
          </w:p>
        </w:tc>
        <w:tc>
          <w:tcPr>
            <w:tcW w:w="1000" w:type="dxa"/>
            <w:vAlign w:val="bottom"/>
            <w:tcBorders>
              <w:top w:val="single" w:sz="8" w:color="CFF0FC"/>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540" w:type="dxa"/>
            <w:vAlign w:val="bottom"/>
            <w:tcBorders>
              <w:top w:val="single" w:sz="8" w:color="auto"/>
            </w:tcBorders>
            <w:shd w:val="clear" w:color="auto" w:fill="CFF0FC"/>
          </w:tcPr>
          <w:p>
            <w:pPr>
              <w:spacing w:after="0" w:line="20" w:lineRule="exact"/>
              <w:rPr>
                <w:sz w:val="1"/>
                <w:szCs w:val="1"/>
                <w:color w:val="auto"/>
              </w:rPr>
            </w:pPr>
          </w:p>
        </w:tc>
        <w:tc>
          <w:tcPr>
            <w:tcW w:w="208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(302)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top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10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1"/>
              </w:rPr>
              <w:t>Net cash used in financing activities</w:t>
            </w:r>
          </w:p>
        </w:tc>
        <w:tc>
          <w:tcPr>
            <w:tcW w:w="164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spacing w:after="0"/>
              <w:rPr>
                <w:sz w:val="19"/>
                <w:szCs w:val="19"/>
                <w:color w:val="auto"/>
              </w:rPr>
            </w:pPr>
          </w:p>
        </w:tc>
        <w:tc>
          <w:tcPr>
            <w:tcW w:w="6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42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FF0FC"/>
            </w:tcBorders>
          </w:tcPr>
          <w:p>
            <w:pPr>
              <w:spacing w:after="0"/>
              <w:rPr>
                <w:sz w:val="19"/>
                <w:szCs w:val="19"/>
                <w:color w:val="auto"/>
              </w:rPr>
            </w:pPr>
          </w:p>
        </w:tc>
        <w:tc>
          <w:tcPr>
            <w:tcW w:w="4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560" w:type="dxa"/>
            <w:vAlign w:val="bottom"/>
            <w:tcBorders>
              <w:top w:val="single" w:sz="8" w:color="CFF0FC"/>
            </w:tcBorders>
            <w:gridSpan w:val="3"/>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288</w:t>
            </w:r>
          </w:p>
        </w:tc>
        <w:tc>
          <w:tcPr>
            <w:tcW w:w="80" w:type="dxa"/>
            <w:vAlign w:val="bottom"/>
            <w:tcBorders>
              <w:top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w w:val="88"/>
              </w:rPr>
              <w:t>Effect of exchange rate changes on cash and restricted cash</w:t>
            </w:r>
          </w:p>
        </w:tc>
        <w:tc>
          <w:tcPr>
            <w:tcW w:w="10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40" w:type="dxa"/>
            <w:vAlign w:val="bottom"/>
            <w:gridSpan w:val="6"/>
          </w:tcPr>
          <w:p>
            <w:pPr>
              <w:ind w:left="1140"/>
              <w:spacing w:after="0"/>
              <w:rPr>
                <w:sz w:val="20"/>
                <w:szCs w:val="20"/>
                <w:color w:val="auto"/>
              </w:rPr>
            </w:pPr>
            <w:r>
              <w:rPr>
                <w:rFonts w:ascii="Arial" w:cs="Arial" w:eastAsia="Arial" w:hAnsi="Arial"/>
                <w:sz w:val="18"/>
                <w:szCs w:val="18"/>
                <w:color w:val="auto"/>
                <w:w w:val="97"/>
              </w:rPr>
              <w:t>Net decrease in cash, cash equivalents, restricted cash</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gridSpan w:val="4"/>
          </w:tcPr>
          <w:p>
            <w:pPr>
              <w:ind w:left="120"/>
              <w:spacing w:after="0"/>
              <w:rPr>
                <w:sz w:val="20"/>
                <w:szCs w:val="20"/>
                <w:color w:val="auto"/>
              </w:rPr>
            </w:pPr>
            <w:r>
              <w:rPr>
                <w:rFonts w:ascii="Arial" w:cs="Arial" w:eastAsia="Arial" w:hAnsi="Arial"/>
                <w:sz w:val="18"/>
                <w:szCs w:val="18"/>
                <w:color w:val="auto"/>
              </w:rPr>
              <w:t>and cash in assets held for sale</w:t>
            </w:r>
          </w:p>
        </w:tc>
        <w:tc>
          <w:tcPr>
            <w:tcW w:w="16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(69)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vMerge w:val="restart"/>
          </w:tcPr>
          <w:p>
            <w:pPr>
              <w:jc w:val="right"/>
              <w:ind w:right="570"/>
              <w:spacing w:after="0"/>
              <w:rPr>
                <w:sz w:val="20"/>
                <w:szCs w:val="20"/>
                <w:color w:val="auto"/>
              </w:rPr>
            </w:pPr>
            <w:r>
              <w:rPr>
                <w:rFonts w:ascii="Arial" w:cs="Arial" w:eastAsia="Arial" w:hAnsi="Arial"/>
                <w:sz w:val="18"/>
                <w:szCs w:val="18"/>
                <w:color w:val="auto"/>
              </w:rPr>
              <w:t>[45]</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Net cash used in operating activities increased $51 million for the six months ended June 30, 2020 as compared with the corresponding period in 2019 primarily due to increased cash use for accounts payable and other liabilities, partially offset by higher reductions of accounts receivable in 2020, and the receipt in 2019 of a $15 million prepayment for transition services, products, and other services as a part of the divestiture of FPD.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Net cash provided by investing activities decreased $302 million for the six months ended June 30, 2020 as compared with the corresponding period in 2019 due to the proceeds from the sale of FPD in the prior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Net cash used in financing activities in the six months ended June 30, 2020 compares $288 million favorably to the corresponding period in 2019 driven by the prior year repayment of the Term Credit Agreement and the payment of contingent consideration partially offset by the issuance of the Convertible Notes and the proceeds from the RED – Rochester borrowing and the current year payment of preferred stock dividends.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Available liquidity includes cash balances and the unused portion of the ABL Credit Agreement. The amount of available liquidity is subject to fluctuations and includes cash balances held by various entities worldwide. At June 30, 2020 and December 31, 2019 approximately $95 million and $72 million, respectively, of cash and cash equivalents were held within the U.S. and approximately $85 million and $161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 As of June 30, 2020 and December 31, 2019, outstanding inter-company loans to the U.S. were $429 million and $408 million, respectively, which includes short-term inter-company loans from Kodak’s international finance center of $130 million and $110 million,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In China, where approximately $23 million and $89 million of cash and cash equivalents was held as of June 30, 2020 and December 31, 2019, respectively, there are limitations related to net asset balances that may impact the ability to make cash available to other jurisdictions in the world. On May 12, 2020, a Chinese subsidiary of Kodak transferred approximately $70 million to a U.S. subsidiary of Kodak in anticipation of an inter-company transaction. Under the terms of the ABL Credit Agreement, the Company is permitted to invest up to $100 million in subsidiaries and joint ventures that are not party to the ABL Credit Agreement.</w:t>
      </w:r>
    </w:p>
    <w:p>
      <w:pPr>
        <w:spacing w:after="0" w:line="19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January 27, 2020 Kodak exercised its right under the ABL Credit Agreement to permanently reduce lender commitments, reducing the commitments from $150 million to $120 million. As a result, the minimum Excess Availability decreased to $15 million from the previous minimum of $18.75 million.</w:t>
      </w:r>
    </w:p>
    <w:p>
      <w:pPr>
        <w:spacing w:after="0" w:line="12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March 27, 2020, the Company and the Subsidiary Guarantors entered into the Amendment with the Lenders and Bank of America, N.A., as administrative and collateral agent. The Amendment decreased the available asset-based revolving loans (the “ABL Loans”) and letters of credit from an aggregate amount of up to $120 million to $110 million, subject to the Borrowing Base.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additional reduction in lender commitments, the minimum Excess Availability decreased to $13.75 million from the previous amount of $15 million. The changes provided by the Amendment to the Excess Availability and Equipment Availability combined with increases in Eligible Receivables and Eligible Inventory allowed the Company to decrease Eligible Cash by $13 million without causing Excess Availability to fall below 12.5% of lender commitments.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Amendment also changed Equipment Availability from (i) the lesser of 75% of Net Orderly Liquidation Value of Eligible Equipment or $6 million to</w:t>
      </w:r>
    </w:p>
    <w:p>
      <w:pPr>
        <w:spacing w:after="0" w:line="46" w:lineRule="exact"/>
        <w:rPr>
          <w:sz w:val="20"/>
          <w:szCs w:val="20"/>
          <w:color w:val="auto"/>
        </w:rPr>
      </w:pPr>
    </w:p>
    <w:p>
      <w:pPr>
        <w:ind w:right="200" w:firstLine="8"/>
        <w:spacing w:after="0" w:line="255"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lesser of 70% of Net Orderly Liquidation Value of Eligible Equipment or $14.75 million as of March 31, 2020. The Equipment Availability was $14.75 million for June 30, 2020. The $14.75 million amount decreases by $1 million per quarter starting on July 1, 2020 until maturity or the amount is decreased to $0, whichever comes first.</w:t>
      </w:r>
    </w:p>
    <w:p>
      <w:pPr>
        <w:spacing w:after="0" w:line="2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had issued approximately $80 million of letters of credit under the ABL Credit Agreement as of both June 30, 2020 and December 31, 2019. Under the ABL Credit Agreement the Company is required to maintain Excess Availability above 12.5% of lender commitments ($13.75 million at June 30, 2020). If Excess Availability is below 12.5% of lender commitments the Company has the ability to fund amounts into the Eligible Cash account which will increase Excess Availability for purposes of the previous month-end compliance reporting. On July 20, 2020 the Company funded $5 million to the Eligible Cash account. Including the July 20, 2020 Eligible Cash funding in the June 30, 2020 compliance calculation the Company had approximately $17 million of Excess Availability under the ABL Credit Agreement for the June 30, 2020 compliance reporting and $22 million of Excess Availability under the ABL Credit Agreement as of December 31, 2019. To maintain Excess Availability of greater than 12.5% of lender commitments ($13.75 million and $18.75 million as of June 30, 2020 and December 31, 2019, respectively), incremental to the $5 million funding of the Eligible Cash account on July 20, 2020, Kodak funded $9 million and $22 million to the Eligible Cash account held with the ABL Credit Agreement Administrative Agent as of June 30, 2020 and December 31, 2019, respectively, which is classified as Restricted Cash in the Consolidated Statement of Financial Position.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ind w:right="80"/>
        <w:spacing w:after="0" w:line="253" w:lineRule="auto"/>
        <w:rPr>
          <w:sz w:val="20"/>
          <w:szCs w:val="20"/>
          <w:color w:val="auto"/>
        </w:rPr>
      </w:pPr>
      <w:r>
        <w:rPr>
          <w:rFonts w:ascii="Arial" w:cs="Arial" w:eastAsia="Arial" w:hAnsi="Arial"/>
          <w:sz w:val="18"/>
          <w:szCs w:val="18"/>
          <w:color w:val="auto"/>
        </w:rPr>
        <w:t>Under the ABL Credit Agreement, if Excess Availability) falls below 12.5% of lender commitments), Kodak would be required to be in compliance with the minimum Fixed Charge Coverage Ratio (the only financial covenant in the ABL Credit Agreement) and could become subject to cash dominion control. In addition to Eligible Cash, the borrowing base is supported by Eligible Receivables, Eligible Inventory and Eligible Equipment. To the extent the assets supporting the borrowing base decline and/or letters of credit issued under the ABL Credit Agreement increase, if the remaining assets included in the borrowing base are not sufficient to support the required Excess Availability amount, funding of Eligible Cash may be required. Eligible Receivables, Eligible Inventory and Eligible Equipment have the meaning ascribed to these terms in the ABL Credit Agreement. Kodak intends to maintain Excess Availability above the minimum threshold. Since Excess Availability was greater than 12.5% of lender commitments the June 30, 2020 month-end compliance reporting date, Kodak is not required to have a minimum Fixed Charge Coverage Ratio of 1.0 to 1.0. As of June 30, 2020 Fixed Charges exceeded EBITDA (as defined in the ABL Credit Agreement) by approximately $27 million, therefore, the Fixed Charge Coverage Ratio was less than 1.0 to 1.0.</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Company’s current credit ratings, in the second quarter two surety bond holders notified the Company they will require approximately $9 million of incremental collateral. The Company reduced the surety bond value by approximately $9 million in July 2020 with an equivalent increase to an existing letter of credit with the New York Workers’ Compensation board. The Company could be required to provide up to $3 million of letters of credit to the issuers of certain surety bonds in the future to fully collateralize the bonds.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holders of Series A Preferred Stock are entitled to cumulative dividends payable quarterly in cash at a rate of 5.5% per annum. Until the third quarter of 2018 all dividends owed on the Series A Preferred Stock were declared and paid when due. No quarterly dividend was declared in the third or fourth quarters of 2018 or the first and second quarters of 2019. The Company declared quarterly cash dividends in the third and fourth quarters of 2019 and the first and second quarters of 2020 that were paid when due. In July 2020, the Company declared and paid the four quarterly dividends that were in arrears in the aggregate amount of $11 million.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July 28, 2020 the </w:t>
      </w:r>
      <w:r>
        <w:rPr>
          <w:rFonts w:ascii="Arial" w:cs="Arial" w:eastAsia="Arial" w:hAnsi="Arial"/>
          <w:sz w:val="16"/>
          <w:szCs w:val="16"/>
          <w:color w:val="434343"/>
        </w:rPr>
        <w:t>U.S. International Development Finance Corporation signed a non-binding letter of interest to provide up to a $765 million loan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434343"/>
        </w:rPr>
        <w:t>Kodak Pharmaceuticals, Inc. (“KPI”), which is expected to be a wholly owned subsidiary of the Company that will produce pharmaceutical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434343"/>
        </w:rPr>
        <w:t xml:space="preserve">ingredients. The loan would be for facility upgrades and construction, provide working capital, and finance </w:t>
      </w:r>
      <w:r>
        <w:rPr>
          <w:rFonts w:ascii="Arial" w:cs="Arial" w:eastAsia="Arial" w:hAnsi="Arial"/>
          <w:sz w:val="16"/>
          <w:szCs w:val="16"/>
          <w:color w:val="000000"/>
        </w:rPr>
        <w:t>other necessary direct expenditures supporting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launch of KPI.</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434343"/>
        </w:rPr>
        <w:t>Due to exercises of stock options primarily by ex-employees, the Company has received approximately $29 million, net of tax payments, starting in July through the date of this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and Postretirement Plans</w:t>
      </w:r>
    </w:p>
    <w:p>
      <w:pPr>
        <w:spacing w:after="0" w:line="27" w:lineRule="exact"/>
        <w:rPr>
          <w:sz w:val="20"/>
          <w:szCs w:val="20"/>
          <w:color w:val="auto"/>
        </w:rPr>
      </w:pPr>
    </w:p>
    <w:p>
      <w:pPr>
        <w:jc w:val="both"/>
        <w:ind w:right="540"/>
        <w:spacing w:after="0" w:line="255" w:lineRule="auto"/>
        <w:rPr>
          <w:sz w:val="20"/>
          <w:szCs w:val="20"/>
          <w:color w:val="auto"/>
        </w:rPr>
      </w:pPr>
      <w:r>
        <w:rPr>
          <w:rFonts w:ascii="Arial" w:cs="Arial" w:eastAsia="Arial" w:hAnsi="Arial"/>
          <w:sz w:val="18"/>
          <w:szCs w:val="18"/>
          <w:color w:val="auto"/>
        </w:rPr>
        <w:t>Kodak made net contributions (funded plans) or paid benefits (unfunded plans) totaling approximately $6 million to its defined benefit pension and postretirement benefit plans in the first six months of 2020. For the balance of 2020, the forecasted contribution (funded plans) and benefit payment (unfunded plans) requirements for its pension and postretirement plans are approximately $10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Cash flow from investing activities included $9 million of capital expenditures for the six months ended June 30, 2020. Kodak expects approximately $15 million of total capital expenditures for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Financial Officer, as appropriate, to allow timely decisions regarding required disclosure. Kodak’s management, with the participation of Kodak’s Executive Chairman and Chief Financial Officer, has evaluated the effectiveness of Kodak’s disclosure controls and procedures as of the end of the period covered by this Quarterly Report on Form 10-Q. Kodak’s Executive Chairman and Chief Financial Officer have concluded that, as of the end of the period covered by this Quarterly Report on Form 10-Q, Kodak’s disclosure controls and procedures (as defined in Rules 13a-15(e) and 15d-15(e) under the Exchange Act) were effective.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June 30, 2020, Kodak’s Brazilian Operations maintained accruals of approximately $3 million for claims aggregating approximately $110 million inclusive of interest and penalties where appropriate. In connection with assessments and litigation in Brazil, local regulations may require Kodak’s Brazilian Operations to post security for a portion of the amounts in dispute. Generally, any encumbrances on the Brazilian assets would be removed to the extent the matter is resolved in Kodak’s favor.</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20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addition to matters relating to Kodak’s operations, Kodak is involved in investigations being conducted by several congressional committees and the SEC stemming from events related to the announcement of the potential DFC Loan and Pharmaceutical Initiative discussed under Item 1A. Risk Factors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Reference is made to the Risk Factors set forth in Part I, Item 1A. of the 2019 Form 10-K. The Risk Factors remain applicable from the 2019 Form 10-K. In particular, Kodak continues to face risks associated with the COVID-19 pandemic as described in the 2019 Form 10-K under the captions “Risk Factors —Risks Relating to Kodak’s Business—Weakness or worsening of global economic conditions could adversely affect Kodak’s financial performance and liquidity” and “—Business disruptions could seriously harm Kodak’s future revenue and financial condition and increase its costs and expenses”. Certain known consequences to Kodak from the COVID-19 pandemic are disclosed in the financial statements contained in this Form 10-Q and under the caption “Management’s Discussion and Analysis of Financial Condition and Results of Operation.” The full extent to which the COVID-19 pandemic will impact Kodak’s results will depend on future developments, which are highly uncertain and cannot be predicted at the time of this filing, including new information which may emerge concerning the scope and duration of the pandemic and the restrictions and other actions implemented to fight it, among others. Direct and indirect effects from the COVID-19 pandemic could have a material adverse effect on the continuity of Kodak’s business operations and its results of operations and financial position, particularly if such effects have an extended duration.</w:t>
      </w:r>
    </w:p>
    <w:p>
      <w:pPr>
        <w:spacing w:after="0" w:line="21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July 28, 2020, the U.S. International Development Finance Corporation (the “DFC”) announced the signing of a non-binding letter of interest to provide a subsidiary of the Company with a potential $765 million loan (the “DFC Loan”) to support the launch of Kodak Pharmaceuticals, an initiative that would manufacture pharmaceutical ingredients for essential generic drugs (the “Pharmaceutical Initiative”). As referenced in the DFC’s announcement, the signing of the letter of interest indicates Kodak’s successful completion of the DFC’s initial screening and will be followed by standard due diligence conducted by the DFC before financing is formally committed. The letter of interest is non-binding, and there can be no assurance that the DFC’s standard due diligence will be successfully completed or that, even if the due diligence is successfully completed, the DFC will proceed with the potential DFC Loan. Congressional investigations and an SEC investigation have been commenced which could affect the likelihood of the consummation of the DFC Loan. The DFC has tweeted that it will not proceed any further with the potential DFC Loan unless the recent allegations raised in the context of the potential DFC Loan have been cleared. The potential DFC Loan has sparked intense media interest and coverage. If the DFC Loan is not made or if the findings of the investigations are unfavorable, Kodak’s reputation could be damaged and its existing business could be adversely affected.</w:t>
      </w:r>
    </w:p>
    <w:p>
      <w:pPr>
        <w:spacing w:after="0" w:line="19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If the DFC Loan is ultimately consummated, the Pharmaceutical Initiative will be subject to the risks associated with Kodak’s business generally as described in the 2019 Form 10-K under the caption “Risk Factors—Risks Relating to Kodak’s Business”. Based on the developmental nature of the Pharmaceutical Initiative, if the project proceeds Kodak will face heightened risks relating to talent acquisition, construction, obtaining regulatory approvals, cost overruns, delays, product development and market development, among others. In particular, the economic success of the Pharmaceutical Initiative will depend in large part on products produced by the Pharmaceutical Initiative being able to successfully compete with pharmaceutical ingredients supplied by low-cost countries such as China and India through manufacturing and operating efficiencies, “buy American” initiatives or mandates, or otherwise. If the Pharmaceutical Initiative is not able to compete effectively or otherwise generate positive cash flow,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ind w:right="20"/>
        <w:spacing w:after="0" w:line="257" w:lineRule="auto"/>
        <w:rPr>
          <w:sz w:val="20"/>
          <w:szCs w:val="20"/>
          <w:color w:val="auto"/>
        </w:rPr>
      </w:pPr>
      <w:r>
        <w:rPr>
          <w:rFonts w:ascii="Arial" w:cs="Arial" w:eastAsia="Arial" w:hAnsi="Arial"/>
          <w:sz w:val="18"/>
          <w:szCs w:val="18"/>
          <w:color w:val="auto"/>
        </w:rPr>
        <w:t>subsidiary operating the Pharmaceutical Initiative (the “Pharmaceutical Subsidiary”) may not be able to distribute profits to the Company or repay the DFC Loan. It is contemplated that if the Pharmaceutical Subsidiary defaults on the DFC Loan, the Company will lose its equity interest in the Pharmaceutical Subsidiary (and, indirectly, the buildings and assets contributed by Kodak to the Pharmaceutical Subsidiary in connection with the Pharmaceutical Initiative). It is not contemplated that the Company will be a guarantor of the DFC Loan or responsible to repay the DFC Loan should the Pharmaceutical Subsidiary default on the DFC Loan.</w:t>
      </w:r>
    </w:p>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described in the 2019 Form 10-K under the caption “Risk Factors—Risks Related to the Company’s Common Stock—The Company’s stock price has been and may continue to be volatile”, there have been and may continue to be significant fluctuations in the market price of the Company’s common stock. For example, there have been significant market price fluctuations following the recent announcement of the potential DFC Loan and Pharmaceutical Initiative. The market price of the Company’s common stock may be particularly susceptible to additional significant fluctuations based on future announcements or disclosures concerning the potential DFC Loan, the Pharmaceutical Initiative, the related congressional and SEC investigations and the related internal review being performed by a special committee of the Company’s Board of Directors.</w:t>
      </w:r>
    </w:p>
    <w:p>
      <w:pPr>
        <w:spacing w:after="0" w:line="2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described in the 2019 Form 10-K under the caption “Risk Factors—Risks Related to the Company’s Common Stock—The Company has registered the resale of a large portion of its outstanding securities. The resale of the Company’s common stock, or the perception that such resale may occur, may adversely affect the price of its common stock”, the resale of a substantial number of shares of common stock in the public market, or the perception that such resale might occur, could cause the market price of the Company’s common stock to decline. On August 3, 2020, the Company issued the 29,922,956 Conversion Shares to the holders of the Converted Notes (the “Converting Holders”). While the Conversion Shares have not been registered for resale, the Conversion Shares were issued without restrictive legends or transfer restrictions based on the Company’s receipt of an opinion of counsel for the Converting Holders that the resale of up to all of the Conversion Shares by the Converting Holders could be made in accordance with Rule 144 at any time in the three (3) month period commencing on August 3, 2020. The Company does not know if any of the Conversion Shares are still held by the Converting Holders, or if any of the Conversion Shares have been sold. If the Converting Holders continue to hold the Conversion Shares, future sales of the Conversion Shares by the Converting Holders could exert downward pressure on the Company’s stock price.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60" w:lineRule="exact"/>
        <w:rPr>
          <w:sz w:val="20"/>
          <w:szCs w:val="20"/>
          <w:color w:val="auto"/>
        </w:rPr>
      </w:pPr>
    </w:p>
    <w:p>
      <w:pPr>
        <w:ind w:left="560" w:right="5220" w:hanging="552"/>
        <w:spacing w:after="0" w:line="563" w:lineRule="auto"/>
        <w:tabs>
          <w:tab w:leader="none" w:pos="5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June 30, 2020 </w:t>
      </w:r>
      <w:r>
        <w:rPr>
          <w:rFonts w:ascii="Arial" w:cs="Arial" w:eastAsia="Arial" w:hAnsi="Arial"/>
          <w:sz w:val="18"/>
          <w:szCs w:val="18"/>
          <w:color w:val="auto"/>
        </w:rPr>
        <w:t>None</w:t>
      </w:r>
    </w:p>
    <w:p>
      <w:pPr>
        <w:spacing w:after="0" w:line="54" w:lineRule="exact"/>
        <w:rPr>
          <w:rFonts w:ascii="Arial" w:cs="Arial" w:eastAsia="Arial" w:hAnsi="Arial"/>
          <w:sz w:val="18"/>
          <w:szCs w:val="18"/>
          <w:b w:val="1"/>
          <w:bCs w:val="1"/>
          <w:color w:val="auto"/>
        </w:rPr>
      </w:pPr>
    </w:p>
    <w:p>
      <w:pPr>
        <w:ind w:left="560" w:right="4820" w:hanging="552"/>
        <w:spacing w:after="0" w:line="542" w:lineRule="auto"/>
        <w:tabs>
          <w:tab w:leader="none" w:pos="558"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June 30, 2020 </w:t>
      </w:r>
      <w:r>
        <w:rPr>
          <w:rFonts w:ascii="Arial" w:cs="Arial" w:eastAsia="Arial" w:hAnsi="Arial"/>
          <w:sz w:val="18"/>
          <w:szCs w:val="18"/>
          <w:color w:val="auto"/>
        </w:rPr>
        <w:t>None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1"/>
              </w:rPr>
              <w:t>Eastman Kodak Company</w:t>
            </w:r>
          </w:p>
        </w:tc>
      </w:tr>
      <w:tr>
        <w:trPr>
          <w:trHeight w:val="234"/>
        </w:trPr>
        <w:tc>
          <w:tcPr>
            <w:tcW w:w="14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1"/>
              </w:rPr>
              <w:t>Index to Exhibits</w:t>
            </w:r>
          </w:p>
        </w:tc>
      </w:tr>
      <w:tr>
        <w:trPr>
          <w:trHeight w:val="418"/>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(3.1)</w:t>
            </w:r>
          </w:p>
        </w:tc>
        <w:tc>
          <w:tcPr>
            <w:tcW w:w="9700" w:type="dxa"/>
            <w:vAlign w:val="bottom"/>
            <w:tcBorders>
              <w:bottom w:val="single" w:sz="8" w:color="0000EE"/>
            </w:tcBorders>
            <w:gridSpan w:val="9"/>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Second Amended and Restated Certificate of Incorporation of Eastman Kodak Company (Incorporated by reference to Exhibit (4.1) of</w:t>
              </w:r>
            </w:hyperlink>
          </w:p>
        </w:tc>
        <w:tc>
          <w:tcPr>
            <w:tcW w:w="140" w:type="dxa"/>
            <w:vAlign w:val="bottom"/>
            <w:gridSpan w:val="2"/>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60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75">
              <w:r>
                <w:rPr>
                  <w:rFonts w:ascii="Arial" w:cs="Arial" w:eastAsia="Arial" w:hAnsi="Arial"/>
                  <w:sz w:val="18"/>
                  <w:szCs w:val="18"/>
                  <w:color w:val="0000EE"/>
                  <w:w w:val="89"/>
                </w:rPr>
                <w:t>the Company’s Registration Statement on Form S-8 as filed on September 3, 2013).</w:t>
              </w:r>
            </w:hyperlink>
          </w:p>
        </w:tc>
        <w:tc>
          <w:tcPr>
            <w:tcW w:w="3820" w:type="dxa"/>
            <w:vAlign w:val="bottom"/>
            <w:gridSpan w:val="8"/>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(3.2)</w:t>
            </w:r>
          </w:p>
        </w:tc>
        <w:tc>
          <w:tcPr>
            <w:tcW w:w="9800" w:type="dxa"/>
            <w:vAlign w:val="bottom"/>
            <w:tcBorders>
              <w:bottom w:val="single" w:sz="8" w:color="0000EE"/>
            </w:tcBorders>
            <w:gridSpan w:val="10"/>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Certificate of Amendment to the Second Amended and Restated Certificate of Incorporation of Eastman Kodak Company (Incorporated</w:t>
              </w:r>
            </w:hyperlink>
          </w:p>
        </w:tc>
        <w:tc>
          <w:tcPr>
            <w:tcW w:w="4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7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by reference to Exhibit (3.1) of the Company’s Current Report on Form 8-K as filed November 16, 2016).</w:t>
              </w:r>
            </w:hyperlink>
          </w:p>
        </w:tc>
        <w:tc>
          <w:tcPr>
            <w:tcW w:w="2200" w:type="dxa"/>
            <w:vAlign w:val="bottom"/>
            <w:gridSpan w:val="6"/>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(3.3)</w:t>
            </w:r>
          </w:p>
        </w:tc>
        <w:tc>
          <w:tcPr>
            <w:tcW w:w="9800" w:type="dxa"/>
            <w:vAlign w:val="bottom"/>
            <w:tcBorders>
              <w:bottom w:val="single" w:sz="8" w:color="0000EE"/>
            </w:tcBorders>
            <w:gridSpan w:val="10"/>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Certificate of Amendment to the Second Amended and Restated Certificate of Incorporation of Eastman Kodak Company (Incorporated</w:t>
              </w:r>
            </w:hyperlink>
          </w:p>
        </w:tc>
        <w:tc>
          <w:tcPr>
            <w:tcW w:w="4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7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by reference to Exhibit (3.1) of the Company’s Current Report on Form 8-K as filed September 12, 2019).</w:t>
              </w:r>
            </w:hyperlink>
          </w:p>
        </w:tc>
        <w:tc>
          <w:tcPr>
            <w:tcW w:w="2200" w:type="dxa"/>
            <w:vAlign w:val="bottom"/>
            <w:gridSpan w:val="6"/>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(3.4)</w:t>
            </w:r>
          </w:p>
        </w:tc>
        <w:tc>
          <w:tcPr>
            <w:tcW w:w="9800" w:type="dxa"/>
            <w:vAlign w:val="bottom"/>
            <w:tcBorders>
              <w:bottom w:val="single" w:sz="8" w:color="0000EE"/>
            </w:tcBorders>
            <w:gridSpan w:val="10"/>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Certificate of Amendment to the Second Amended and Restated Certificate of Incorporation of Eastman Kodak Company (Incorporated</w:t>
              </w:r>
            </w:hyperlink>
          </w:p>
        </w:tc>
        <w:tc>
          <w:tcPr>
            <w:tcW w:w="4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7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by reference to Exhibit (3.2) of the Company’s Current Report on Form 8-K as filed September 12, 2019).</w:t>
              </w:r>
            </w:hyperlink>
          </w:p>
        </w:tc>
        <w:tc>
          <w:tcPr>
            <w:tcW w:w="2200" w:type="dxa"/>
            <w:vAlign w:val="bottom"/>
            <w:gridSpan w:val="6"/>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9840" w:type="dxa"/>
            <w:vAlign w:val="bottom"/>
            <w:gridSpan w:val="11"/>
          </w:tcPr>
          <w:p>
            <w:pPr>
              <w:spacing w:after="0"/>
              <w:rPr>
                <w:rFonts w:ascii="Arial" w:cs="Arial" w:eastAsia="Arial" w:hAnsi="Arial"/>
                <w:sz w:val="18"/>
                <w:szCs w:val="18"/>
                <w:color w:val="0000EE"/>
                <w:w w:val="94"/>
              </w:rPr>
            </w:pPr>
            <w:hyperlink r:id="rId78">
              <w:r>
                <w:rPr>
                  <w:rFonts w:ascii="Arial" w:cs="Arial" w:eastAsia="Arial" w:hAnsi="Arial"/>
                  <w:sz w:val="18"/>
                  <w:szCs w:val="18"/>
                  <w:color w:val="0000EE"/>
                  <w:w w:val="94"/>
                </w:rPr>
                <w:t>Fourth Amended and Restated By-Laws of Eastman Kodak Company, (Incorporated by reference to Exhibit (3.5) of the Company’s</w:t>
              </w:r>
            </w:hyperlink>
          </w:p>
        </w:tc>
      </w:tr>
      <w:tr>
        <w:trPr>
          <w:trHeight w:val="196"/>
        </w:trPr>
        <w:tc>
          <w:tcPr>
            <w:tcW w:w="1420" w:type="dxa"/>
            <w:vAlign w:val="bottom"/>
          </w:tcPr>
          <w:p>
            <w:pPr>
              <w:spacing w:after="0"/>
              <w:rPr>
                <w:sz w:val="17"/>
                <w:szCs w:val="17"/>
                <w:color w:val="auto"/>
              </w:rPr>
            </w:pPr>
          </w:p>
        </w:tc>
        <w:tc>
          <w:tcPr>
            <w:tcW w:w="94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Quarterly Report on Form 10-Q for the quarterly period ended March 31, 2020 as filed on May 12, 2020).</w:t>
              </w:r>
            </w:hyperlink>
          </w:p>
        </w:tc>
        <w:tc>
          <w:tcPr>
            <w:tcW w:w="360" w:type="dxa"/>
            <w:vAlign w:val="bottom"/>
            <w:gridSpan w:val="4"/>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479"/>
        </w:trPr>
        <w:tc>
          <w:tcPr>
            <w:tcW w:w="1420" w:type="dxa"/>
            <w:vAlign w:val="bottom"/>
          </w:tcPr>
          <w:p>
            <w:pPr>
              <w:jc w:val="center"/>
              <w:spacing w:after="0"/>
              <w:rPr>
                <w:sz w:val="20"/>
                <w:szCs w:val="20"/>
                <w:color w:val="auto"/>
              </w:rPr>
            </w:pPr>
            <w:r>
              <w:rPr>
                <w:rFonts w:ascii="Arial" w:cs="Arial" w:eastAsia="Arial" w:hAnsi="Arial"/>
                <w:sz w:val="18"/>
                <w:szCs w:val="18"/>
                <w:color w:val="auto"/>
                <w:w w:val="89"/>
              </w:rPr>
              <w:t>(10.1)</w:t>
            </w:r>
          </w:p>
        </w:tc>
        <w:tc>
          <w:tcPr>
            <w:tcW w:w="9840" w:type="dxa"/>
            <w:vAlign w:val="bottom"/>
            <w:gridSpan w:val="11"/>
          </w:tcPr>
          <w:p>
            <w:pPr>
              <w:spacing w:after="0"/>
              <w:rPr>
                <w:rFonts w:ascii="Arial" w:cs="Arial" w:eastAsia="Arial" w:hAnsi="Arial"/>
                <w:sz w:val="18"/>
                <w:szCs w:val="18"/>
                <w:u w:val="single" w:color="auto"/>
                <w:color w:val="0000EE"/>
                <w:w w:val="99"/>
              </w:rPr>
            </w:pPr>
            <w:hyperlink w:anchor="page52">
              <w:r>
                <w:rPr>
                  <w:rFonts w:ascii="Arial" w:cs="Arial" w:eastAsia="Arial" w:hAnsi="Arial"/>
                  <w:sz w:val="18"/>
                  <w:szCs w:val="18"/>
                  <w:u w:val="single" w:color="auto"/>
                  <w:color w:val="0000EE"/>
                  <w:w w:val="99"/>
                </w:rPr>
                <w:t>Eastman Kodak Company 2013 Omnibus Incentive Plan (As Amended and Restated effective May 20, 2020), filed herewith.</w:t>
              </w:r>
            </w:hyperlink>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89"/>
              </w:rPr>
              <w:t>(31.1)</w:t>
            </w:r>
          </w:p>
        </w:tc>
        <w:tc>
          <w:tcPr>
            <w:tcW w:w="9840" w:type="dxa"/>
            <w:vAlign w:val="bottom"/>
            <w:gridSpan w:val="11"/>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Certification signed by James V. Continenza, filed herewith.</w:t>
              </w:r>
            </w:hyperlink>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89"/>
              </w:rPr>
              <w:t>(31.2)</w:t>
            </w:r>
          </w:p>
        </w:tc>
        <w:tc>
          <w:tcPr>
            <w:tcW w:w="9840" w:type="dxa"/>
            <w:vAlign w:val="bottom"/>
            <w:gridSpan w:val="11"/>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Certification signed by David E. Bullwinkle, filed herewith.</w:t>
              </w:r>
            </w:hyperlink>
          </w:p>
        </w:tc>
      </w:tr>
      <w:tr>
        <w:trPr>
          <w:trHeight w:val="418"/>
        </w:trPr>
        <w:tc>
          <w:tcPr>
            <w:tcW w:w="1420" w:type="dxa"/>
            <w:vAlign w:val="bottom"/>
          </w:tcPr>
          <w:p>
            <w:pPr>
              <w:jc w:val="center"/>
              <w:spacing w:after="0"/>
              <w:rPr>
                <w:sz w:val="20"/>
                <w:szCs w:val="20"/>
                <w:color w:val="auto"/>
              </w:rPr>
            </w:pPr>
            <w:r>
              <w:rPr>
                <w:rFonts w:ascii="Arial" w:cs="Arial" w:eastAsia="Arial" w:hAnsi="Arial"/>
                <w:sz w:val="18"/>
                <w:szCs w:val="18"/>
                <w:color w:val="auto"/>
                <w:w w:val="89"/>
              </w:rPr>
              <w:t>(32.1)</w:t>
            </w:r>
          </w:p>
        </w:tc>
        <w:tc>
          <w:tcPr>
            <w:tcW w:w="95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Certification Pursuant to 18 U.S.C. Section 1350, as Adopted Pursuant to Section 906 of the Sarbanes-Oxley Act of 2002, signed by</w:t>
              </w:r>
            </w:hyperlink>
          </w:p>
        </w:tc>
        <w:tc>
          <w:tcPr>
            <w:tcW w:w="320" w:type="dxa"/>
            <w:vAlign w:val="bottom"/>
            <w:gridSpan w:val="3"/>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26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James V. Continenza, filed herewith.</w:t>
              </w:r>
            </w:hyperlink>
          </w:p>
        </w:tc>
        <w:tc>
          <w:tcPr>
            <w:tcW w:w="7200" w:type="dxa"/>
            <w:vAlign w:val="bottom"/>
            <w:gridSpan w:val="9"/>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Arial" w:cs="Arial" w:eastAsia="Arial" w:hAnsi="Arial"/>
                <w:sz w:val="18"/>
                <w:szCs w:val="18"/>
                <w:color w:val="auto"/>
                <w:w w:val="89"/>
              </w:rPr>
              <w:t>(32.2)</w:t>
            </w:r>
          </w:p>
        </w:tc>
        <w:tc>
          <w:tcPr>
            <w:tcW w:w="9840" w:type="dxa"/>
            <w:vAlign w:val="bottom"/>
            <w:gridSpan w:val="11"/>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Certification Pursuant to 18 U.S.C. Section 1350, as Adopted Pursuant to Section 906 of the Sarbanes-Oxley Act of 2002 signed by</w:t>
              </w:r>
            </w:hyperlink>
          </w:p>
        </w:tc>
      </w:tr>
      <w:tr>
        <w:trPr>
          <w:trHeight w:val="196"/>
        </w:trPr>
        <w:tc>
          <w:tcPr>
            <w:tcW w:w="1420" w:type="dxa"/>
            <w:vAlign w:val="bottom"/>
          </w:tcPr>
          <w:p>
            <w:pPr>
              <w:spacing w:after="0"/>
              <w:rPr>
                <w:sz w:val="17"/>
                <w:szCs w:val="17"/>
                <w:color w:val="auto"/>
              </w:rPr>
            </w:pPr>
          </w:p>
        </w:tc>
        <w:tc>
          <w:tcPr>
            <w:tcW w:w="9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David E. Bullwinkle, filed herewith</w:t>
              </w:r>
              <w:r>
                <w:rPr>
                  <w:rFonts w:ascii="Arial" w:cs="Arial" w:eastAsia="Arial" w:hAnsi="Arial"/>
                  <w:sz w:val="18"/>
                  <w:szCs w:val="18"/>
                  <w:color w:val="000000"/>
                </w:rPr>
                <w:t>.</w:t>
              </w:r>
            </w:hyperlink>
          </w:p>
        </w:tc>
        <w:tc>
          <w:tcPr>
            <w:tcW w:w="380" w:type="dxa"/>
            <w:vAlign w:val="bottom"/>
            <w:gridSpan w:val="5"/>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260" w:type="dxa"/>
            <w:vAlign w:val="bottom"/>
            <w:gridSpan w:val="10"/>
          </w:tcPr>
          <w:p>
            <w:pPr>
              <w:spacing w:after="0" w:line="20" w:lineRule="exact"/>
              <w:rPr>
                <w:sz w:val="1"/>
                <w:szCs w:val="1"/>
                <w:color w:val="auto"/>
              </w:rPr>
            </w:pPr>
          </w:p>
        </w:tc>
      </w:tr>
      <w:tr>
        <w:trPr>
          <w:trHeight w:val="480"/>
        </w:trPr>
        <w:tc>
          <w:tcPr>
            <w:tcW w:w="1420" w:type="dxa"/>
            <w:vAlign w:val="bottom"/>
          </w:tcPr>
          <w:p>
            <w:pPr>
              <w:jc w:val="center"/>
              <w:spacing w:after="0"/>
              <w:rPr>
                <w:sz w:val="20"/>
                <w:szCs w:val="20"/>
                <w:color w:val="auto"/>
              </w:rPr>
            </w:pPr>
            <w:r>
              <w:rPr>
                <w:rFonts w:ascii="Arial" w:cs="Arial" w:eastAsia="Arial" w:hAnsi="Arial"/>
                <w:sz w:val="18"/>
                <w:szCs w:val="18"/>
                <w:color w:val="auto"/>
                <w:w w:val="95"/>
              </w:rPr>
              <w:t>(101.CAL)</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96"/>
              </w:rPr>
              <w:t>(101.INS)</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96"/>
              </w:rPr>
              <w:t>(101.LAB)</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92"/>
              </w:rPr>
              <w:t>(101.PRE)</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91"/>
              </w:rPr>
              <w:t>(101.SCH)</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Taxonomy Extension Schema Linkbase.</w:t>
            </w:r>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93"/>
              </w:rPr>
              <w:t>(101.DEF)</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918"/>
        </w:trPr>
        <w:tc>
          <w:tcPr>
            <w:tcW w:w="1420" w:type="dxa"/>
            <w:vAlign w:val="bottom"/>
          </w:tcPr>
          <w:p>
            <w:pPr>
              <w:spacing w:after="0"/>
              <w:rPr>
                <w:sz w:val="24"/>
                <w:szCs w:val="24"/>
                <w:color w:val="auto"/>
              </w:rPr>
            </w:pPr>
          </w:p>
        </w:tc>
        <w:tc>
          <w:tcPr>
            <w:tcW w:w="6020" w:type="dxa"/>
            <w:vAlign w:val="bottom"/>
            <w:gridSpan w:val="3"/>
          </w:tcPr>
          <w:p>
            <w:pPr>
              <w:jc w:val="center"/>
              <w:ind w:left="2310"/>
              <w:spacing w:after="0"/>
              <w:rPr>
                <w:sz w:val="20"/>
                <w:szCs w:val="20"/>
                <w:color w:val="auto"/>
              </w:rPr>
            </w:pPr>
            <w:r>
              <w:rPr>
                <w:rFonts w:ascii="Arial" w:cs="Arial" w:eastAsia="Arial" w:hAnsi="Arial"/>
                <w:sz w:val="18"/>
                <w:szCs w:val="18"/>
                <w:color w:val="auto"/>
                <w:w w:val="99"/>
              </w:rPr>
              <w:t>[50]</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(Registrant)</w:t>
            </w:r>
          </w:p>
        </w:tc>
      </w:tr>
      <w:tr>
        <w:trPr>
          <w:trHeight w:val="891"/>
        </w:trPr>
        <w:tc>
          <w:tcPr>
            <w:tcW w:w="6200" w:type="dxa"/>
            <w:vAlign w:val="bottom"/>
          </w:tcPr>
          <w:p>
            <w:pPr>
              <w:spacing w:after="0"/>
              <w:rPr>
                <w:sz w:val="20"/>
                <w:szCs w:val="20"/>
                <w:color w:val="auto"/>
              </w:rPr>
            </w:pPr>
            <w:r>
              <w:rPr>
                <w:rFonts w:ascii="Arial" w:cs="Arial" w:eastAsia="Arial" w:hAnsi="Arial"/>
                <w:sz w:val="18"/>
                <w:szCs w:val="18"/>
                <w:b w:val="1"/>
                <w:bCs w:val="1"/>
                <w:color w:val="auto"/>
              </w:rPr>
              <w:t>Date August 11, 2020</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r>
      <w:tr>
        <w:trPr>
          <w:trHeight w:val="191"/>
        </w:trPr>
        <w:tc>
          <w:tcPr>
            <w:tcW w:w="6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Arial" w:cs="Arial" w:eastAsia="Arial" w:hAnsi="Arial"/>
                <w:sz w:val="18"/>
                <w:szCs w:val="18"/>
                <w:b w:val="1"/>
                <w:bCs w:val="1"/>
                <w:color w:val="auto"/>
              </w:rPr>
              <w:t>Eric Samuels</w:t>
            </w:r>
          </w:p>
        </w:tc>
      </w:tr>
      <w:tr>
        <w:trPr>
          <w:trHeight w:val="216"/>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9"/>
          <w:szCs w:val="19"/>
          <w:b w:val="1"/>
          <w:bCs w:val="1"/>
          <w:color w:val="auto"/>
        </w:rPr>
        <w:t>E</w:t>
      </w:r>
      <w:r>
        <w:rPr>
          <w:rFonts w:ascii="Arial" w:cs="Arial" w:eastAsia="Arial" w:hAnsi="Arial"/>
          <w:sz w:val="13"/>
          <w:szCs w:val="13"/>
          <w:b w:val="1"/>
          <w:bCs w:val="1"/>
          <w:color w:val="auto"/>
        </w:rPr>
        <w:t>XHIBIT</w:t>
      </w:r>
      <w:r>
        <w:rPr>
          <w:rFonts w:ascii="Arial" w:cs="Arial" w:eastAsia="Arial" w:hAnsi="Arial"/>
          <w:sz w:val="19"/>
          <w:szCs w:val="19"/>
          <w:b w:val="1"/>
          <w:bCs w:val="1"/>
          <w:color w:val="auto"/>
        </w:rPr>
        <w:t xml:space="preserve"> (10.1)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w:t>
      </w:r>
      <w:r>
        <w:rPr>
          <w:rFonts w:ascii="Arial" w:cs="Arial" w:eastAsia="Arial" w:hAnsi="Arial"/>
          <w:sz w:val="13"/>
          <w:szCs w:val="13"/>
          <w:b w:val="1"/>
          <w:bCs w:val="1"/>
          <w:color w:val="auto"/>
        </w:rPr>
        <w:t>ASTMAN</w:t>
      </w:r>
      <w:r>
        <w:rPr>
          <w:rFonts w:ascii="Arial" w:cs="Arial" w:eastAsia="Arial" w:hAnsi="Arial"/>
          <w:sz w:val="19"/>
          <w:szCs w:val="19"/>
          <w:b w:val="1"/>
          <w:bCs w:val="1"/>
          <w:color w:val="auto"/>
        </w:rPr>
        <w:t xml:space="preserve"> K</w:t>
      </w:r>
      <w:r>
        <w:rPr>
          <w:rFonts w:ascii="Arial" w:cs="Arial" w:eastAsia="Arial" w:hAnsi="Arial"/>
          <w:sz w:val="13"/>
          <w:szCs w:val="13"/>
          <w:b w:val="1"/>
          <w:bCs w:val="1"/>
          <w:color w:val="auto"/>
        </w:rPr>
        <w:t>ODAK</w:t>
      </w:r>
      <w:r>
        <w:rPr>
          <w:rFonts w:ascii="Arial" w:cs="Arial" w:eastAsia="Arial" w:hAnsi="Arial"/>
          <w:sz w:val="19"/>
          <w:szCs w:val="19"/>
          <w:b w:val="1"/>
          <w:bCs w:val="1"/>
          <w:color w:val="auto"/>
        </w:rPr>
        <w:t xml:space="preserve"> C</w:t>
      </w:r>
      <w:r>
        <w:rPr>
          <w:rFonts w:ascii="Arial" w:cs="Arial" w:eastAsia="Arial" w:hAnsi="Arial"/>
          <w:sz w:val="13"/>
          <w:szCs w:val="13"/>
          <w:b w:val="1"/>
          <w:bCs w:val="1"/>
          <w:color w:val="auto"/>
        </w:rPr>
        <w:t>OMPANY</w:t>
      </w:r>
    </w:p>
    <w:p>
      <w:pPr>
        <w:jc w:val="center"/>
        <w:spacing w:after="0"/>
        <w:rPr>
          <w:sz w:val="20"/>
          <w:szCs w:val="20"/>
          <w:color w:val="auto"/>
        </w:rPr>
      </w:pPr>
      <w:r>
        <w:rPr>
          <w:rFonts w:ascii="Arial" w:cs="Arial" w:eastAsia="Arial" w:hAnsi="Arial"/>
          <w:sz w:val="19"/>
          <w:szCs w:val="19"/>
          <w:b w:val="1"/>
          <w:bCs w:val="1"/>
          <w:color w:val="auto"/>
        </w:rPr>
        <w:t>2013 O</w:t>
      </w:r>
      <w:r>
        <w:rPr>
          <w:rFonts w:ascii="Arial" w:cs="Arial" w:eastAsia="Arial" w:hAnsi="Arial"/>
          <w:sz w:val="13"/>
          <w:szCs w:val="13"/>
          <w:b w:val="1"/>
          <w:bCs w:val="1"/>
          <w:color w:val="auto"/>
        </w:rPr>
        <w:t>MNIBUS</w:t>
      </w:r>
      <w:r>
        <w:rPr>
          <w:rFonts w:ascii="Arial" w:cs="Arial" w:eastAsia="Arial" w:hAnsi="Arial"/>
          <w:sz w:val="19"/>
          <w:szCs w:val="19"/>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19"/>
          <w:szCs w:val="19"/>
          <w:b w:val="1"/>
          <w:bCs w:val="1"/>
          <w:color w:val="auto"/>
        </w:rPr>
        <w:t xml:space="preserve"> P</w:t>
      </w:r>
      <w:r>
        <w:rPr>
          <w:rFonts w:ascii="Arial" w:cs="Arial" w:eastAsia="Arial" w:hAnsi="Arial"/>
          <w:sz w:val="13"/>
          <w:szCs w:val="13"/>
          <w:b w:val="1"/>
          <w:bCs w:val="1"/>
          <w:color w:val="auto"/>
        </w:rPr>
        <w:t>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Amended and Restated Effective May 20, 2020)</w:t>
      </w:r>
    </w:p>
    <w:p>
      <w:pPr>
        <w:spacing w:after="0" w:line="322" w:lineRule="exact"/>
        <w:rPr>
          <w:sz w:val="20"/>
          <w:szCs w:val="20"/>
          <w:color w:val="auto"/>
        </w:rPr>
      </w:pPr>
    </w:p>
    <w:p>
      <w:pPr>
        <w:jc w:val="center"/>
        <w:ind w:right="8320"/>
        <w:spacing w:after="0"/>
        <w:rPr>
          <w:sz w:val="20"/>
          <w:szCs w:val="20"/>
          <w:color w:val="auto"/>
        </w:rPr>
      </w:pPr>
      <w:r>
        <w:rPr>
          <w:rFonts w:ascii="Arial" w:cs="Arial" w:eastAsia="Arial" w:hAnsi="Arial"/>
          <w:sz w:val="17"/>
          <w:szCs w:val="17"/>
          <w:b w:val="1"/>
          <w:bCs w:val="1"/>
          <w:color w:val="010000"/>
        </w:rPr>
        <w:t xml:space="preserve">Article 1. </w:t>
      </w:r>
      <w:r>
        <w:rPr>
          <w:rFonts w:ascii="Arial" w:cs="Arial" w:eastAsia="Arial" w:hAnsi="Arial"/>
          <w:sz w:val="17"/>
          <w:szCs w:val="17"/>
          <w:b w:val="1"/>
          <w:bCs w:val="1"/>
          <w:color w:val="000000"/>
        </w:rPr>
        <w:t>Establishment &amp; Purpose</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010000"/>
        </w:rPr>
        <w:t>Establishment</w:t>
      </w:r>
    </w:p>
    <w:p>
      <w:pPr>
        <w:spacing w:after="0" w:line="220" w:lineRule="exact"/>
        <w:rPr>
          <w:sz w:val="20"/>
          <w:szCs w:val="20"/>
          <w:color w:val="auto"/>
        </w:rPr>
      </w:pPr>
    </w:p>
    <w:p>
      <w:pPr>
        <w:ind w:firstLine="872"/>
        <w:spacing w:after="0" w:line="261" w:lineRule="auto"/>
        <w:tabs>
          <w:tab w:leader="none" w:pos="969" w:val="left"/>
        </w:tabs>
        <w:numPr>
          <w:ilvl w:val="0"/>
          <w:numId w:val="32"/>
        </w:numPr>
        <w:rPr>
          <w:rFonts w:ascii="Arial" w:cs="Arial" w:eastAsia="Arial" w:hAnsi="Arial"/>
          <w:sz w:val="19"/>
          <w:szCs w:val="19"/>
          <w:color w:val="auto"/>
        </w:rPr>
      </w:pPr>
      <w:r>
        <w:rPr>
          <w:rFonts w:ascii="Arial" w:cs="Arial" w:eastAsia="Arial" w:hAnsi="Arial"/>
          <w:sz w:val="19"/>
          <w:szCs w:val="19"/>
          <w:color w:val="auto"/>
        </w:rPr>
        <w:t>Eastman Kodak Company, a New Jersey corporation, hereby establishes the Eastman Kodak Company 2013 Omnibus Incentive Plan (hereinafter referred to as the “</w:t>
      </w: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as set forth in this document.</w:t>
      </w:r>
    </w:p>
    <w:p>
      <w:pPr>
        <w:spacing w:after="0" w:line="167"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1.2</w:t>
      </w:r>
      <w:r>
        <w:rPr>
          <w:sz w:val="20"/>
          <w:szCs w:val="20"/>
          <w:color w:val="auto"/>
        </w:rPr>
        <w:tab/>
      </w:r>
      <w:r>
        <w:rPr>
          <w:rFonts w:ascii="Arial" w:cs="Arial" w:eastAsia="Arial" w:hAnsi="Arial"/>
          <w:sz w:val="16"/>
          <w:szCs w:val="16"/>
          <w:b w:val="1"/>
          <w:bCs w:val="1"/>
          <w:color w:val="auto"/>
        </w:rPr>
        <w:t>Purpose</w:t>
      </w:r>
    </w:p>
    <w:p>
      <w:pPr>
        <w:spacing w:after="0" w:line="220" w:lineRule="exact"/>
        <w:rPr>
          <w:sz w:val="20"/>
          <w:szCs w:val="20"/>
          <w:color w:val="auto"/>
        </w:rPr>
      </w:pPr>
    </w:p>
    <w:p>
      <w:pPr>
        <w:jc w:val="both"/>
        <w:ind w:firstLine="872"/>
        <w:spacing w:after="0" w:line="249" w:lineRule="auto"/>
        <w:tabs>
          <w:tab w:leader="none" w:pos="975"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purpose of this Plan is to attract, retain and motivate officers, employees, and non-employee directors providing services to the Company, any of its Subsidiaries, or Affiliates and to promote the success of the Company’s business by providing Participants with appropriate incentives.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010000"/>
        </w:rPr>
        <w:t xml:space="preserve">Article 2. </w:t>
      </w:r>
      <w:r>
        <w:rPr>
          <w:rFonts w:ascii="Arial" w:cs="Arial" w:eastAsia="Arial" w:hAnsi="Arial"/>
          <w:sz w:val="19"/>
          <w:szCs w:val="19"/>
          <w:b w:val="1"/>
          <w:bCs w:val="1"/>
          <w:color w:val="000000"/>
        </w:rPr>
        <w:t>Definitions</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500" w:type="dxa"/>
            <w:vAlign w:val="bottom"/>
          </w:tcPr>
          <w:p>
            <w:pPr>
              <w:spacing w:after="0"/>
              <w:rPr>
                <w:sz w:val="20"/>
                <w:szCs w:val="20"/>
                <w:color w:val="auto"/>
              </w:rPr>
            </w:pPr>
          </w:p>
        </w:tc>
        <w:tc>
          <w:tcPr>
            <w:tcW w:w="10660" w:type="dxa"/>
            <w:vAlign w:val="bottom"/>
            <w:gridSpan w:val="11"/>
          </w:tcPr>
          <w:p>
            <w:pPr>
              <w:ind w:left="300"/>
              <w:spacing w:after="0"/>
              <w:rPr>
                <w:sz w:val="20"/>
                <w:szCs w:val="20"/>
                <w:color w:val="auto"/>
              </w:rPr>
            </w:pPr>
            <w:r>
              <w:rPr>
                <w:rFonts w:ascii="Arial" w:cs="Arial" w:eastAsia="Arial" w:hAnsi="Arial"/>
                <w:sz w:val="19"/>
                <w:szCs w:val="19"/>
                <w:color w:val="auto"/>
              </w:rPr>
              <w:t>For purposes of the Plan, the following terms have the meanings set forth below:</w:t>
            </w:r>
          </w:p>
        </w:tc>
      </w:tr>
      <w:tr>
        <w:trPr>
          <w:trHeight w:val="389"/>
        </w:trPr>
        <w:tc>
          <w:tcPr>
            <w:tcW w:w="500" w:type="dxa"/>
            <w:vAlign w:val="bottom"/>
          </w:tcPr>
          <w:p>
            <w:pPr>
              <w:jc w:val="right"/>
              <w:ind w:right="186"/>
              <w:spacing w:after="0"/>
              <w:rPr>
                <w:sz w:val="20"/>
                <w:szCs w:val="20"/>
                <w:color w:val="auto"/>
              </w:rPr>
            </w:pPr>
            <w:r>
              <w:rPr>
                <w:rFonts w:ascii="Arial" w:cs="Arial" w:eastAsia="Arial" w:hAnsi="Arial"/>
                <w:sz w:val="19"/>
                <w:szCs w:val="19"/>
                <w:b w:val="1"/>
                <w:bCs w:val="1"/>
                <w:color w:val="auto"/>
                <w:w w:val="75"/>
              </w:rPr>
              <w:t>2.1</w:t>
            </w:r>
          </w:p>
        </w:tc>
        <w:tc>
          <w:tcPr>
            <w:tcW w:w="10660" w:type="dxa"/>
            <w:vAlign w:val="bottom"/>
            <w:gridSpan w:val="11"/>
          </w:tcPr>
          <w:p>
            <w:pPr>
              <w:ind w:left="1080"/>
              <w:spacing w:after="0"/>
              <w:rPr>
                <w:sz w:val="20"/>
                <w:szCs w:val="20"/>
                <w:color w:val="auto"/>
              </w:rPr>
            </w:pPr>
            <w:r>
              <w:rPr>
                <w:rFonts w:ascii="Arial" w:cs="Arial" w:eastAsia="Arial" w:hAnsi="Arial"/>
                <w:sz w:val="19"/>
                <w:szCs w:val="19"/>
                <w:b w:val="1"/>
                <w:bCs w:val="1"/>
                <w:color w:val="auto"/>
                <w:w w:val="95"/>
              </w:rPr>
              <w:t xml:space="preserve">“Affiliate” </w:t>
            </w:r>
            <w:r>
              <w:rPr>
                <w:rFonts w:ascii="Arial" w:cs="Arial" w:eastAsia="Arial" w:hAnsi="Arial"/>
                <w:sz w:val="19"/>
                <w:szCs w:val="19"/>
                <w:color w:val="auto"/>
                <w:w w:val="95"/>
              </w:rPr>
              <w:t>means any entity that the Company, either directly or indirectly, is in common control with, is controlled by or</w:t>
            </w:r>
          </w:p>
        </w:tc>
      </w:tr>
      <w:tr>
        <w:trPr>
          <w:trHeight w:val="20"/>
        </w:trPr>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660" w:type="dxa"/>
            <w:vAlign w:val="bottom"/>
            <w:gridSpan w:val="11"/>
          </w:tcPr>
          <w:p>
            <w:pPr>
              <w:ind w:left="280"/>
              <w:spacing w:after="0" w:line="196" w:lineRule="exact"/>
              <w:rPr>
                <w:sz w:val="20"/>
                <w:szCs w:val="20"/>
                <w:color w:val="auto"/>
              </w:rPr>
            </w:pPr>
            <w:r>
              <w:rPr>
                <w:rFonts w:ascii="Arial" w:cs="Arial" w:eastAsia="Arial" w:hAnsi="Arial"/>
                <w:sz w:val="19"/>
                <w:szCs w:val="19"/>
                <w:color w:val="auto"/>
                <w:w w:val="93"/>
              </w:rPr>
              <w:t>controls, or any entity in which the Company has a substantial equity interest, direct or indirect; provided, however, to the extent that</w:t>
            </w:r>
          </w:p>
        </w:tc>
      </w:tr>
      <w:tr>
        <w:trPr>
          <w:trHeight w:val="20"/>
        </w:trPr>
        <w:tc>
          <w:tcPr>
            <w:tcW w:w="5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4"/>
        </w:trPr>
        <w:tc>
          <w:tcPr>
            <w:tcW w:w="500" w:type="dxa"/>
            <w:vAlign w:val="bottom"/>
          </w:tcPr>
          <w:p>
            <w:pPr>
              <w:spacing w:after="0"/>
              <w:rPr>
                <w:sz w:val="18"/>
                <w:szCs w:val="18"/>
                <w:color w:val="auto"/>
              </w:rPr>
            </w:pPr>
          </w:p>
        </w:tc>
        <w:tc>
          <w:tcPr>
            <w:tcW w:w="10660" w:type="dxa"/>
            <w:vAlign w:val="bottom"/>
            <w:gridSpan w:val="11"/>
          </w:tcPr>
          <w:p>
            <w:pPr>
              <w:ind w:left="280"/>
              <w:spacing w:after="0" w:line="214" w:lineRule="exact"/>
              <w:rPr>
                <w:sz w:val="20"/>
                <w:szCs w:val="20"/>
                <w:color w:val="auto"/>
              </w:rPr>
            </w:pPr>
            <w:r>
              <w:rPr>
                <w:rFonts w:ascii="Arial" w:cs="Arial" w:eastAsia="Arial" w:hAnsi="Arial"/>
                <w:sz w:val="19"/>
                <w:szCs w:val="19"/>
                <w:color w:val="auto"/>
                <w:w w:val="95"/>
              </w:rPr>
              <w:t>Awards must cover “service recipient stock” in order to comply with Section 409A, “Affiliate” shall be limited to those entities which</w:t>
            </w:r>
          </w:p>
        </w:tc>
      </w:tr>
      <w:tr>
        <w:trPr>
          <w:trHeight w:val="240"/>
        </w:trPr>
        <w:tc>
          <w:tcPr>
            <w:tcW w:w="500" w:type="dxa"/>
            <w:vAlign w:val="bottom"/>
          </w:tcPr>
          <w:p>
            <w:pPr>
              <w:spacing w:after="0"/>
              <w:rPr>
                <w:sz w:val="20"/>
                <w:szCs w:val="20"/>
                <w:color w:val="auto"/>
              </w:rPr>
            </w:pPr>
          </w:p>
        </w:tc>
        <w:tc>
          <w:tcPr>
            <w:tcW w:w="10660" w:type="dxa"/>
            <w:vAlign w:val="bottom"/>
            <w:gridSpan w:val="11"/>
          </w:tcPr>
          <w:p>
            <w:pPr>
              <w:ind w:left="280"/>
              <w:spacing w:after="0"/>
              <w:rPr>
                <w:sz w:val="20"/>
                <w:szCs w:val="20"/>
                <w:color w:val="auto"/>
              </w:rPr>
            </w:pPr>
            <w:r>
              <w:rPr>
                <w:rFonts w:ascii="Arial" w:cs="Arial" w:eastAsia="Arial" w:hAnsi="Arial"/>
                <w:sz w:val="19"/>
                <w:szCs w:val="19"/>
                <w:color w:val="auto"/>
              </w:rPr>
              <w:t>could qualify as an “eligible issuer” under Section 409A.</w:t>
            </w:r>
          </w:p>
        </w:tc>
      </w:tr>
      <w:tr>
        <w:trPr>
          <w:trHeight w:val="389"/>
        </w:trPr>
        <w:tc>
          <w:tcPr>
            <w:tcW w:w="500" w:type="dxa"/>
            <w:vAlign w:val="bottom"/>
          </w:tcPr>
          <w:p>
            <w:pPr>
              <w:jc w:val="right"/>
              <w:ind w:right="186"/>
              <w:spacing w:after="0"/>
              <w:rPr>
                <w:sz w:val="20"/>
                <w:szCs w:val="20"/>
                <w:color w:val="auto"/>
              </w:rPr>
            </w:pPr>
            <w:r>
              <w:rPr>
                <w:rFonts w:ascii="Arial" w:cs="Arial" w:eastAsia="Arial" w:hAnsi="Arial"/>
                <w:sz w:val="19"/>
                <w:szCs w:val="19"/>
                <w:b w:val="1"/>
                <w:bCs w:val="1"/>
                <w:color w:val="auto"/>
                <w:w w:val="75"/>
              </w:rPr>
              <w:t>2.2</w:t>
            </w:r>
          </w:p>
        </w:tc>
        <w:tc>
          <w:tcPr>
            <w:tcW w:w="10660" w:type="dxa"/>
            <w:vAlign w:val="bottom"/>
            <w:gridSpan w:val="11"/>
          </w:tcPr>
          <w:p>
            <w:pPr>
              <w:ind w:left="1080"/>
              <w:spacing w:after="0"/>
              <w:rPr>
                <w:sz w:val="20"/>
                <w:szCs w:val="20"/>
                <w:color w:val="auto"/>
              </w:rPr>
            </w:pPr>
            <w:r>
              <w:rPr>
                <w:rFonts w:ascii="Arial" w:cs="Arial" w:eastAsia="Arial" w:hAnsi="Arial"/>
                <w:sz w:val="19"/>
                <w:szCs w:val="19"/>
                <w:b w:val="1"/>
                <w:bCs w:val="1"/>
                <w:color w:val="auto"/>
              </w:rPr>
              <w:t xml:space="preserve">“Award” </w:t>
            </w:r>
            <w:r>
              <w:rPr>
                <w:rFonts w:ascii="Arial" w:cs="Arial" w:eastAsia="Arial" w:hAnsi="Arial"/>
                <w:sz w:val="19"/>
                <w:szCs w:val="19"/>
                <w:color w:val="auto"/>
              </w:rPr>
              <w:t>means any award that is granted under the Plan.</w:t>
            </w:r>
          </w:p>
        </w:tc>
      </w:tr>
      <w:tr>
        <w:trPr>
          <w:trHeight w:val="20"/>
        </w:trPr>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tcBorders>
              <w:left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r>
      <w:tr>
        <w:trPr>
          <w:trHeight w:val="412"/>
        </w:trPr>
        <w:tc>
          <w:tcPr>
            <w:tcW w:w="500" w:type="dxa"/>
            <w:vAlign w:val="bottom"/>
          </w:tcPr>
          <w:p>
            <w:pPr>
              <w:jc w:val="right"/>
              <w:ind w:right="186"/>
              <w:spacing w:after="0"/>
              <w:rPr>
                <w:sz w:val="20"/>
                <w:szCs w:val="20"/>
                <w:color w:val="auto"/>
              </w:rPr>
            </w:pPr>
            <w:r>
              <w:rPr>
                <w:rFonts w:ascii="Arial" w:cs="Arial" w:eastAsia="Arial" w:hAnsi="Arial"/>
                <w:sz w:val="19"/>
                <w:szCs w:val="19"/>
                <w:b w:val="1"/>
                <w:bCs w:val="1"/>
                <w:color w:val="auto"/>
                <w:w w:val="75"/>
              </w:rPr>
              <w:t>2.3</w:t>
            </w:r>
          </w:p>
        </w:tc>
        <w:tc>
          <w:tcPr>
            <w:tcW w:w="10660" w:type="dxa"/>
            <w:vAlign w:val="bottom"/>
            <w:gridSpan w:val="11"/>
          </w:tcPr>
          <w:p>
            <w:pPr>
              <w:ind w:left="1080"/>
              <w:spacing w:after="0"/>
              <w:rPr>
                <w:sz w:val="20"/>
                <w:szCs w:val="20"/>
                <w:color w:val="auto"/>
              </w:rPr>
            </w:pPr>
            <w:r>
              <w:rPr>
                <w:rFonts w:ascii="Arial" w:cs="Arial" w:eastAsia="Arial" w:hAnsi="Arial"/>
                <w:sz w:val="19"/>
                <w:szCs w:val="19"/>
                <w:b w:val="1"/>
                <w:bCs w:val="1"/>
                <w:color w:val="auto"/>
                <w:w w:val="91"/>
              </w:rPr>
              <w:t xml:space="preserve">“Award Agreement” </w:t>
            </w:r>
            <w:r>
              <w:rPr>
                <w:rFonts w:ascii="Arial" w:cs="Arial" w:eastAsia="Arial" w:hAnsi="Arial"/>
                <w:sz w:val="19"/>
                <w:szCs w:val="19"/>
                <w:color w:val="auto"/>
                <w:w w:val="91"/>
              </w:rPr>
              <w:t>means a written or electronic agreement setting forth the terms and provisions applicable to an Award</w:t>
            </w:r>
          </w:p>
        </w:tc>
      </w:tr>
      <w:tr>
        <w:trPr>
          <w:trHeight w:val="20"/>
        </w:trPr>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tcBorders>
              <w:left w:val="single" w:sz="8" w:color="auto"/>
            </w:tcBorders>
            <w:gridSpan w:val="2"/>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r>
      <w:tr>
        <w:trPr>
          <w:trHeight w:val="238"/>
        </w:trPr>
        <w:tc>
          <w:tcPr>
            <w:tcW w:w="500" w:type="dxa"/>
            <w:vAlign w:val="bottom"/>
          </w:tcPr>
          <w:p>
            <w:pPr>
              <w:spacing w:after="0"/>
              <w:rPr>
                <w:sz w:val="20"/>
                <w:szCs w:val="20"/>
                <w:color w:val="auto"/>
              </w:rPr>
            </w:pPr>
          </w:p>
        </w:tc>
        <w:tc>
          <w:tcPr>
            <w:tcW w:w="10660" w:type="dxa"/>
            <w:vAlign w:val="bottom"/>
            <w:gridSpan w:val="11"/>
          </w:tcPr>
          <w:p>
            <w:pPr>
              <w:ind w:left="280"/>
              <w:spacing w:after="0"/>
              <w:rPr>
                <w:sz w:val="20"/>
                <w:szCs w:val="20"/>
                <w:color w:val="auto"/>
              </w:rPr>
            </w:pPr>
            <w:r>
              <w:rPr>
                <w:rFonts w:ascii="Arial" w:cs="Arial" w:eastAsia="Arial" w:hAnsi="Arial"/>
                <w:sz w:val="19"/>
                <w:szCs w:val="19"/>
                <w:color w:val="auto"/>
              </w:rPr>
              <w:t>granted under this Plan.</w:t>
            </w:r>
          </w:p>
        </w:tc>
      </w:tr>
      <w:tr>
        <w:trPr>
          <w:trHeight w:val="390"/>
        </w:trPr>
        <w:tc>
          <w:tcPr>
            <w:tcW w:w="500" w:type="dxa"/>
            <w:vAlign w:val="bottom"/>
          </w:tcPr>
          <w:p>
            <w:pPr>
              <w:jc w:val="right"/>
              <w:ind w:right="186"/>
              <w:spacing w:after="0"/>
              <w:rPr>
                <w:sz w:val="20"/>
                <w:szCs w:val="20"/>
                <w:color w:val="auto"/>
              </w:rPr>
            </w:pPr>
            <w:r>
              <w:rPr>
                <w:rFonts w:ascii="Arial" w:cs="Arial" w:eastAsia="Arial" w:hAnsi="Arial"/>
                <w:sz w:val="19"/>
                <w:szCs w:val="19"/>
                <w:b w:val="1"/>
                <w:bCs w:val="1"/>
                <w:color w:val="auto"/>
                <w:w w:val="75"/>
              </w:rPr>
              <w:t>2.4</w:t>
            </w:r>
          </w:p>
        </w:tc>
        <w:tc>
          <w:tcPr>
            <w:tcW w:w="10660" w:type="dxa"/>
            <w:vAlign w:val="bottom"/>
            <w:gridSpan w:val="11"/>
          </w:tcPr>
          <w:p>
            <w:pPr>
              <w:ind w:left="1080"/>
              <w:spacing w:after="0" w:line="219" w:lineRule="exact"/>
              <w:rPr>
                <w:sz w:val="20"/>
                <w:szCs w:val="20"/>
                <w:color w:val="auto"/>
              </w:rPr>
            </w:pPr>
            <w:r>
              <w:rPr>
                <w:rFonts w:ascii="Arial" w:cs="Arial" w:eastAsia="Arial" w:hAnsi="Arial"/>
                <w:sz w:val="19"/>
                <w:szCs w:val="19"/>
                <w:b w:val="1"/>
                <w:bCs w:val="1"/>
                <w:color w:val="auto"/>
                <w:w w:val="90"/>
              </w:rPr>
              <w:t xml:space="preserve">“Beneficial Owner” </w:t>
            </w:r>
            <w:r>
              <w:rPr>
                <w:rFonts w:ascii="Arial" w:cs="Arial" w:eastAsia="Arial" w:hAnsi="Arial"/>
                <w:sz w:val="19"/>
                <w:szCs w:val="19"/>
                <w:color w:val="auto"/>
                <w:w w:val="90"/>
              </w:rPr>
              <w:t>or</w:t>
            </w:r>
            <w:r>
              <w:rPr>
                <w:rFonts w:ascii="Arial" w:cs="Arial" w:eastAsia="Arial" w:hAnsi="Arial"/>
                <w:sz w:val="19"/>
                <w:szCs w:val="19"/>
                <w:b w:val="1"/>
                <w:bCs w:val="1"/>
                <w:color w:val="auto"/>
                <w:w w:val="90"/>
              </w:rPr>
              <w:t xml:space="preserve"> “Beneficial Ownership” </w:t>
            </w:r>
            <w:r>
              <w:rPr>
                <w:rFonts w:ascii="Arial" w:cs="Arial" w:eastAsia="Arial" w:hAnsi="Arial"/>
                <w:sz w:val="19"/>
                <w:szCs w:val="19"/>
                <w:color w:val="auto"/>
                <w:w w:val="90"/>
              </w:rPr>
              <w:t>shall have the meaning ascribed to such terms in Rule 13d</w:t>
            </w:r>
            <w:r>
              <w:rPr>
                <w:rFonts w:ascii="MS PGothic" w:cs="MS PGothic" w:eastAsia="MS PGothic" w:hAnsi="MS PGothic"/>
                <w:sz w:val="19"/>
                <w:szCs w:val="19"/>
                <w:color w:val="auto"/>
                <w:w w:val="90"/>
              </w:rPr>
              <w:t>‑</w:t>
            </w:r>
            <w:r>
              <w:rPr>
                <w:rFonts w:ascii="Arial" w:cs="Arial" w:eastAsia="Arial" w:hAnsi="Arial"/>
                <w:sz w:val="19"/>
                <w:szCs w:val="19"/>
                <w:color w:val="auto"/>
                <w:w w:val="90"/>
              </w:rPr>
              <w:t>3 of the General</w:t>
            </w:r>
          </w:p>
        </w:tc>
      </w:tr>
      <w:tr>
        <w:trPr>
          <w:trHeight w:val="20"/>
        </w:trPr>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tcBorders>
              <w:left w:val="single" w:sz="8" w:color="auto"/>
            </w:tcBorders>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r>
      <w:tr>
        <w:trPr>
          <w:trHeight w:val="238"/>
        </w:trPr>
        <w:tc>
          <w:tcPr>
            <w:tcW w:w="500" w:type="dxa"/>
            <w:vAlign w:val="bottom"/>
          </w:tcPr>
          <w:p>
            <w:pPr>
              <w:spacing w:after="0"/>
              <w:rPr>
                <w:sz w:val="20"/>
                <w:szCs w:val="20"/>
                <w:color w:val="auto"/>
              </w:rPr>
            </w:pPr>
          </w:p>
        </w:tc>
        <w:tc>
          <w:tcPr>
            <w:tcW w:w="10660" w:type="dxa"/>
            <w:vAlign w:val="bottom"/>
            <w:gridSpan w:val="11"/>
          </w:tcPr>
          <w:p>
            <w:pPr>
              <w:ind w:left="280"/>
              <w:spacing w:after="0"/>
              <w:rPr>
                <w:sz w:val="20"/>
                <w:szCs w:val="20"/>
                <w:color w:val="auto"/>
              </w:rPr>
            </w:pPr>
            <w:r>
              <w:rPr>
                <w:rFonts w:ascii="Arial" w:cs="Arial" w:eastAsia="Arial" w:hAnsi="Arial"/>
                <w:sz w:val="19"/>
                <w:szCs w:val="19"/>
                <w:color w:val="auto"/>
              </w:rPr>
              <w:t>Rules and Regulations under the Exchange Act.</w:t>
            </w:r>
          </w:p>
        </w:tc>
      </w:tr>
      <w:tr>
        <w:trPr>
          <w:trHeight w:val="390"/>
        </w:trPr>
        <w:tc>
          <w:tcPr>
            <w:tcW w:w="500" w:type="dxa"/>
            <w:vAlign w:val="bottom"/>
          </w:tcPr>
          <w:p>
            <w:pPr>
              <w:jc w:val="right"/>
              <w:ind w:right="186"/>
              <w:spacing w:after="0"/>
              <w:rPr>
                <w:sz w:val="20"/>
                <w:szCs w:val="20"/>
                <w:color w:val="auto"/>
              </w:rPr>
            </w:pPr>
            <w:r>
              <w:rPr>
                <w:rFonts w:ascii="Arial" w:cs="Arial" w:eastAsia="Arial" w:hAnsi="Arial"/>
                <w:sz w:val="19"/>
                <w:szCs w:val="19"/>
                <w:b w:val="1"/>
                <w:bCs w:val="1"/>
                <w:color w:val="auto"/>
                <w:w w:val="75"/>
              </w:rPr>
              <w:t>2.5</w:t>
            </w:r>
          </w:p>
        </w:tc>
        <w:tc>
          <w:tcPr>
            <w:tcW w:w="10660" w:type="dxa"/>
            <w:vAlign w:val="bottom"/>
            <w:gridSpan w:val="11"/>
          </w:tcPr>
          <w:p>
            <w:pPr>
              <w:ind w:left="1080"/>
              <w:spacing w:after="0"/>
              <w:rPr>
                <w:sz w:val="20"/>
                <w:szCs w:val="20"/>
                <w:color w:val="auto"/>
              </w:rPr>
            </w:pPr>
            <w:r>
              <w:rPr>
                <w:rFonts w:ascii="Arial" w:cs="Arial" w:eastAsia="Arial" w:hAnsi="Arial"/>
                <w:sz w:val="19"/>
                <w:szCs w:val="19"/>
                <w:b w:val="1"/>
                <w:bCs w:val="1"/>
                <w:color w:val="auto"/>
              </w:rPr>
              <w:t xml:space="preserve">“Board” </w:t>
            </w:r>
            <w:r>
              <w:rPr>
                <w:rFonts w:ascii="Arial" w:cs="Arial" w:eastAsia="Arial" w:hAnsi="Arial"/>
                <w:sz w:val="19"/>
                <w:szCs w:val="19"/>
                <w:color w:val="auto"/>
              </w:rPr>
              <w:t>means the Board of Directors of the Company.</w:t>
            </w:r>
          </w:p>
        </w:tc>
      </w:tr>
      <w:tr>
        <w:trPr>
          <w:trHeight w:val="20"/>
        </w:trPr>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0" w:type="dxa"/>
            <w:vAlign w:val="bottom"/>
            <w:gridSpan w:val="9"/>
          </w:tcPr>
          <w:p>
            <w:pPr>
              <w:spacing w:after="0" w:line="20" w:lineRule="exact"/>
              <w:rPr>
                <w:sz w:val="1"/>
                <w:szCs w:val="1"/>
                <w:color w:val="auto"/>
              </w:rPr>
            </w:pPr>
          </w:p>
        </w:tc>
      </w:tr>
      <w:tr>
        <w:trPr>
          <w:trHeight w:val="412"/>
        </w:trPr>
        <w:tc>
          <w:tcPr>
            <w:tcW w:w="500" w:type="dxa"/>
            <w:vAlign w:val="bottom"/>
          </w:tcPr>
          <w:p>
            <w:pPr>
              <w:jc w:val="right"/>
              <w:ind w:right="186"/>
              <w:spacing w:after="0"/>
              <w:rPr>
                <w:sz w:val="20"/>
                <w:szCs w:val="20"/>
                <w:color w:val="auto"/>
              </w:rPr>
            </w:pPr>
            <w:r>
              <w:rPr>
                <w:rFonts w:ascii="Arial" w:cs="Arial" w:eastAsia="Arial" w:hAnsi="Arial"/>
                <w:sz w:val="19"/>
                <w:szCs w:val="19"/>
                <w:b w:val="1"/>
                <w:bCs w:val="1"/>
                <w:color w:val="auto"/>
                <w:w w:val="75"/>
              </w:rPr>
              <w:t>2.6</w:t>
            </w:r>
          </w:p>
        </w:tc>
        <w:tc>
          <w:tcPr>
            <w:tcW w:w="10660" w:type="dxa"/>
            <w:vAlign w:val="bottom"/>
            <w:gridSpan w:val="11"/>
          </w:tcPr>
          <w:p>
            <w:pPr>
              <w:ind w:left="1080"/>
              <w:spacing w:after="0"/>
              <w:rPr>
                <w:sz w:val="20"/>
                <w:szCs w:val="20"/>
                <w:color w:val="auto"/>
              </w:rPr>
            </w:pPr>
            <w:r>
              <w:rPr>
                <w:rFonts w:ascii="Arial" w:cs="Arial" w:eastAsia="Arial" w:hAnsi="Arial"/>
                <w:sz w:val="19"/>
                <w:szCs w:val="19"/>
                <w:b w:val="1"/>
                <w:bCs w:val="1"/>
                <w:color w:val="auto"/>
                <w:w w:val="95"/>
              </w:rPr>
              <w:t xml:space="preserve">“Cause” </w:t>
            </w:r>
            <w:r>
              <w:rPr>
                <w:rFonts w:ascii="Arial" w:cs="Arial" w:eastAsia="Arial" w:hAnsi="Arial"/>
                <w:sz w:val="19"/>
                <w:szCs w:val="19"/>
                <w:color w:val="auto"/>
                <w:w w:val="95"/>
              </w:rPr>
              <w:t>means (i) with respect to a Participant employed pursuant to a written employment agreement that includes a</w:t>
            </w:r>
          </w:p>
        </w:tc>
      </w:tr>
      <w:tr>
        <w:trPr>
          <w:trHeight w:val="20"/>
        </w:trPr>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0" w:type="dxa"/>
            <w:vAlign w:val="bottom"/>
            <w:gridSpan w:val="9"/>
          </w:tcPr>
          <w:p>
            <w:pPr>
              <w:spacing w:after="0" w:line="20" w:lineRule="exact"/>
              <w:rPr>
                <w:sz w:val="1"/>
                <w:szCs w:val="1"/>
                <w:color w:val="auto"/>
              </w:rPr>
            </w:pPr>
          </w:p>
        </w:tc>
      </w:tr>
      <w:tr>
        <w:trPr>
          <w:trHeight w:val="214"/>
        </w:trPr>
        <w:tc>
          <w:tcPr>
            <w:tcW w:w="500" w:type="dxa"/>
            <w:vAlign w:val="bottom"/>
          </w:tcPr>
          <w:p>
            <w:pPr>
              <w:spacing w:after="0"/>
              <w:rPr>
                <w:sz w:val="18"/>
                <w:szCs w:val="18"/>
                <w:color w:val="auto"/>
              </w:rPr>
            </w:pPr>
          </w:p>
        </w:tc>
        <w:tc>
          <w:tcPr>
            <w:tcW w:w="10660" w:type="dxa"/>
            <w:vAlign w:val="bottom"/>
            <w:gridSpan w:val="11"/>
          </w:tcPr>
          <w:p>
            <w:pPr>
              <w:ind w:left="280"/>
              <w:spacing w:after="0" w:line="214" w:lineRule="exact"/>
              <w:rPr>
                <w:sz w:val="20"/>
                <w:szCs w:val="20"/>
                <w:color w:val="auto"/>
              </w:rPr>
            </w:pPr>
            <w:r>
              <w:rPr>
                <w:rFonts w:ascii="Arial" w:cs="Arial" w:eastAsia="Arial" w:hAnsi="Arial"/>
                <w:sz w:val="19"/>
                <w:szCs w:val="19"/>
                <w:color w:val="auto"/>
                <w:w w:val="93"/>
              </w:rPr>
              <w:t>definition of “Cause”, “Cause” as defined in such agreement or (ii) with respect to any other Participant, the occurrence of any of the</w:t>
            </w:r>
          </w:p>
        </w:tc>
      </w:tr>
      <w:tr>
        <w:trPr>
          <w:trHeight w:val="240"/>
        </w:trPr>
        <w:tc>
          <w:tcPr>
            <w:tcW w:w="500" w:type="dxa"/>
            <w:vAlign w:val="bottom"/>
          </w:tcPr>
          <w:p>
            <w:pPr>
              <w:spacing w:after="0"/>
              <w:rPr>
                <w:sz w:val="20"/>
                <w:szCs w:val="20"/>
                <w:color w:val="auto"/>
              </w:rPr>
            </w:pPr>
          </w:p>
        </w:tc>
        <w:tc>
          <w:tcPr>
            <w:tcW w:w="10660" w:type="dxa"/>
            <w:vAlign w:val="bottom"/>
            <w:gridSpan w:val="11"/>
          </w:tcPr>
          <w:p>
            <w:pPr>
              <w:ind w:left="280"/>
              <w:spacing w:after="0"/>
              <w:rPr>
                <w:sz w:val="20"/>
                <w:szCs w:val="20"/>
                <w:color w:val="auto"/>
              </w:rPr>
            </w:pPr>
            <w:r>
              <w:rPr>
                <w:rFonts w:ascii="Arial" w:cs="Arial" w:eastAsia="Arial" w:hAnsi="Arial"/>
                <w:sz w:val="19"/>
                <w:szCs w:val="19"/>
                <w:color w:val="auto"/>
              </w:rPr>
              <w:t>following:</w:t>
            </w:r>
          </w:p>
        </w:tc>
      </w:tr>
    </w:tbl>
    <w:p>
      <w:pPr>
        <w:spacing w:after="0" w:line="192" w:lineRule="exact"/>
        <w:rPr>
          <w:sz w:val="20"/>
          <w:szCs w:val="20"/>
          <w:color w:val="auto"/>
        </w:rPr>
      </w:pPr>
    </w:p>
    <w:p>
      <w:pPr>
        <w:jc w:val="both"/>
        <w:ind w:left="2580" w:hanging="858"/>
        <w:spacing w:after="0" w:line="242" w:lineRule="auto"/>
        <w:tabs>
          <w:tab w:leader="none" w:pos="2580" w:val="left"/>
        </w:tabs>
        <w:numPr>
          <w:ilvl w:val="0"/>
          <w:numId w:val="34"/>
        </w:numPr>
        <w:rPr>
          <w:rFonts w:ascii="Arial" w:cs="Arial" w:eastAsia="Arial" w:hAnsi="Arial"/>
          <w:sz w:val="20"/>
          <w:szCs w:val="20"/>
          <w:color w:val="010000"/>
        </w:rPr>
      </w:pPr>
      <w:r>
        <w:rPr>
          <w:rFonts w:ascii="Arial" w:cs="Arial" w:eastAsia="Arial" w:hAnsi="Arial"/>
          <w:sz w:val="19"/>
          <w:szCs w:val="19"/>
          <w:color w:val="auto"/>
        </w:rPr>
        <w:t>the Participant’s continued failure, for a period of at least 30 calendar days following a written warning, to perform the Participant’s duties in a manner deemed satisfactory by the Participant’s supervisor, in the exercise of his or her sole discretion;</w:t>
      </w:r>
    </w:p>
    <w:p>
      <w:pPr>
        <w:spacing w:after="0" w:line="191" w:lineRule="exact"/>
        <w:rPr>
          <w:rFonts w:ascii="Arial" w:cs="Arial" w:eastAsia="Arial" w:hAnsi="Arial"/>
          <w:sz w:val="20"/>
          <w:szCs w:val="20"/>
          <w:color w:val="010000"/>
        </w:rPr>
      </w:pPr>
    </w:p>
    <w:p>
      <w:pPr>
        <w:ind w:left="2580" w:right="20" w:hanging="858"/>
        <w:spacing w:after="0" w:line="248" w:lineRule="auto"/>
        <w:tabs>
          <w:tab w:leader="none" w:pos="2580" w:val="left"/>
        </w:tabs>
        <w:numPr>
          <w:ilvl w:val="0"/>
          <w:numId w:val="34"/>
        </w:numPr>
        <w:rPr>
          <w:rFonts w:ascii="Arial" w:cs="Arial" w:eastAsia="Arial" w:hAnsi="Arial"/>
          <w:sz w:val="20"/>
          <w:szCs w:val="20"/>
          <w:color w:val="010000"/>
        </w:rPr>
      </w:pPr>
      <w:r>
        <w:rPr>
          <w:rFonts w:ascii="Arial" w:cs="Arial" w:eastAsia="Arial" w:hAnsi="Arial"/>
          <w:sz w:val="19"/>
          <w:szCs w:val="19"/>
          <w:color w:val="auto"/>
        </w:rPr>
        <w:t>the Participant’s failure to follow a lawful written directive of the Chief Executive Officer, the Participant’s supervisor or the Board;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2" w:name="page53"/>
    <w:bookmarkEnd w:id="52"/>
    <w:p>
      <w:pPr>
        <w:ind w:left="2580" w:right="20" w:hanging="858"/>
        <w:spacing w:after="0" w:line="248" w:lineRule="auto"/>
        <w:tabs>
          <w:tab w:leader="none" w:pos="2580" w:val="left"/>
        </w:tabs>
        <w:numPr>
          <w:ilvl w:val="0"/>
          <w:numId w:val="35"/>
        </w:numPr>
        <w:rPr>
          <w:rFonts w:ascii="Arial" w:cs="Arial" w:eastAsia="Arial" w:hAnsi="Arial"/>
          <w:sz w:val="20"/>
          <w:szCs w:val="20"/>
          <w:color w:val="010000"/>
        </w:rPr>
      </w:pPr>
      <w:r>
        <w:rPr>
          <w:rFonts w:ascii="Arial" w:cs="Arial" w:eastAsia="Arial" w:hAnsi="Arial"/>
          <w:sz w:val="19"/>
          <w:szCs w:val="19"/>
          <w:color w:val="auto"/>
        </w:rPr>
        <w:t>the Participant’s willful violation of any material rule, regulation, or policy that may be established from time to time for the conduct of the Company’s business;</w:t>
      </w:r>
    </w:p>
    <w:p>
      <w:pPr>
        <w:spacing w:after="0" w:line="184" w:lineRule="exact"/>
        <w:rPr>
          <w:rFonts w:ascii="Arial" w:cs="Arial" w:eastAsia="Arial" w:hAnsi="Arial"/>
          <w:sz w:val="20"/>
          <w:szCs w:val="20"/>
          <w:color w:val="010000"/>
        </w:rPr>
      </w:pPr>
    </w:p>
    <w:p>
      <w:pPr>
        <w:ind w:left="2580" w:right="20" w:hanging="858"/>
        <w:spacing w:after="0" w:line="248" w:lineRule="auto"/>
        <w:tabs>
          <w:tab w:leader="none" w:pos="2580" w:val="left"/>
        </w:tabs>
        <w:numPr>
          <w:ilvl w:val="0"/>
          <w:numId w:val="35"/>
        </w:numPr>
        <w:rPr>
          <w:rFonts w:ascii="Arial" w:cs="Arial" w:eastAsia="Arial" w:hAnsi="Arial"/>
          <w:sz w:val="20"/>
          <w:szCs w:val="20"/>
          <w:color w:val="010000"/>
        </w:rPr>
      </w:pPr>
      <w:r>
        <w:rPr>
          <w:rFonts w:ascii="Arial" w:cs="Arial" w:eastAsia="Arial" w:hAnsi="Arial"/>
          <w:sz w:val="19"/>
          <w:szCs w:val="19"/>
          <w:color w:val="auto"/>
        </w:rPr>
        <w:t>the Participant’s unlawful possession, use or sale of narcotics or other controlled substances, or performing job duties while illegally used controlled substances are present in the Participant’s system;</w:t>
      </w:r>
    </w:p>
    <w:p>
      <w:pPr>
        <w:spacing w:after="0" w:line="76" w:lineRule="exact"/>
        <w:rPr>
          <w:rFonts w:ascii="Arial" w:cs="Arial" w:eastAsia="Arial" w:hAnsi="Arial"/>
          <w:sz w:val="20"/>
          <w:szCs w:val="20"/>
          <w:color w:val="010000"/>
        </w:rPr>
      </w:pPr>
    </w:p>
    <w:p>
      <w:pPr>
        <w:jc w:val="both"/>
        <w:ind w:left="2580" w:hanging="858"/>
        <w:spacing w:after="0" w:line="241" w:lineRule="auto"/>
        <w:tabs>
          <w:tab w:leader="none" w:pos="2580" w:val="left"/>
        </w:tabs>
        <w:numPr>
          <w:ilvl w:val="0"/>
          <w:numId w:val="35"/>
        </w:numPr>
        <w:rPr>
          <w:rFonts w:ascii="Arial" w:cs="Arial" w:eastAsia="Arial" w:hAnsi="Arial"/>
          <w:sz w:val="20"/>
          <w:szCs w:val="20"/>
          <w:color w:val="010000"/>
        </w:rPr>
      </w:pPr>
      <w:r>
        <w:rPr>
          <w:rFonts w:ascii="Arial" w:cs="Arial" w:eastAsia="Arial" w:hAnsi="Arial"/>
          <w:sz w:val="19"/>
          <w:szCs w:val="19"/>
          <w:color w:val="auto"/>
        </w:rPr>
        <w:t>any act or omission by the Participant in the scope of his or her employment (a) which results in the assessment of a civil or criminal penalty against the Participant or the Company, or (b) which in the reasonable judgment of the Participant’s supervisor could result in a material violation of any foreign or U.S. federal, state or local law or regulation having the force of law;</w:t>
      </w:r>
    </w:p>
    <w:p>
      <w:pPr>
        <w:spacing w:after="0" w:line="82" w:lineRule="exact"/>
        <w:rPr>
          <w:rFonts w:ascii="Arial" w:cs="Arial" w:eastAsia="Arial" w:hAnsi="Arial"/>
          <w:sz w:val="20"/>
          <w:szCs w:val="20"/>
          <w:color w:val="010000"/>
        </w:rPr>
      </w:pPr>
    </w:p>
    <w:p>
      <w:pPr>
        <w:ind w:left="2580" w:hanging="858"/>
        <w:spacing w:after="0"/>
        <w:tabs>
          <w:tab w:leader="none" w:pos="2580" w:val="left"/>
        </w:tabs>
        <w:numPr>
          <w:ilvl w:val="0"/>
          <w:numId w:val="35"/>
        </w:numPr>
        <w:rPr>
          <w:rFonts w:ascii="Arial" w:cs="Arial" w:eastAsia="Arial" w:hAnsi="Arial"/>
          <w:sz w:val="20"/>
          <w:szCs w:val="20"/>
          <w:color w:val="010000"/>
        </w:rPr>
      </w:pPr>
      <w:r>
        <w:rPr>
          <w:rFonts w:ascii="Arial" w:cs="Arial" w:eastAsia="Arial" w:hAnsi="Arial"/>
          <w:sz w:val="19"/>
          <w:szCs w:val="19"/>
          <w:color w:val="auto"/>
        </w:rPr>
        <w:t>the Participant’s conviction of or plea of guilty or no contest to any crime involving moral turpitude;</w:t>
      </w:r>
    </w:p>
    <w:p>
      <w:pPr>
        <w:spacing w:after="0" w:line="107" w:lineRule="exact"/>
        <w:rPr>
          <w:rFonts w:ascii="Arial" w:cs="Arial" w:eastAsia="Arial" w:hAnsi="Arial"/>
          <w:sz w:val="20"/>
          <w:szCs w:val="20"/>
          <w:color w:val="010000"/>
        </w:rPr>
      </w:pPr>
    </w:p>
    <w:p>
      <w:pPr>
        <w:jc w:val="both"/>
        <w:ind w:left="2580" w:hanging="858"/>
        <w:spacing w:after="0" w:line="242" w:lineRule="auto"/>
        <w:tabs>
          <w:tab w:leader="none" w:pos="2580" w:val="left"/>
        </w:tabs>
        <w:numPr>
          <w:ilvl w:val="0"/>
          <w:numId w:val="35"/>
        </w:numPr>
        <w:rPr>
          <w:rFonts w:ascii="Arial" w:cs="Arial" w:eastAsia="Arial" w:hAnsi="Arial"/>
          <w:sz w:val="20"/>
          <w:szCs w:val="20"/>
          <w:color w:val="010000"/>
        </w:rPr>
      </w:pPr>
      <w:r>
        <w:rPr>
          <w:rFonts w:ascii="Arial" w:cs="Arial" w:eastAsia="Arial" w:hAnsi="Arial"/>
          <w:sz w:val="19"/>
          <w:szCs w:val="19"/>
          <w:color w:val="auto"/>
        </w:rPr>
        <w:t>any misrepresentation of a material fact by the Participant to, or concealment of a material fact from, the Participant’s supervisor or any other person in the Company to whom the Participant has a reporting relationship in any capacity; or</w:t>
      </w:r>
    </w:p>
    <w:p>
      <w:pPr>
        <w:spacing w:after="0" w:line="191" w:lineRule="exact"/>
        <w:rPr>
          <w:rFonts w:ascii="Arial" w:cs="Arial" w:eastAsia="Arial" w:hAnsi="Arial"/>
          <w:sz w:val="20"/>
          <w:szCs w:val="20"/>
          <w:color w:val="010000"/>
        </w:rPr>
      </w:pPr>
    </w:p>
    <w:p>
      <w:pPr>
        <w:ind w:left="2580" w:right="20" w:hanging="858"/>
        <w:spacing w:after="0" w:line="248" w:lineRule="auto"/>
        <w:tabs>
          <w:tab w:leader="none" w:pos="2580" w:val="left"/>
        </w:tabs>
        <w:numPr>
          <w:ilvl w:val="0"/>
          <w:numId w:val="35"/>
        </w:numPr>
        <w:rPr>
          <w:rFonts w:ascii="Arial" w:cs="Arial" w:eastAsia="Arial" w:hAnsi="Arial"/>
          <w:sz w:val="20"/>
          <w:szCs w:val="20"/>
          <w:color w:val="010000"/>
        </w:rPr>
      </w:pPr>
      <w:r>
        <w:rPr>
          <w:rFonts w:ascii="Arial" w:cs="Arial" w:eastAsia="Arial" w:hAnsi="Arial"/>
          <w:sz w:val="19"/>
          <w:szCs w:val="19"/>
          <w:color w:val="auto"/>
        </w:rPr>
        <w:t>the Participant’s breach of the Company’s Business Conduct Guide or the Eastman Kodak Company Employee’s Agreement.</w:t>
      </w:r>
    </w:p>
    <w:p>
      <w:pPr>
        <w:spacing w:after="0" w:line="185"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18"/>
          <w:szCs w:val="18"/>
          <w:color w:val="auto"/>
        </w:rPr>
        <w:t>For purpose of this definition, no act or failure to act by the Participant shall be considered "willful" unless done or omitted to be done by the Participant in bad faith and without reasonable belief that the Participant’s action or omission was in the best interests of the Company, any of its Subsidiaries, or Affiliates. Any act, or failure to act, based upon authority given pursuant to a resolution duly adopted by the Board or based upon the advice of counsel for the Company shall be conclusively presumed to be done, or omitted to be done, by the Participant in good faith and in the best interests of the Company, any of its Subsidiaries, and Affiliates.</w:t>
      </w:r>
    </w:p>
    <w:p>
      <w:pPr>
        <w:spacing w:after="0" w:line="169" w:lineRule="exact"/>
        <w:rPr>
          <w:sz w:val="20"/>
          <w:szCs w:val="20"/>
          <w:color w:val="auto"/>
        </w:rPr>
      </w:pPr>
    </w:p>
    <w:p>
      <w:pPr>
        <w:ind w:left="860" w:hanging="784"/>
        <w:spacing w:after="0" w:line="267" w:lineRule="auto"/>
        <w:tabs>
          <w:tab w:leader="none" w:pos="840" w:val="left"/>
        </w:tabs>
        <w:rPr>
          <w:sz w:val="20"/>
          <w:szCs w:val="20"/>
          <w:color w:val="auto"/>
        </w:rPr>
      </w:pPr>
      <w:r>
        <w:rPr>
          <w:rFonts w:ascii="Arial" w:cs="Arial" w:eastAsia="Arial" w:hAnsi="Arial"/>
          <w:sz w:val="19"/>
          <w:szCs w:val="19"/>
          <w:b w:val="1"/>
          <w:bCs w:val="1"/>
          <w:color w:val="auto"/>
        </w:rPr>
        <w:t>2.7</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Change of Control</w:t>
      </w:r>
      <w:r>
        <w:rPr>
          <w:rFonts w:ascii="Arial" w:cs="Arial" w:eastAsia="Arial" w:hAnsi="Arial"/>
          <w:sz w:val="19"/>
          <w:szCs w:val="19"/>
          <w:b w:val="1"/>
          <w:bCs w:val="1"/>
          <w:color w:val="auto"/>
        </w:rPr>
        <w:t>”</w:t>
      </w:r>
      <w:r>
        <w:rPr>
          <w:rFonts w:ascii="Arial" w:cs="Arial" w:eastAsia="Arial" w:hAnsi="Arial"/>
          <w:sz w:val="19"/>
          <w:szCs w:val="19"/>
          <w:color w:val="auto"/>
        </w:rPr>
        <w:t>, unless otherwise specified in the Award Agreement, means the occurrence of any of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events:</w:t>
      </w:r>
    </w:p>
    <w:p>
      <w:pPr>
        <w:spacing w:after="0" w:line="168" w:lineRule="exact"/>
        <w:rPr>
          <w:sz w:val="20"/>
          <w:szCs w:val="20"/>
          <w:color w:val="auto"/>
        </w:rPr>
      </w:pPr>
    </w:p>
    <w:p>
      <w:pPr>
        <w:jc w:val="both"/>
        <w:ind w:left="2580" w:hanging="858"/>
        <w:spacing w:after="0" w:line="219" w:lineRule="exact"/>
        <w:tabs>
          <w:tab w:leader="none" w:pos="2580" w:val="left"/>
        </w:tabs>
        <w:numPr>
          <w:ilvl w:val="0"/>
          <w:numId w:val="36"/>
        </w:numPr>
        <w:rPr>
          <w:rFonts w:ascii="Arial" w:cs="Arial" w:eastAsia="Arial" w:hAnsi="Arial"/>
          <w:sz w:val="18"/>
          <w:szCs w:val="18"/>
          <w:color w:val="010000"/>
        </w:rPr>
      </w:pPr>
      <w:r>
        <w:rPr>
          <w:rFonts w:ascii="Arial" w:cs="Arial" w:eastAsia="Arial" w:hAnsi="Arial"/>
          <w:sz w:val="17"/>
          <w:szCs w:val="17"/>
          <w:color w:val="auto"/>
        </w:rPr>
        <w:t>any “person” (as such term is defined in Section 3(a)(9) of the Exchange Act and as used in Sections 13(d)(3) and 14(d)(2) of the Exchange Act), is or becomes a “beneficial owner” (as defined in Rule 13d</w:t>
      </w:r>
      <w:r>
        <w:rPr>
          <w:rFonts w:ascii="MS PGothic" w:cs="MS PGothic" w:eastAsia="MS PGothic" w:hAnsi="MS PGothic"/>
          <w:sz w:val="17"/>
          <w:szCs w:val="17"/>
          <w:color w:val="auto"/>
        </w:rPr>
        <w:t>‑</w:t>
      </w:r>
      <w:r>
        <w:rPr>
          <w:rFonts w:ascii="Arial" w:cs="Arial" w:eastAsia="Arial" w:hAnsi="Arial"/>
          <w:sz w:val="17"/>
          <w:szCs w:val="17"/>
          <w:color w:val="auto"/>
        </w:rPr>
        <w:t>3 under the Exchange Act), directly or indirectly, of the Company’s securities representing 50% or more of the combined voting power of the Company’s then outstanding securities eligible to vote for the election of the Board (“</w:t>
      </w:r>
      <w:r>
        <w:rPr>
          <w:rFonts w:ascii="Arial" w:cs="Arial" w:eastAsia="Arial" w:hAnsi="Arial"/>
          <w:sz w:val="17"/>
          <w:szCs w:val="17"/>
          <w:b w:val="1"/>
          <w:bCs w:val="1"/>
          <w:u w:val="single" w:color="auto"/>
          <w:color w:val="auto"/>
        </w:rPr>
        <w:t>Company Voting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Securities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event described in this paragraph (a) shall not be deemed to be a Change</w:t>
      </w:r>
      <w:r>
        <w:rPr>
          <w:rFonts w:ascii="Arial" w:cs="Arial" w:eastAsia="Arial" w:hAnsi="Arial"/>
          <w:sz w:val="17"/>
          <w:szCs w:val="17"/>
          <w:b w:val="1"/>
          <w:bCs w:val="1"/>
          <w:color w:val="auto"/>
        </w:rPr>
        <w:t xml:space="preserve"> </w:t>
      </w:r>
      <w:r>
        <w:rPr>
          <w:rFonts w:ascii="Arial" w:cs="Arial" w:eastAsia="Arial" w:hAnsi="Arial"/>
          <w:sz w:val="17"/>
          <w:szCs w:val="17"/>
          <w:color w:val="auto"/>
        </w:rPr>
        <w:t>of Control by virtue of an acquisition of Company Voting Securities: (i) by the Company or any Subsidiary, (ii) by any employee benefit plan (or related trust) sponsored or maintained by the Company or any Subsidiary, (iii) by any underwriter temporarily holding securities pursuant to an offering of such securities or (iv) pursuant to a Non-Qualifying Transaction (as defined in paragraph (b) of this definition);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both"/>
        <w:ind w:left="2580" w:hanging="858"/>
        <w:spacing w:after="0" w:line="268" w:lineRule="auto"/>
        <w:tabs>
          <w:tab w:leader="none" w:pos="2580" w:val="left"/>
        </w:tabs>
        <w:numPr>
          <w:ilvl w:val="0"/>
          <w:numId w:val="37"/>
        </w:numPr>
        <w:rPr>
          <w:rFonts w:ascii="Arial" w:cs="Arial" w:eastAsia="Arial" w:hAnsi="Arial"/>
          <w:sz w:val="17"/>
          <w:szCs w:val="17"/>
          <w:color w:val="010000"/>
        </w:rPr>
      </w:pPr>
      <w:r>
        <w:rPr>
          <w:rFonts w:ascii="Arial" w:cs="Arial" w:eastAsia="Arial" w:hAnsi="Arial"/>
          <w:sz w:val="17"/>
          <w:szCs w:val="17"/>
          <w:color w:val="010000"/>
        </w:rPr>
        <w:t>the consummation of a merger, consolidation, statutory share exchange or similar form of corporate transaction involving the Company that requires the approval of the Company’s shareholders, whether for such transaction or the issuance of securities in the transaction (a “</w:t>
      </w:r>
      <w:r>
        <w:rPr>
          <w:rFonts w:ascii="Arial" w:cs="Arial" w:eastAsia="Arial" w:hAnsi="Arial"/>
          <w:sz w:val="17"/>
          <w:szCs w:val="17"/>
          <w:b w:val="1"/>
          <w:bCs w:val="1"/>
          <w:u w:val="single" w:color="auto"/>
          <w:color w:val="010000"/>
        </w:rPr>
        <w:t>Business Combination</w:t>
      </w:r>
      <w:r>
        <w:rPr>
          <w:rFonts w:ascii="Arial" w:cs="Arial" w:eastAsia="Arial" w:hAnsi="Arial"/>
          <w:sz w:val="17"/>
          <w:szCs w:val="17"/>
          <w:color w:val="010000"/>
        </w:rPr>
        <w:t>”), unless immediately following such Business Combination: (i) more than 50% of the total voting power of (x) the entity resulting from such Business Combination (the “</w:t>
      </w:r>
      <w:r>
        <w:rPr>
          <w:rFonts w:ascii="Arial" w:cs="Arial" w:eastAsia="Arial" w:hAnsi="Arial"/>
          <w:sz w:val="17"/>
          <w:szCs w:val="17"/>
          <w:b w:val="1"/>
          <w:bCs w:val="1"/>
          <w:u w:val="single" w:color="auto"/>
          <w:color w:val="010000"/>
        </w:rPr>
        <w:t>Surviving Entity</w:t>
      </w:r>
      <w:r>
        <w:rPr>
          <w:rFonts w:ascii="Arial" w:cs="Arial" w:eastAsia="Arial" w:hAnsi="Arial"/>
          <w:sz w:val="17"/>
          <w:szCs w:val="17"/>
          <w:color w:val="010000"/>
        </w:rPr>
        <w:t xml:space="preserve">”), or (y) if applicable, the ultimate parent corporation that directly or indirectly has beneficial ownership of at least 95% of the voting power, is represented by </w:t>
      </w:r>
      <w:r>
        <w:rPr>
          <w:rFonts w:ascii="Arial" w:cs="Arial" w:eastAsia="Arial" w:hAnsi="Arial"/>
          <w:sz w:val="17"/>
          <w:szCs w:val="17"/>
          <w:color w:val="000000"/>
        </w:rPr>
        <w:t>Company</w:t>
      </w:r>
      <w:r>
        <w:rPr>
          <w:rFonts w:ascii="Arial" w:cs="Arial" w:eastAsia="Arial" w:hAnsi="Arial"/>
          <w:sz w:val="17"/>
          <w:szCs w:val="17"/>
          <w:color w:val="010000"/>
        </w:rPr>
        <w:t xml:space="preserve"> Voting Securities that were outstanding immediately prior to such Business Combination (or, if applicable, is represented by shares into which such </w:t>
      </w:r>
      <w:r>
        <w:rPr>
          <w:rFonts w:ascii="Arial" w:cs="Arial" w:eastAsia="Arial" w:hAnsi="Arial"/>
          <w:sz w:val="17"/>
          <w:szCs w:val="17"/>
          <w:color w:val="000000"/>
        </w:rPr>
        <w:t>Company</w:t>
      </w:r>
      <w:r>
        <w:rPr>
          <w:rFonts w:ascii="Arial" w:cs="Arial" w:eastAsia="Arial" w:hAnsi="Arial"/>
          <w:sz w:val="17"/>
          <w:szCs w:val="17"/>
          <w:color w:val="010000"/>
        </w:rPr>
        <w:t xml:space="preserve"> Voting Securities were converted pursuant to such Business Combination), and such voting power among the holders thereof is in substantially the same proportion as the voting power of such </w:t>
      </w:r>
      <w:r>
        <w:rPr>
          <w:rFonts w:ascii="Arial" w:cs="Arial" w:eastAsia="Arial" w:hAnsi="Arial"/>
          <w:sz w:val="17"/>
          <w:szCs w:val="17"/>
          <w:color w:val="000000"/>
        </w:rPr>
        <w:t>Company</w:t>
      </w:r>
      <w:r>
        <w:rPr>
          <w:rFonts w:ascii="Arial" w:cs="Arial" w:eastAsia="Arial" w:hAnsi="Arial"/>
          <w:sz w:val="17"/>
          <w:szCs w:val="17"/>
          <w:color w:val="010000"/>
        </w:rPr>
        <w:t xml:space="preserve"> Voting Securities among the holders thereof immediately prior to the Business Combination, (ii)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(iii)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(i), (ii) and (iii) of this paragraph (b) shall be deemed to be a “</w:t>
      </w:r>
      <w:r>
        <w:rPr>
          <w:rFonts w:ascii="Arial" w:cs="Arial" w:eastAsia="Arial" w:hAnsi="Arial"/>
          <w:sz w:val="17"/>
          <w:szCs w:val="17"/>
          <w:b w:val="1"/>
          <w:bCs w:val="1"/>
          <w:u w:val="single" w:color="auto"/>
          <w:color w:val="010000"/>
        </w:rPr>
        <w:t>Non-Qualifying Transaction</w:t>
      </w:r>
      <w:r>
        <w:rPr>
          <w:rFonts w:ascii="Arial" w:cs="Arial" w:eastAsia="Arial" w:hAnsi="Arial"/>
          <w:sz w:val="17"/>
          <w:szCs w:val="17"/>
          <w:color w:val="010000"/>
        </w:rPr>
        <w:t>”)</w:t>
      </w:r>
      <w:r>
        <w:rPr>
          <w:rFonts w:ascii="Arial" w:cs="Arial" w:eastAsia="Arial" w:hAnsi="Arial"/>
          <w:sz w:val="17"/>
          <w:szCs w:val="17"/>
          <w:color w:val="000000"/>
        </w:rPr>
        <w:t>;</w:t>
      </w:r>
    </w:p>
    <w:p>
      <w:pPr>
        <w:spacing w:after="0" w:line="168" w:lineRule="exact"/>
        <w:rPr>
          <w:rFonts w:ascii="Arial" w:cs="Arial" w:eastAsia="Arial" w:hAnsi="Arial"/>
          <w:sz w:val="17"/>
          <w:szCs w:val="17"/>
          <w:color w:val="010000"/>
        </w:rPr>
      </w:pPr>
    </w:p>
    <w:p>
      <w:pPr>
        <w:jc w:val="both"/>
        <w:ind w:left="2580" w:hanging="858"/>
        <w:spacing w:after="0" w:line="273" w:lineRule="auto"/>
        <w:tabs>
          <w:tab w:leader="none" w:pos="2580" w:val="left"/>
        </w:tabs>
        <w:numPr>
          <w:ilvl w:val="0"/>
          <w:numId w:val="37"/>
        </w:numPr>
        <w:rPr>
          <w:rFonts w:ascii="Arial" w:cs="Arial" w:eastAsia="Arial" w:hAnsi="Arial"/>
          <w:sz w:val="17"/>
          <w:szCs w:val="17"/>
          <w:color w:val="010000"/>
        </w:rPr>
      </w:pPr>
      <w:r>
        <w:rPr>
          <w:rFonts w:ascii="Arial" w:cs="Arial" w:eastAsia="Arial" w:hAnsi="Arial"/>
          <w:sz w:val="17"/>
          <w:szCs w:val="17"/>
          <w:color w:val="010000"/>
        </w:rPr>
        <w:t>individuals who, on the Effective Date, constitute the Board (the “</w:t>
      </w:r>
      <w:r>
        <w:rPr>
          <w:rFonts w:ascii="Arial" w:cs="Arial" w:eastAsia="Arial" w:hAnsi="Arial"/>
          <w:sz w:val="17"/>
          <w:szCs w:val="17"/>
          <w:b w:val="1"/>
          <w:bCs w:val="1"/>
          <w:u w:val="single" w:color="auto"/>
          <w:color w:val="010000"/>
        </w:rPr>
        <w:t>Incumbent Directors</w:t>
      </w:r>
      <w:r>
        <w:rPr>
          <w:rFonts w:ascii="Arial" w:cs="Arial" w:eastAsia="Arial" w:hAnsi="Arial"/>
          <w:sz w:val="17"/>
          <w:szCs w:val="17"/>
          <w:color w:val="010000"/>
        </w:rPr>
        <w:t xml:space="preserve">”) cease for any reason to constitute at least a majority of the Board within any 24 month period; </w:t>
      </w:r>
      <w:r>
        <w:rPr>
          <w:rFonts w:ascii="Arial" w:cs="Arial" w:eastAsia="Arial" w:hAnsi="Arial"/>
          <w:sz w:val="17"/>
          <w:szCs w:val="17"/>
          <w:u w:val="single" w:color="auto"/>
          <w:color w:val="010000"/>
        </w:rPr>
        <w:t>provided that</w:t>
      </w:r>
      <w:r>
        <w:rPr>
          <w:rFonts w:ascii="Arial" w:cs="Arial" w:eastAsia="Arial" w:hAnsi="Arial"/>
          <w:sz w:val="17"/>
          <w:szCs w:val="17"/>
          <w:color w:val="010000"/>
        </w:rPr>
        <w:t xml:space="preserve"> any person becoming a director subsequent to the Effective Date, whose election or nomination for election was approved by a vote of at least two-thirds of the Incumbent Directors then on the Board (either by a specific vote or by approval of the Company’s proxy statement in which such person is named as a nominee for director, without written objection to such nomination) shall be an Incumbent Director;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however</w:t>
      </w:r>
      <w:r>
        <w:rPr>
          <w:rFonts w:ascii="Arial" w:cs="Arial" w:eastAsia="Arial" w:hAnsi="Arial"/>
          <w:sz w:val="17"/>
          <w:szCs w:val="17"/>
          <w:color w:val="010000"/>
        </w:rPr>
        <w:t>, that no individual initially elected or nominated as a director of the Company as a result of an actual or threatened election contest with respect to directors or as a result of any other actual or threatened solicitation of proxies or consents by or on behalf of any person other than the Board shall be deemed to be an Incumbent Director</w:t>
      </w:r>
      <w:r>
        <w:rPr>
          <w:rFonts w:ascii="Arial" w:cs="Arial" w:eastAsia="Arial" w:hAnsi="Arial"/>
          <w:sz w:val="17"/>
          <w:szCs w:val="17"/>
          <w:color w:val="000000"/>
        </w:rPr>
        <w:t>;</w:t>
      </w:r>
    </w:p>
    <w:p>
      <w:pPr>
        <w:spacing w:after="0" w:line="164" w:lineRule="exact"/>
        <w:rPr>
          <w:rFonts w:ascii="Arial" w:cs="Arial" w:eastAsia="Arial" w:hAnsi="Arial"/>
          <w:sz w:val="17"/>
          <w:szCs w:val="17"/>
          <w:color w:val="010000"/>
        </w:rPr>
      </w:pPr>
    </w:p>
    <w:p>
      <w:pPr>
        <w:ind w:left="2580" w:hanging="858"/>
        <w:spacing w:after="0"/>
        <w:tabs>
          <w:tab w:leader="none" w:pos="2580"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the consummation of a sale of all or substantially all of the Company’s assets (other than to an Affiliate); or</w:t>
      </w:r>
    </w:p>
    <w:p>
      <w:pPr>
        <w:spacing w:after="0" w:line="225" w:lineRule="exact"/>
        <w:rPr>
          <w:rFonts w:ascii="Arial" w:cs="Arial" w:eastAsia="Arial" w:hAnsi="Arial"/>
          <w:sz w:val="18"/>
          <w:szCs w:val="18"/>
          <w:color w:val="010000"/>
        </w:rPr>
      </w:pPr>
    </w:p>
    <w:p>
      <w:pPr>
        <w:ind w:left="2580" w:hanging="858"/>
        <w:spacing w:after="0"/>
        <w:tabs>
          <w:tab w:leader="none" w:pos="2580" w:val="left"/>
        </w:tabs>
        <w:numPr>
          <w:ilvl w:val="0"/>
          <w:numId w:val="37"/>
        </w:numPr>
        <w:rPr>
          <w:rFonts w:ascii="Arial" w:cs="Arial" w:eastAsia="Arial" w:hAnsi="Arial"/>
          <w:sz w:val="19"/>
          <w:szCs w:val="19"/>
          <w:color w:val="010000"/>
        </w:rPr>
      </w:pPr>
      <w:r>
        <w:rPr>
          <w:rFonts w:ascii="Arial" w:cs="Arial" w:eastAsia="Arial" w:hAnsi="Arial"/>
          <w:sz w:val="19"/>
          <w:szCs w:val="19"/>
          <w:color w:val="auto"/>
        </w:rPr>
        <w:t>approval by the shareholders of the Company of a complete liquidation or dissolution of the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both"/>
        <w:ind w:firstLine="1727"/>
        <w:spacing w:after="0" w:line="242" w:lineRule="auto"/>
        <w:rPr>
          <w:sz w:val="20"/>
          <w:szCs w:val="20"/>
          <w:color w:val="auto"/>
        </w:rPr>
      </w:pPr>
      <w:r>
        <w:rPr>
          <w:rFonts w:ascii="Arial" w:cs="Arial" w:eastAsia="Arial" w:hAnsi="Arial"/>
          <w:sz w:val="19"/>
          <w:szCs w:val="19"/>
          <w:color w:val="auto"/>
        </w:rPr>
        <w:t xml:space="preserve">Notwithstanding the foregoing, a Change of Control shall not be deemed to occur solely because any person acquires beneficial ownership of more than 50% of the Company Voting Securities as a result of the acquisition of Company Voting Securities by the Company which reduces the number of Company Voting Securities outstanding;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after such acquisition by the Company such person becomes the beneficial owner of additional Company Voting Securities that increases the percentage of outstanding Company Voting Securities beneficially owned by such person (and in all cases results in beneficial ownership of more than 50% of the Company Voting Securities), a Change of Control shall then occur.</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Arial" w:cs="Arial" w:eastAsia="Arial" w:hAnsi="Arial"/>
                <w:sz w:val="19"/>
                <w:szCs w:val="19"/>
                <w:b w:val="1"/>
                <w:bCs w:val="1"/>
                <w:color w:val="auto"/>
              </w:rPr>
              <w:t>2.8</w:t>
            </w:r>
          </w:p>
        </w:tc>
        <w:tc>
          <w:tcPr>
            <w:tcW w:w="10600" w:type="dxa"/>
            <w:vAlign w:val="bottom"/>
            <w:gridSpan w:val="14"/>
          </w:tcPr>
          <w:p>
            <w:pPr>
              <w:ind w:left="1020"/>
              <w:spacing w:after="0"/>
              <w:rPr>
                <w:sz w:val="20"/>
                <w:szCs w:val="20"/>
                <w:color w:val="auto"/>
              </w:rPr>
            </w:pP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U.S. Internal Revenue Code of 1986, as amended from time to time.</w:t>
            </w: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Arial" w:cs="Arial" w:eastAsia="Arial" w:hAnsi="Arial"/>
                <w:sz w:val="19"/>
                <w:szCs w:val="19"/>
                <w:b w:val="1"/>
                <w:bCs w:val="1"/>
                <w:color w:val="auto"/>
              </w:rPr>
              <w:t>2.9</w:t>
            </w:r>
          </w:p>
        </w:tc>
        <w:tc>
          <w:tcPr>
            <w:tcW w:w="10600" w:type="dxa"/>
            <w:vAlign w:val="bottom"/>
            <w:gridSpan w:val="14"/>
          </w:tcPr>
          <w:p>
            <w:pPr>
              <w:ind w:left="1020"/>
              <w:spacing w:after="0"/>
              <w:rPr>
                <w:sz w:val="20"/>
                <w:szCs w:val="20"/>
                <w:color w:val="auto"/>
              </w:rPr>
            </w:pPr>
            <w:r>
              <w:rPr>
                <w:rFonts w:ascii="Arial" w:cs="Arial" w:eastAsia="Arial" w:hAnsi="Arial"/>
                <w:sz w:val="19"/>
                <w:szCs w:val="19"/>
                <w:b w:val="1"/>
                <w:bCs w:val="1"/>
                <w:color w:val="auto"/>
                <w:w w:val="92"/>
              </w:rPr>
              <w:t xml:space="preserve">“Committee” </w:t>
            </w:r>
            <w:r>
              <w:rPr>
                <w:rFonts w:ascii="Arial" w:cs="Arial" w:eastAsia="Arial" w:hAnsi="Arial"/>
                <w:sz w:val="19"/>
                <w:szCs w:val="19"/>
                <w:color w:val="auto"/>
                <w:w w:val="92"/>
              </w:rPr>
              <w:t>means the Executive Compensation Committee of the Board (as constituted from time to time, and including</w:t>
            </w: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14"/>
        </w:trPr>
        <w:tc>
          <w:tcPr>
            <w:tcW w:w="560" w:type="dxa"/>
            <w:vAlign w:val="bottom"/>
          </w:tcPr>
          <w:p>
            <w:pPr>
              <w:spacing w:after="0"/>
              <w:rPr>
                <w:sz w:val="18"/>
                <w:szCs w:val="18"/>
                <w:color w:val="auto"/>
              </w:rPr>
            </w:pPr>
          </w:p>
        </w:tc>
        <w:tc>
          <w:tcPr>
            <w:tcW w:w="10600" w:type="dxa"/>
            <w:vAlign w:val="bottom"/>
            <w:gridSpan w:val="14"/>
          </w:tcPr>
          <w:p>
            <w:pPr>
              <w:ind w:left="220"/>
              <w:spacing w:after="0" w:line="214" w:lineRule="exact"/>
              <w:rPr>
                <w:sz w:val="20"/>
                <w:szCs w:val="20"/>
                <w:color w:val="auto"/>
              </w:rPr>
            </w:pPr>
            <w:r>
              <w:rPr>
                <w:rFonts w:ascii="Arial" w:cs="Arial" w:eastAsia="Arial" w:hAnsi="Arial"/>
                <w:sz w:val="19"/>
                <w:szCs w:val="19"/>
                <w:color w:val="auto"/>
                <w:w w:val="96"/>
              </w:rPr>
              <w:t>any successor committee) or any other committee designated by the Board to administer this Plan. To the extent applicable, the</w:t>
            </w:r>
          </w:p>
        </w:tc>
      </w:tr>
      <w:tr>
        <w:trPr>
          <w:trHeight w:val="216"/>
        </w:trPr>
        <w:tc>
          <w:tcPr>
            <w:tcW w:w="560" w:type="dxa"/>
            <w:vAlign w:val="bottom"/>
          </w:tcPr>
          <w:p>
            <w:pPr>
              <w:spacing w:after="0"/>
              <w:rPr>
                <w:sz w:val="18"/>
                <w:szCs w:val="18"/>
                <w:color w:val="auto"/>
              </w:rPr>
            </w:pPr>
          </w:p>
        </w:tc>
        <w:tc>
          <w:tcPr>
            <w:tcW w:w="10600" w:type="dxa"/>
            <w:vAlign w:val="bottom"/>
            <w:gridSpan w:val="14"/>
          </w:tcPr>
          <w:p>
            <w:pPr>
              <w:ind w:left="220"/>
              <w:spacing w:after="0" w:line="216" w:lineRule="exact"/>
              <w:rPr>
                <w:sz w:val="20"/>
                <w:szCs w:val="20"/>
                <w:color w:val="auto"/>
              </w:rPr>
            </w:pPr>
            <w:r>
              <w:rPr>
                <w:rFonts w:ascii="Arial" w:cs="Arial" w:eastAsia="Arial" w:hAnsi="Arial"/>
                <w:sz w:val="19"/>
                <w:szCs w:val="19"/>
                <w:color w:val="auto"/>
                <w:w w:val="95"/>
              </w:rPr>
              <w:t>Committee shall have at least two members, each of whom shall be (i) a Non-Employee Director and (ii) an “independent director”</w:t>
            </w:r>
          </w:p>
        </w:tc>
      </w:tr>
      <w:tr>
        <w:trPr>
          <w:trHeight w:val="240"/>
        </w:trPr>
        <w:tc>
          <w:tcPr>
            <w:tcW w:w="560" w:type="dxa"/>
            <w:vAlign w:val="bottom"/>
          </w:tcPr>
          <w:p>
            <w:pPr>
              <w:spacing w:after="0"/>
              <w:rPr>
                <w:sz w:val="20"/>
                <w:szCs w:val="20"/>
                <w:color w:val="auto"/>
              </w:rPr>
            </w:pPr>
          </w:p>
        </w:tc>
        <w:tc>
          <w:tcPr>
            <w:tcW w:w="10600" w:type="dxa"/>
            <w:vAlign w:val="bottom"/>
            <w:gridSpan w:val="14"/>
          </w:tcPr>
          <w:p>
            <w:pPr>
              <w:ind w:left="220"/>
              <w:spacing w:after="0"/>
              <w:rPr>
                <w:sz w:val="20"/>
                <w:szCs w:val="20"/>
                <w:color w:val="auto"/>
              </w:rPr>
            </w:pPr>
            <w:r>
              <w:rPr>
                <w:rFonts w:ascii="Arial" w:cs="Arial" w:eastAsia="Arial" w:hAnsi="Arial"/>
                <w:sz w:val="19"/>
                <w:szCs w:val="19"/>
                <w:color w:val="auto"/>
              </w:rPr>
              <w:t>within the meaning of the listing requirements of the New York Stock Exchange.</w:t>
            </w:r>
          </w:p>
        </w:tc>
      </w:tr>
      <w:tr>
        <w:trPr>
          <w:trHeight w:val="390"/>
        </w:trPr>
        <w:tc>
          <w:tcPr>
            <w:tcW w:w="560" w:type="dxa"/>
            <w:vAlign w:val="bottom"/>
          </w:tcPr>
          <w:p>
            <w:pPr>
              <w:spacing w:after="0"/>
              <w:rPr>
                <w:sz w:val="20"/>
                <w:szCs w:val="20"/>
                <w:color w:val="auto"/>
              </w:rPr>
            </w:pPr>
            <w:r>
              <w:rPr>
                <w:rFonts w:ascii="Arial" w:cs="Arial" w:eastAsia="Arial" w:hAnsi="Arial"/>
                <w:sz w:val="19"/>
                <w:szCs w:val="19"/>
                <w:b w:val="1"/>
                <w:bCs w:val="1"/>
                <w:color w:val="auto"/>
              </w:rPr>
              <w:t>2.10</w:t>
            </w:r>
          </w:p>
        </w:tc>
        <w:tc>
          <w:tcPr>
            <w:tcW w:w="10600" w:type="dxa"/>
            <w:vAlign w:val="bottom"/>
            <w:gridSpan w:val="14"/>
          </w:tcPr>
          <w:p>
            <w:pPr>
              <w:ind w:left="1020"/>
              <w:spacing w:after="0"/>
              <w:rPr>
                <w:sz w:val="20"/>
                <w:szCs w:val="20"/>
                <w:color w:val="auto"/>
              </w:rPr>
            </w:pPr>
            <w:r>
              <w:rPr>
                <w:rFonts w:ascii="Arial" w:cs="Arial" w:eastAsia="Arial" w:hAnsi="Arial"/>
                <w:sz w:val="19"/>
                <w:szCs w:val="19"/>
                <w:b w:val="1"/>
                <w:bCs w:val="1"/>
                <w:color w:val="auto"/>
              </w:rPr>
              <w:t xml:space="preserve">“Company” </w:t>
            </w:r>
            <w:r>
              <w:rPr>
                <w:rFonts w:ascii="Arial" w:cs="Arial" w:eastAsia="Arial" w:hAnsi="Arial"/>
                <w:sz w:val="19"/>
                <w:szCs w:val="19"/>
                <w:color w:val="auto"/>
              </w:rPr>
              <w:t>means Eastman Kodak Company, a New Jersey corporation, and any successor thereto.</w:t>
            </w: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Arial" w:cs="Arial" w:eastAsia="Arial" w:hAnsi="Arial"/>
                <w:sz w:val="19"/>
                <w:szCs w:val="19"/>
                <w:b w:val="1"/>
                <w:bCs w:val="1"/>
                <w:color w:val="auto"/>
              </w:rPr>
              <w:t>2.11</w:t>
            </w:r>
          </w:p>
        </w:tc>
        <w:tc>
          <w:tcPr>
            <w:tcW w:w="10600" w:type="dxa"/>
            <w:vAlign w:val="bottom"/>
            <w:gridSpan w:val="14"/>
          </w:tcPr>
          <w:p>
            <w:pPr>
              <w:ind w:left="1020"/>
              <w:spacing w:after="0"/>
              <w:rPr>
                <w:sz w:val="20"/>
                <w:szCs w:val="20"/>
                <w:color w:val="auto"/>
              </w:rPr>
            </w:pPr>
            <w:r>
              <w:rPr>
                <w:rFonts w:ascii="Arial" w:cs="Arial" w:eastAsia="Arial" w:hAnsi="Arial"/>
                <w:sz w:val="19"/>
                <w:szCs w:val="19"/>
                <w:b w:val="1"/>
                <w:bCs w:val="1"/>
                <w:color w:val="auto"/>
              </w:rPr>
              <w:t xml:space="preserve">“Director” </w:t>
            </w:r>
            <w:r>
              <w:rPr>
                <w:rFonts w:ascii="Arial" w:cs="Arial" w:eastAsia="Arial" w:hAnsi="Arial"/>
                <w:sz w:val="19"/>
                <w:szCs w:val="19"/>
                <w:color w:val="auto"/>
              </w:rPr>
              <w:t>means a member of the Board who is not an Employee.</w:t>
            </w: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Arial" w:cs="Arial" w:eastAsia="Arial" w:hAnsi="Arial"/>
                <w:sz w:val="19"/>
                <w:szCs w:val="19"/>
                <w:b w:val="1"/>
                <w:bCs w:val="1"/>
                <w:color w:val="auto"/>
              </w:rPr>
              <w:t>2.12</w:t>
            </w:r>
          </w:p>
        </w:tc>
        <w:tc>
          <w:tcPr>
            <w:tcW w:w="10600" w:type="dxa"/>
            <w:vAlign w:val="bottom"/>
            <w:gridSpan w:val="14"/>
          </w:tcPr>
          <w:p>
            <w:pPr>
              <w:ind w:left="10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Dividend Equivalent Right</w:t>
            </w:r>
            <w:r>
              <w:rPr>
                <w:rFonts w:ascii="Arial" w:cs="Arial" w:eastAsia="Arial" w:hAnsi="Arial"/>
                <w:sz w:val="19"/>
                <w:szCs w:val="19"/>
                <w:color w:val="auto"/>
              </w:rPr>
              <w:t>” means a dividend equivalent right under Article 10 of the Plan.</w:t>
            </w: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Arial" w:cs="Arial" w:eastAsia="Arial" w:hAnsi="Arial"/>
                <w:sz w:val="19"/>
                <w:szCs w:val="19"/>
                <w:b w:val="1"/>
                <w:bCs w:val="1"/>
                <w:color w:val="auto"/>
              </w:rPr>
              <w:t>2.13</w:t>
            </w:r>
          </w:p>
        </w:tc>
        <w:tc>
          <w:tcPr>
            <w:tcW w:w="10600" w:type="dxa"/>
            <w:vAlign w:val="bottom"/>
            <w:gridSpan w:val="14"/>
          </w:tcPr>
          <w:p>
            <w:pPr>
              <w:ind w:left="1020"/>
              <w:spacing w:after="0"/>
              <w:rPr>
                <w:sz w:val="20"/>
                <w:szCs w:val="20"/>
                <w:color w:val="auto"/>
              </w:rPr>
            </w:pP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means the date set forth in Section 16.19.</w:t>
            </w:r>
          </w:p>
        </w:tc>
      </w:tr>
      <w:tr>
        <w:trPr>
          <w:trHeight w:val="20"/>
        </w:trPr>
        <w:tc>
          <w:tcPr>
            <w:tcW w:w="5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Arial" w:cs="Arial" w:eastAsia="Arial" w:hAnsi="Arial"/>
                <w:sz w:val="19"/>
                <w:szCs w:val="19"/>
                <w:b w:val="1"/>
                <w:bCs w:val="1"/>
                <w:color w:val="auto"/>
              </w:rPr>
              <w:t>2.14</w:t>
            </w:r>
          </w:p>
        </w:tc>
        <w:tc>
          <w:tcPr>
            <w:tcW w:w="10600" w:type="dxa"/>
            <w:vAlign w:val="bottom"/>
            <w:gridSpan w:val="14"/>
          </w:tcPr>
          <w:p>
            <w:pPr>
              <w:ind w:left="1020"/>
              <w:spacing w:after="0"/>
              <w:rPr>
                <w:sz w:val="20"/>
                <w:szCs w:val="20"/>
                <w:color w:val="auto"/>
              </w:rPr>
            </w:pPr>
            <w:r>
              <w:rPr>
                <w:rFonts w:ascii="Arial" w:cs="Arial" w:eastAsia="Arial" w:hAnsi="Arial"/>
                <w:sz w:val="19"/>
                <w:szCs w:val="19"/>
                <w:b w:val="1"/>
                <w:bCs w:val="1"/>
                <w:color w:val="auto"/>
                <w:w w:val="91"/>
              </w:rPr>
              <w:t xml:space="preserve">“Employee” </w:t>
            </w:r>
            <w:r>
              <w:rPr>
                <w:rFonts w:ascii="Arial" w:cs="Arial" w:eastAsia="Arial" w:hAnsi="Arial"/>
                <w:sz w:val="19"/>
                <w:szCs w:val="19"/>
                <w:color w:val="auto"/>
                <w:w w:val="91"/>
              </w:rPr>
              <w:t>means an officer or other employee of the Company, a Subsidiary or Affiliate, including a member of the Board</w:t>
            </w:r>
          </w:p>
        </w:tc>
      </w:tr>
      <w:tr>
        <w:trPr>
          <w:trHeight w:val="20"/>
        </w:trPr>
        <w:tc>
          <w:tcPr>
            <w:tcW w:w="5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r>
      <w:tr>
        <w:trPr>
          <w:trHeight w:val="238"/>
        </w:trPr>
        <w:tc>
          <w:tcPr>
            <w:tcW w:w="560" w:type="dxa"/>
            <w:vAlign w:val="bottom"/>
          </w:tcPr>
          <w:p>
            <w:pPr>
              <w:spacing w:after="0"/>
              <w:rPr>
                <w:sz w:val="20"/>
                <w:szCs w:val="20"/>
                <w:color w:val="auto"/>
              </w:rPr>
            </w:pPr>
          </w:p>
        </w:tc>
        <w:tc>
          <w:tcPr>
            <w:tcW w:w="10600" w:type="dxa"/>
            <w:vAlign w:val="bottom"/>
            <w:gridSpan w:val="14"/>
          </w:tcPr>
          <w:p>
            <w:pPr>
              <w:ind w:left="220"/>
              <w:spacing w:after="0"/>
              <w:rPr>
                <w:sz w:val="20"/>
                <w:szCs w:val="20"/>
                <w:color w:val="auto"/>
              </w:rPr>
            </w:pPr>
            <w:r>
              <w:rPr>
                <w:rFonts w:ascii="Arial" w:cs="Arial" w:eastAsia="Arial" w:hAnsi="Arial"/>
                <w:sz w:val="19"/>
                <w:szCs w:val="19"/>
                <w:color w:val="auto"/>
              </w:rPr>
              <w:t>who is an employee of the Company, a Subsidiary or Affiliate.</w:t>
            </w:r>
          </w:p>
        </w:tc>
      </w:tr>
      <w:tr>
        <w:trPr>
          <w:trHeight w:val="390"/>
        </w:trPr>
        <w:tc>
          <w:tcPr>
            <w:tcW w:w="560" w:type="dxa"/>
            <w:vAlign w:val="bottom"/>
          </w:tcPr>
          <w:p>
            <w:pPr>
              <w:spacing w:after="0"/>
              <w:rPr>
                <w:sz w:val="20"/>
                <w:szCs w:val="20"/>
                <w:color w:val="auto"/>
              </w:rPr>
            </w:pPr>
            <w:r>
              <w:rPr>
                <w:rFonts w:ascii="Arial" w:cs="Arial" w:eastAsia="Arial" w:hAnsi="Arial"/>
                <w:sz w:val="19"/>
                <w:szCs w:val="19"/>
                <w:b w:val="1"/>
                <w:bCs w:val="1"/>
                <w:color w:val="auto"/>
              </w:rPr>
              <w:t>2.15</w:t>
            </w:r>
          </w:p>
        </w:tc>
        <w:tc>
          <w:tcPr>
            <w:tcW w:w="10600" w:type="dxa"/>
            <w:vAlign w:val="bottom"/>
            <w:gridSpan w:val="14"/>
          </w:tcPr>
          <w:p>
            <w:pPr>
              <w:ind w:left="1020"/>
              <w:spacing w:after="0"/>
              <w:rPr>
                <w:sz w:val="20"/>
                <w:szCs w:val="20"/>
                <w:color w:val="auto"/>
              </w:rPr>
            </w:pPr>
            <w:r>
              <w:rPr>
                <w:rFonts w:ascii="Arial" w:cs="Arial" w:eastAsia="Arial" w:hAnsi="Arial"/>
                <w:sz w:val="19"/>
                <w:szCs w:val="19"/>
                <w:b w:val="1"/>
                <w:bCs w:val="1"/>
                <w:color w:val="auto"/>
              </w:rPr>
              <w:t xml:space="preserve">“Exchange Act” </w:t>
            </w:r>
            <w:r>
              <w:rPr>
                <w:rFonts w:ascii="Arial" w:cs="Arial" w:eastAsia="Arial" w:hAnsi="Arial"/>
                <w:sz w:val="19"/>
                <w:szCs w:val="19"/>
                <w:color w:val="auto"/>
              </w:rPr>
              <w:t>means the Securities Exchange Act of 1934, as amended from time to time.</w:t>
            </w:r>
          </w:p>
        </w:tc>
      </w:tr>
      <w:tr>
        <w:trPr>
          <w:trHeight w:val="20"/>
        </w:trPr>
        <w:tc>
          <w:tcPr>
            <w:tcW w:w="5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5"/>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Arial" w:cs="Arial" w:eastAsia="Arial" w:hAnsi="Arial"/>
                <w:sz w:val="19"/>
                <w:szCs w:val="19"/>
                <w:b w:val="1"/>
                <w:bCs w:val="1"/>
                <w:color w:val="auto"/>
              </w:rPr>
              <w:t>2.16</w:t>
            </w:r>
          </w:p>
        </w:tc>
        <w:tc>
          <w:tcPr>
            <w:tcW w:w="10600" w:type="dxa"/>
            <w:vAlign w:val="bottom"/>
            <w:gridSpan w:val="14"/>
          </w:tcPr>
          <w:p>
            <w:pPr>
              <w:ind w:left="1020"/>
              <w:spacing w:after="0"/>
              <w:rPr>
                <w:sz w:val="20"/>
                <w:szCs w:val="20"/>
                <w:color w:val="auto"/>
              </w:rPr>
            </w:pPr>
            <w:r>
              <w:rPr>
                <w:rFonts w:ascii="Arial" w:cs="Arial" w:eastAsia="Arial" w:hAnsi="Arial"/>
                <w:sz w:val="19"/>
                <w:szCs w:val="19"/>
                <w:b w:val="1"/>
                <w:bCs w:val="1"/>
                <w:color w:val="auto"/>
              </w:rPr>
              <w:t xml:space="preserve">“Fair Market Value” </w:t>
            </w:r>
            <w:r>
              <w:rPr>
                <w:rFonts w:ascii="Arial" w:cs="Arial" w:eastAsia="Arial" w:hAnsi="Arial"/>
                <w:sz w:val="19"/>
                <w:szCs w:val="19"/>
                <w:color w:val="auto"/>
              </w:rPr>
              <w:t>means, as of any date, the per-Share value determined as follows:</w:t>
            </w: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2580" w:hanging="858"/>
        <w:spacing w:after="0" w:line="249" w:lineRule="auto"/>
        <w:tabs>
          <w:tab w:leader="none" w:pos="2580"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The closing price of a Share on a recognized U.S. national exchange or any established over-the-counter trading system on which dealings take place, or if no trades were made on any such day, the immediately preceding day on which trades were made; or</w:t>
      </w:r>
    </w:p>
    <w:p>
      <w:pPr>
        <w:spacing w:after="0" w:line="183" w:lineRule="exact"/>
        <w:rPr>
          <w:rFonts w:ascii="Arial" w:cs="Arial" w:eastAsia="Arial" w:hAnsi="Arial"/>
          <w:sz w:val="19"/>
          <w:szCs w:val="19"/>
          <w:color w:val="010000"/>
        </w:rPr>
      </w:pPr>
    </w:p>
    <w:p>
      <w:pPr>
        <w:ind w:left="2580" w:hanging="858"/>
        <w:spacing w:after="0" w:line="320" w:lineRule="auto"/>
        <w:tabs>
          <w:tab w:leader="none" w:pos="2580"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In the absence of an established market for the Shares of the type described in (a) above, the per Share value determined by the Committee in good faith and in accordance with applicable provisions of Section 409A.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both"/>
        <w:ind w:left="860" w:hanging="784"/>
        <w:spacing w:after="0" w:line="252" w:lineRule="auto"/>
        <w:tabs>
          <w:tab w:leader="none" w:pos="840" w:val="left"/>
        </w:tabs>
        <w:rPr>
          <w:sz w:val="20"/>
          <w:szCs w:val="20"/>
          <w:color w:val="auto"/>
        </w:rPr>
      </w:pPr>
      <w:r>
        <w:rPr>
          <w:rFonts w:ascii="Arial" w:cs="Arial" w:eastAsia="Arial" w:hAnsi="Arial"/>
          <w:sz w:val="19"/>
          <w:szCs w:val="19"/>
          <w:b w:val="1"/>
          <w:bCs w:val="1"/>
          <w:color w:val="auto"/>
        </w:rPr>
        <w:t>2.17</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Good Reason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(i) with respect to a Participant employed pursuant to a written employment agreement that includes a</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definition of “Good Reason”, “Good Reason” as defined in such agreement or (ii) with respect to any other Participant, in the absence of written consent of such Participant, the occurrence of any of the following:</w:t>
      </w:r>
    </w:p>
    <w:p>
      <w:pPr>
        <w:spacing w:after="0" w:line="182" w:lineRule="exact"/>
        <w:rPr>
          <w:sz w:val="20"/>
          <w:szCs w:val="20"/>
          <w:color w:val="auto"/>
        </w:rPr>
      </w:pPr>
    </w:p>
    <w:p>
      <w:pPr>
        <w:jc w:val="both"/>
        <w:ind w:left="2580" w:hanging="858"/>
        <w:spacing w:after="0" w:line="241" w:lineRule="auto"/>
        <w:tabs>
          <w:tab w:leader="none" w:pos="2580" w:val="left"/>
        </w:tabs>
        <w:numPr>
          <w:ilvl w:val="0"/>
          <w:numId w:val="39"/>
        </w:numPr>
        <w:rPr>
          <w:rFonts w:ascii="Arial" w:cs="Arial" w:eastAsia="Arial" w:hAnsi="Arial"/>
          <w:sz w:val="20"/>
          <w:szCs w:val="20"/>
          <w:color w:val="010000"/>
        </w:rPr>
      </w:pPr>
      <w:r>
        <w:rPr>
          <w:rFonts w:ascii="Arial" w:cs="Arial" w:eastAsia="Arial" w:hAnsi="Arial"/>
          <w:sz w:val="19"/>
          <w:szCs w:val="19"/>
          <w:color w:val="auto"/>
        </w:rPr>
        <w:t>a reduction, in the aggregate, of the Participant’s base salary and target annual cash bonus compensation (including variable and other incentives) or sales and commission opportunities, as applicable, as in effect immediately prior to a Change of Control (or as the same may be increased from time to time thereafter) by more than 10%; or</w:t>
      </w:r>
    </w:p>
    <w:p>
      <w:pPr>
        <w:spacing w:after="0" w:line="190" w:lineRule="exact"/>
        <w:rPr>
          <w:rFonts w:ascii="Arial" w:cs="Arial" w:eastAsia="Arial" w:hAnsi="Arial"/>
          <w:sz w:val="20"/>
          <w:szCs w:val="20"/>
          <w:color w:val="010000"/>
        </w:rPr>
      </w:pPr>
    </w:p>
    <w:p>
      <w:pPr>
        <w:jc w:val="both"/>
        <w:ind w:left="2580" w:hanging="858"/>
        <w:spacing w:after="0" w:line="242" w:lineRule="auto"/>
        <w:tabs>
          <w:tab w:leader="none" w:pos="2580" w:val="left"/>
        </w:tabs>
        <w:numPr>
          <w:ilvl w:val="0"/>
          <w:numId w:val="39"/>
        </w:numPr>
        <w:rPr>
          <w:rFonts w:ascii="Arial" w:cs="Arial" w:eastAsia="Arial" w:hAnsi="Arial"/>
          <w:sz w:val="20"/>
          <w:szCs w:val="20"/>
          <w:color w:val="010000"/>
        </w:rPr>
      </w:pPr>
      <w:r>
        <w:rPr>
          <w:rFonts w:ascii="Arial" w:cs="Arial" w:eastAsia="Arial" w:hAnsi="Arial"/>
          <w:sz w:val="19"/>
          <w:szCs w:val="19"/>
          <w:color w:val="auto"/>
        </w:rPr>
        <w:t>reassignment of the Participant’s primary work site to a new primary work site that increases his or her one-way commute to work by more than 35 miles, unless the Participant is in a position where periodic reassignment is standard practice.</w:t>
      </w:r>
    </w:p>
    <w:p>
      <w:pPr>
        <w:spacing w:after="0" w:line="191" w:lineRule="exact"/>
        <w:rPr>
          <w:sz w:val="20"/>
          <w:szCs w:val="20"/>
          <w:color w:val="auto"/>
        </w:rPr>
      </w:pPr>
    </w:p>
    <w:p>
      <w:pPr>
        <w:jc w:val="both"/>
        <w:ind w:firstLine="1727"/>
        <w:spacing w:after="0" w:line="278" w:lineRule="auto"/>
        <w:rPr>
          <w:sz w:val="20"/>
          <w:szCs w:val="20"/>
          <w:color w:val="auto"/>
        </w:rPr>
      </w:pPr>
      <w:r>
        <w:rPr>
          <w:rFonts w:ascii="Arial" w:cs="Arial" w:eastAsia="Arial" w:hAnsi="Arial"/>
          <w:sz w:val="17"/>
          <w:szCs w:val="17"/>
          <w:color w:val="auto"/>
        </w:rPr>
        <w:t>Notwithstanding the foregoing, a termination for Good Reason shall not have occurred unless (i) the Participant gives written notice to the Company of termination of employment within 30 days after the Participant first becomes aware of the occurrence of the circumstances constituting Good Reason, specifying in detail the circumstances constituting Good Reason, and the Company has failed within 30 days after receipt of such notice to cure the circumstances constituting Good Reason, and (ii) the Participant’s “separation from service” (within the meaning of Section 409A) occurs no later than two years following the initial existence of the circumstances giving rise to Good Reason.</w:t>
      </w:r>
    </w:p>
    <w:p>
      <w:pPr>
        <w:spacing w:after="0" w:line="143"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560" w:type="dxa"/>
            <w:vAlign w:val="bottom"/>
          </w:tcPr>
          <w:p>
            <w:pPr>
              <w:jc w:val="right"/>
              <w:ind w:right="146"/>
              <w:spacing w:after="0"/>
              <w:rPr>
                <w:sz w:val="20"/>
                <w:szCs w:val="20"/>
                <w:color w:val="auto"/>
              </w:rPr>
            </w:pPr>
            <w:r>
              <w:rPr>
                <w:rFonts w:ascii="Arial" w:cs="Arial" w:eastAsia="Arial" w:hAnsi="Arial"/>
                <w:sz w:val="19"/>
                <w:szCs w:val="19"/>
                <w:b w:val="1"/>
                <w:bCs w:val="1"/>
                <w:color w:val="auto"/>
                <w:w w:val="81"/>
              </w:rPr>
              <w:t>2.18</w:t>
            </w:r>
          </w:p>
        </w:tc>
        <w:tc>
          <w:tcPr>
            <w:tcW w:w="10600" w:type="dxa"/>
            <w:vAlign w:val="bottom"/>
            <w:gridSpan w:val="16"/>
          </w:tcPr>
          <w:p>
            <w:pPr>
              <w:ind w:left="1020"/>
              <w:spacing w:after="0"/>
              <w:rPr>
                <w:sz w:val="20"/>
                <w:szCs w:val="20"/>
                <w:color w:val="auto"/>
              </w:rPr>
            </w:pPr>
            <w:r>
              <w:rPr>
                <w:rFonts w:ascii="Arial" w:cs="Arial" w:eastAsia="Arial" w:hAnsi="Arial"/>
                <w:sz w:val="19"/>
                <w:szCs w:val="19"/>
                <w:b w:val="1"/>
                <w:bCs w:val="1"/>
                <w:color w:val="auto"/>
                <w:w w:val="94"/>
              </w:rPr>
              <w:t xml:space="preserve">“Incentive Stock Option” </w:t>
            </w:r>
            <w:r>
              <w:rPr>
                <w:rFonts w:ascii="Arial" w:cs="Arial" w:eastAsia="Arial" w:hAnsi="Arial"/>
                <w:sz w:val="19"/>
                <w:szCs w:val="19"/>
                <w:color w:val="auto"/>
                <w:w w:val="94"/>
              </w:rPr>
              <w:t>means an Option intended to meet the requirements of an incentive stock option as defined in</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8"/>
        </w:trPr>
        <w:tc>
          <w:tcPr>
            <w:tcW w:w="560" w:type="dxa"/>
            <w:vAlign w:val="bottom"/>
          </w:tcPr>
          <w:p>
            <w:pPr>
              <w:spacing w:after="0"/>
              <w:rPr>
                <w:sz w:val="20"/>
                <w:szCs w:val="20"/>
                <w:color w:val="auto"/>
              </w:rPr>
            </w:pPr>
          </w:p>
        </w:tc>
        <w:tc>
          <w:tcPr>
            <w:tcW w:w="10600" w:type="dxa"/>
            <w:vAlign w:val="bottom"/>
            <w:gridSpan w:val="16"/>
          </w:tcPr>
          <w:p>
            <w:pPr>
              <w:ind w:left="220"/>
              <w:spacing w:after="0"/>
              <w:rPr>
                <w:sz w:val="20"/>
                <w:szCs w:val="20"/>
                <w:color w:val="auto"/>
              </w:rPr>
            </w:pPr>
            <w:r>
              <w:rPr>
                <w:rFonts w:ascii="Arial" w:cs="Arial" w:eastAsia="Arial" w:hAnsi="Arial"/>
                <w:sz w:val="19"/>
                <w:szCs w:val="19"/>
                <w:color w:val="auto"/>
              </w:rPr>
              <w:t>Section 422 of the Code and designated as an Incentive Stock Option.</w:t>
            </w:r>
          </w:p>
        </w:tc>
      </w:tr>
      <w:tr>
        <w:trPr>
          <w:trHeight w:val="389"/>
        </w:trPr>
        <w:tc>
          <w:tcPr>
            <w:tcW w:w="560" w:type="dxa"/>
            <w:vAlign w:val="bottom"/>
          </w:tcPr>
          <w:p>
            <w:pPr>
              <w:jc w:val="right"/>
              <w:ind w:right="146"/>
              <w:spacing w:after="0"/>
              <w:rPr>
                <w:sz w:val="20"/>
                <w:szCs w:val="20"/>
                <w:color w:val="auto"/>
              </w:rPr>
            </w:pPr>
            <w:r>
              <w:rPr>
                <w:rFonts w:ascii="Arial" w:cs="Arial" w:eastAsia="Arial" w:hAnsi="Arial"/>
                <w:sz w:val="19"/>
                <w:szCs w:val="19"/>
                <w:b w:val="1"/>
                <w:bCs w:val="1"/>
                <w:color w:val="auto"/>
                <w:w w:val="81"/>
              </w:rPr>
              <w:t>2.19</w:t>
            </w:r>
          </w:p>
        </w:tc>
        <w:tc>
          <w:tcPr>
            <w:tcW w:w="10600" w:type="dxa"/>
            <w:vAlign w:val="bottom"/>
            <w:gridSpan w:val="16"/>
          </w:tcPr>
          <w:p>
            <w:pPr>
              <w:ind w:left="1020"/>
              <w:spacing w:after="0"/>
              <w:rPr>
                <w:sz w:val="20"/>
                <w:szCs w:val="20"/>
                <w:color w:val="auto"/>
              </w:rPr>
            </w:pPr>
            <w:r>
              <w:rPr>
                <w:rFonts w:ascii="Arial" w:cs="Arial" w:eastAsia="Arial" w:hAnsi="Arial"/>
                <w:sz w:val="19"/>
                <w:szCs w:val="19"/>
                <w:b w:val="1"/>
                <w:bCs w:val="1"/>
                <w:color w:val="auto"/>
                <w:w w:val="96"/>
              </w:rPr>
              <w:t xml:space="preserve">“Non-Employee Director” </w:t>
            </w:r>
            <w:r>
              <w:rPr>
                <w:rFonts w:ascii="Arial" w:cs="Arial" w:eastAsia="Arial" w:hAnsi="Arial"/>
                <w:sz w:val="19"/>
                <w:szCs w:val="19"/>
                <w:color w:val="auto"/>
                <w:w w:val="96"/>
              </w:rPr>
              <w:t>means a person defined in Rule 16b-3(b)(3) promulgated by the Securities and Exchange</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8"/>
        </w:trPr>
        <w:tc>
          <w:tcPr>
            <w:tcW w:w="560" w:type="dxa"/>
            <w:vAlign w:val="bottom"/>
          </w:tcPr>
          <w:p>
            <w:pPr>
              <w:spacing w:after="0"/>
              <w:rPr>
                <w:sz w:val="20"/>
                <w:szCs w:val="20"/>
                <w:color w:val="auto"/>
              </w:rPr>
            </w:pPr>
          </w:p>
        </w:tc>
        <w:tc>
          <w:tcPr>
            <w:tcW w:w="10600" w:type="dxa"/>
            <w:vAlign w:val="bottom"/>
            <w:gridSpan w:val="16"/>
          </w:tcPr>
          <w:p>
            <w:pPr>
              <w:ind w:left="220"/>
              <w:spacing w:after="0"/>
              <w:rPr>
                <w:sz w:val="20"/>
                <w:szCs w:val="20"/>
                <w:color w:val="auto"/>
              </w:rPr>
            </w:pPr>
            <w:r>
              <w:rPr>
                <w:rFonts w:ascii="Arial" w:cs="Arial" w:eastAsia="Arial" w:hAnsi="Arial"/>
                <w:sz w:val="19"/>
                <w:szCs w:val="19"/>
                <w:color w:val="auto"/>
              </w:rPr>
              <w:t>Commission under the Exchange Act, or any successor definition adopted by the Securities and Exchange Commission.</w:t>
            </w:r>
          </w:p>
        </w:tc>
      </w:tr>
      <w:tr>
        <w:trPr>
          <w:trHeight w:val="390"/>
        </w:trPr>
        <w:tc>
          <w:tcPr>
            <w:tcW w:w="560" w:type="dxa"/>
            <w:vAlign w:val="bottom"/>
          </w:tcPr>
          <w:p>
            <w:pPr>
              <w:jc w:val="right"/>
              <w:ind w:right="146"/>
              <w:spacing w:after="0"/>
              <w:rPr>
                <w:sz w:val="20"/>
                <w:szCs w:val="20"/>
                <w:color w:val="auto"/>
              </w:rPr>
            </w:pPr>
            <w:r>
              <w:rPr>
                <w:rFonts w:ascii="Arial" w:cs="Arial" w:eastAsia="Arial" w:hAnsi="Arial"/>
                <w:sz w:val="19"/>
                <w:szCs w:val="19"/>
                <w:b w:val="1"/>
                <w:bCs w:val="1"/>
                <w:color w:val="auto"/>
                <w:w w:val="81"/>
              </w:rPr>
              <w:t>2.20</w:t>
            </w:r>
          </w:p>
        </w:tc>
        <w:tc>
          <w:tcPr>
            <w:tcW w:w="10600" w:type="dxa"/>
            <w:vAlign w:val="bottom"/>
            <w:gridSpan w:val="16"/>
          </w:tcPr>
          <w:p>
            <w:pPr>
              <w:ind w:left="1020"/>
              <w:spacing w:after="0"/>
              <w:rPr>
                <w:sz w:val="20"/>
                <w:szCs w:val="20"/>
                <w:color w:val="auto"/>
              </w:rPr>
            </w:pPr>
            <w:r>
              <w:rPr>
                <w:rFonts w:ascii="Arial" w:cs="Arial" w:eastAsia="Arial" w:hAnsi="Arial"/>
                <w:sz w:val="19"/>
                <w:szCs w:val="19"/>
                <w:b w:val="1"/>
                <w:bCs w:val="1"/>
                <w:color w:val="auto"/>
              </w:rPr>
              <w:t xml:space="preserve">“Nonqualified Stock Option” </w:t>
            </w:r>
            <w:r>
              <w:rPr>
                <w:rFonts w:ascii="Arial" w:cs="Arial" w:eastAsia="Arial" w:hAnsi="Arial"/>
                <w:sz w:val="19"/>
                <w:szCs w:val="19"/>
                <w:color w:val="auto"/>
              </w:rPr>
              <w:t>means an Option that is not an Incentive Stock Option.</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52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560" w:type="dxa"/>
            <w:vAlign w:val="bottom"/>
          </w:tcPr>
          <w:p>
            <w:pPr>
              <w:jc w:val="right"/>
              <w:ind w:right="146"/>
              <w:spacing w:after="0"/>
              <w:rPr>
                <w:sz w:val="20"/>
                <w:szCs w:val="20"/>
                <w:color w:val="auto"/>
              </w:rPr>
            </w:pPr>
            <w:r>
              <w:rPr>
                <w:rFonts w:ascii="Arial" w:cs="Arial" w:eastAsia="Arial" w:hAnsi="Arial"/>
                <w:sz w:val="19"/>
                <w:szCs w:val="19"/>
                <w:b w:val="1"/>
                <w:bCs w:val="1"/>
                <w:color w:val="auto"/>
                <w:w w:val="81"/>
              </w:rPr>
              <w:t>2.21</w:t>
            </w:r>
          </w:p>
        </w:tc>
        <w:tc>
          <w:tcPr>
            <w:tcW w:w="10600" w:type="dxa"/>
            <w:vAlign w:val="bottom"/>
            <w:gridSpan w:val="16"/>
          </w:tcPr>
          <w:p>
            <w:pPr>
              <w:ind w:left="1020"/>
              <w:spacing w:after="0"/>
              <w:rPr>
                <w:sz w:val="20"/>
                <w:szCs w:val="20"/>
                <w:color w:val="auto"/>
              </w:rPr>
            </w:pPr>
            <w:r>
              <w:rPr>
                <w:rFonts w:ascii="Arial" w:cs="Arial" w:eastAsia="Arial" w:hAnsi="Arial"/>
                <w:sz w:val="19"/>
                <w:szCs w:val="19"/>
                <w:b w:val="1"/>
                <w:bCs w:val="1"/>
                <w:color w:val="auto"/>
              </w:rPr>
              <w:t xml:space="preserve">“Other Stock-Based Award” </w:t>
            </w:r>
            <w:r>
              <w:rPr>
                <w:rFonts w:ascii="Arial" w:cs="Arial" w:eastAsia="Arial" w:hAnsi="Arial"/>
                <w:sz w:val="19"/>
                <w:szCs w:val="19"/>
                <w:color w:val="auto"/>
              </w:rPr>
              <w:t>means any right granted under Article 11 of the Plan.</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560" w:type="dxa"/>
            <w:vAlign w:val="bottom"/>
          </w:tcPr>
          <w:p>
            <w:pPr>
              <w:jc w:val="right"/>
              <w:ind w:right="146"/>
              <w:spacing w:after="0"/>
              <w:rPr>
                <w:sz w:val="20"/>
                <w:szCs w:val="20"/>
                <w:color w:val="auto"/>
              </w:rPr>
            </w:pPr>
            <w:r>
              <w:rPr>
                <w:rFonts w:ascii="Arial" w:cs="Arial" w:eastAsia="Arial" w:hAnsi="Arial"/>
                <w:sz w:val="19"/>
                <w:szCs w:val="19"/>
                <w:b w:val="1"/>
                <w:bCs w:val="1"/>
                <w:color w:val="auto"/>
                <w:w w:val="81"/>
              </w:rPr>
              <w:t>2.22</w:t>
            </w:r>
          </w:p>
        </w:tc>
        <w:tc>
          <w:tcPr>
            <w:tcW w:w="10600" w:type="dxa"/>
            <w:vAlign w:val="bottom"/>
            <w:gridSpan w:val="16"/>
          </w:tcPr>
          <w:p>
            <w:pPr>
              <w:ind w:left="1020"/>
              <w:spacing w:after="0"/>
              <w:rPr>
                <w:sz w:val="20"/>
                <w:szCs w:val="20"/>
                <w:color w:val="auto"/>
              </w:rPr>
            </w:pPr>
            <w:r>
              <w:rPr>
                <w:rFonts w:ascii="Arial" w:cs="Arial" w:eastAsia="Arial" w:hAnsi="Arial"/>
                <w:sz w:val="19"/>
                <w:szCs w:val="19"/>
                <w:b w:val="1"/>
                <w:bCs w:val="1"/>
                <w:color w:val="auto"/>
              </w:rPr>
              <w:t xml:space="preserve">“Option” </w:t>
            </w:r>
            <w:r>
              <w:rPr>
                <w:rFonts w:ascii="Arial" w:cs="Arial" w:eastAsia="Arial" w:hAnsi="Arial"/>
                <w:sz w:val="19"/>
                <w:szCs w:val="19"/>
                <w:color w:val="auto"/>
              </w:rPr>
              <w:t>means any stock option granted under Article 6 of the Plan.</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560" w:type="dxa"/>
            <w:vAlign w:val="bottom"/>
          </w:tcPr>
          <w:p>
            <w:pPr>
              <w:jc w:val="right"/>
              <w:ind w:right="146"/>
              <w:spacing w:after="0"/>
              <w:rPr>
                <w:sz w:val="20"/>
                <w:szCs w:val="20"/>
                <w:color w:val="auto"/>
              </w:rPr>
            </w:pPr>
            <w:r>
              <w:rPr>
                <w:rFonts w:ascii="Arial" w:cs="Arial" w:eastAsia="Arial" w:hAnsi="Arial"/>
                <w:sz w:val="19"/>
                <w:szCs w:val="19"/>
                <w:b w:val="1"/>
                <w:bCs w:val="1"/>
                <w:color w:val="auto"/>
                <w:w w:val="81"/>
              </w:rPr>
              <w:t>2.23</w:t>
            </w:r>
          </w:p>
        </w:tc>
        <w:tc>
          <w:tcPr>
            <w:tcW w:w="10600" w:type="dxa"/>
            <w:vAlign w:val="bottom"/>
            <w:gridSpan w:val="16"/>
          </w:tcPr>
          <w:p>
            <w:pPr>
              <w:ind w:left="1020"/>
              <w:spacing w:after="0"/>
              <w:rPr>
                <w:sz w:val="20"/>
                <w:szCs w:val="20"/>
                <w:color w:val="auto"/>
              </w:rPr>
            </w:pPr>
            <w:r>
              <w:rPr>
                <w:rFonts w:ascii="Arial" w:cs="Arial" w:eastAsia="Arial" w:hAnsi="Arial"/>
                <w:sz w:val="19"/>
                <w:szCs w:val="19"/>
                <w:b w:val="1"/>
                <w:bCs w:val="1"/>
                <w:color w:val="auto"/>
                <w:w w:val="90"/>
              </w:rPr>
              <w:t xml:space="preserve">“Option Price” </w:t>
            </w:r>
            <w:r>
              <w:rPr>
                <w:rFonts w:ascii="Arial" w:cs="Arial" w:eastAsia="Arial" w:hAnsi="Arial"/>
                <w:sz w:val="19"/>
                <w:szCs w:val="19"/>
                <w:color w:val="auto"/>
                <w:w w:val="90"/>
              </w:rPr>
              <w:t>means the purchase price per Share subject to an Option, as determined pursuant to Section 6.2 of the Plan.</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560" w:type="dxa"/>
            <w:vAlign w:val="bottom"/>
          </w:tcPr>
          <w:p>
            <w:pPr>
              <w:jc w:val="right"/>
              <w:ind w:right="146"/>
              <w:spacing w:after="0"/>
              <w:rPr>
                <w:sz w:val="20"/>
                <w:szCs w:val="20"/>
                <w:color w:val="auto"/>
              </w:rPr>
            </w:pPr>
            <w:r>
              <w:rPr>
                <w:rFonts w:ascii="Arial" w:cs="Arial" w:eastAsia="Arial" w:hAnsi="Arial"/>
                <w:sz w:val="19"/>
                <w:szCs w:val="19"/>
                <w:b w:val="1"/>
                <w:bCs w:val="1"/>
                <w:color w:val="auto"/>
                <w:w w:val="81"/>
              </w:rPr>
              <w:t>2.24</w:t>
            </w:r>
          </w:p>
        </w:tc>
        <w:tc>
          <w:tcPr>
            <w:tcW w:w="10600" w:type="dxa"/>
            <w:vAlign w:val="bottom"/>
            <w:gridSpan w:val="16"/>
          </w:tcPr>
          <w:p>
            <w:pPr>
              <w:ind w:left="1020"/>
              <w:spacing w:after="0"/>
              <w:rPr>
                <w:sz w:val="20"/>
                <w:szCs w:val="20"/>
                <w:color w:val="auto"/>
              </w:rPr>
            </w:pPr>
            <w:r>
              <w:rPr>
                <w:rFonts w:ascii="Arial" w:cs="Arial" w:eastAsia="Arial" w:hAnsi="Arial"/>
                <w:sz w:val="19"/>
                <w:szCs w:val="19"/>
                <w:b w:val="1"/>
                <w:bCs w:val="1"/>
                <w:color w:val="auto"/>
              </w:rPr>
              <w:t xml:space="preserve">“Participant” </w:t>
            </w:r>
            <w:r>
              <w:rPr>
                <w:rFonts w:ascii="Arial" w:cs="Arial" w:eastAsia="Arial" w:hAnsi="Arial"/>
                <w:sz w:val="19"/>
                <w:szCs w:val="19"/>
                <w:color w:val="auto"/>
              </w:rPr>
              <w:t>means any eligible person as set forth in Section 4.1 to whom an Award is granted.</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r>
      <w:tr>
        <w:trPr>
          <w:trHeight w:val="412"/>
        </w:trPr>
        <w:tc>
          <w:tcPr>
            <w:tcW w:w="560" w:type="dxa"/>
            <w:vAlign w:val="bottom"/>
          </w:tcPr>
          <w:p>
            <w:pPr>
              <w:jc w:val="right"/>
              <w:ind w:right="146"/>
              <w:spacing w:after="0"/>
              <w:rPr>
                <w:sz w:val="20"/>
                <w:szCs w:val="20"/>
                <w:color w:val="auto"/>
              </w:rPr>
            </w:pPr>
            <w:r>
              <w:rPr>
                <w:rFonts w:ascii="Arial" w:cs="Arial" w:eastAsia="Arial" w:hAnsi="Arial"/>
                <w:sz w:val="19"/>
                <w:szCs w:val="19"/>
                <w:b w:val="1"/>
                <w:bCs w:val="1"/>
                <w:color w:val="auto"/>
                <w:w w:val="81"/>
              </w:rPr>
              <w:t>2.25</w:t>
            </w:r>
          </w:p>
        </w:tc>
        <w:tc>
          <w:tcPr>
            <w:tcW w:w="10600" w:type="dxa"/>
            <w:vAlign w:val="bottom"/>
            <w:gridSpan w:val="16"/>
          </w:tcPr>
          <w:p>
            <w:pPr>
              <w:ind w:left="1020"/>
              <w:spacing w:after="0"/>
              <w:rPr>
                <w:sz w:val="20"/>
                <w:szCs w:val="20"/>
                <w:color w:val="auto"/>
              </w:rPr>
            </w:pPr>
            <w:r>
              <w:rPr>
                <w:rFonts w:ascii="Arial" w:cs="Arial" w:eastAsia="Arial" w:hAnsi="Arial"/>
                <w:sz w:val="19"/>
                <w:szCs w:val="19"/>
                <w:b w:val="1"/>
                <w:bCs w:val="1"/>
                <w:color w:val="auto"/>
                <w:w w:val="89"/>
              </w:rPr>
              <w:t xml:space="preserve">“Person” </w:t>
            </w:r>
            <w:r>
              <w:rPr>
                <w:rFonts w:ascii="Arial" w:cs="Arial" w:eastAsia="Arial" w:hAnsi="Arial"/>
                <w:sz w:val="19"/>
                <w:szCs w:val="19"/>
                <w:color w:val="auto"/>
                <w:w w:val="89"/>
              </w:rPr>
              <w:t>shall have the meaning ascribed to such term in Section 3(a)(9) of the Exchange Act and used in Sections 13(d) and</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r>
      <w:tr>
        <w:trPr>
          <w:trHeight w:val="238"/>
        </w:trPr>
        <w:tc>
          <w:tcPr>
            <w:tcW w:w="560" w:type="dxa"/>
            <w:vAlign w:val="bottom"/>
          </w:tcPr>
          <w:p>
            <w:pPr>
              <w:spacing w:after="0"/>
              <w:rPr>
                <w:sz w:val="20"/>
                <w:szCs w:val="20"/>
                <w:color w:val="auto"/>
              </w:rPr>
            </w:pPr>
          </w:p>
        </w:tc>
        <w:tc>
          <w:tcPr>
            <w:tcW w:w="10600" w:type="dxa"/>
            <w:vAlign w:val="bottom"/>
            <w:gridSpan w:val="16"/>
          </w:tcPr>
          <w:p>
            <w:pPr>
              <w:ind w:left="220"/>
              <w:spacing w:after="0"/>
              <w:rPr>
                <w:sz w:val="20"/>
                <w:szCs w:val="20"/>
                <w:color w:val="auto"/>
              </w:rPr>
            </w:pPr>
            <w:r>
              <w:rPr>
                <w:rFonts w:ascii="Arial" w:cs="Arial" w:eastAsia="Arial" w:hAnsi="Arial"/>
                <w:sz w:val="19"/>
                <w:szCs w:val="19"/>
                <w:color w:val="auto"/>
              </w:rPr>
              <w:t>14(d) thereof, including a “group” as defined in Section 13(d) thereof.</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8"/>
        </w:trPr>
        <w:tc>
          <w:tcPr>
            <w:tcW w:w="800" w:type="dxa"/>
            <w:vAlign w:val="bottom"/>
          </w:tcPr>
          <w:p>
            <w:pPr>
              <w:jc w:val="right"/>
              <w:ind w:right="306"/>
              <w:spacing w:after="0"/>
              <w:rPr>
                <w:sz w:val="20"/>
                <w:szCs w:val="20"/>
                <w:color w:val="auto"/>
              </w:rPr>
            </w:pPr>
            <w:r>
              <w:rPr>
                <w:rFonts w:ascii="Arial" w:cs="Arial" w:eastAsia="Arial" w:hAnsi="Arial"/>
                <w:sz w:val="19"/>
                <w:szCs w:val="19"/>
                <w:b w:val="1"/>
                <w:bCs w:val="1"/>
                <w:color w:val="auto"/>
              </w:rPr>
              <w:t>2.26</w:t>
            </w:r>
          </w:p>
        </w:tc>
        <w:tc>
          <w:tcPr>
            <w:tcW w:w="580" w:type="dxa"/>
            <w:vAlign w:val="bottom"/>
          </w:tcPr>
          <w:p>
            <w:pPr>
              <w:spacing w:after="0"/>
              <w:rPr>
                <w:sz w:val="18"/>
                <w:szCs w:val="18"/>
                <w:color w:val="auto"/>
              </w:rPr>
            </w:pPr>
          </w:p>
        </w:tc>
        <w:tc>
          <w:tcPr>
            <w:tcW w:w="9860" w:type="dxa"/>
            <w:vAlign w:val="bottom"/>
            <w:gridSpan w:val="17"/>
          </w:tcPr>
          <w:p>
            <w:pPr>
              <w:ind w:left="280"/>
              <w:spacing w:after="0"/>
              <w:rPr>
                <w:sz w:val="20"/>
                <w:szCs w:val="20"/>
                <w:color w:val="auto"/>
              </w:rPr>
            </w:pPr>
            <w:r>
              <w:rPr>
                <w:rFonts w:ascii="Arial" w:cs="Arial" w:eastAsia="Arial" w:hAnsi="Arial"/>
                <w:sz w:val="19"/>
                <w:szCs w:val="19"/>
                <w:b w:val="1"/>
                <w:bCs w:val="1"/>
                <w:color w:val="auto"/>
              </w:rPr>
              <w:t xml:space="preserve">“Restricted Stock Award” </w:t>
            </w:r>
            <w:r>
              <w:rPr>
                <w:rFonts w:ascii="Arial" w:cs="Arial" w:eastAsia="Arial" w:hAnsi="Arial"/>
                <w:sz w:val="19"/>
                <w:szCs w:val="19"/>
                <w:color w:val="auto"/>
              </w:rPr>
              <w:t>means any Award granted under Article 8 of the Plan.</w:t>
            </w: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800" w:type="dxa"/>
            <w:vAlign w:val="bottom"/>
          </w:tcPr>
          <w:p>
            <w:pPr>
              <w:jc w:val="right"/>
              <w:ind w:right="306"/>
              <w:spacing w:after="0"/>
              <w:rPr>
                <w:sz w:val="20"/>
                <w:szCs w:val="20"/>
                <w:color w:val="auto"/>
              </w:rPr>
            </w:pPr>
            <w:r>
              <w:rPr>
                <w:rFonts w:ascii="Arial" w:cs="Arial" w:eastAsia="Arial" w:hAnsi="Arial"/>
                <w:sz w:val="19"/>
                <w:szCs w:val="19"/>
                <w:b w:val="1"/>
                <w:bCs w:val="1"/>
                <w:color w:val="auto"/>
              </w:rPr>
              <w:t>2.27</w:t>
            </w:r>
          </w:p>
        </w:tc>
        <w:tc>
          <w:tcPr>
            <w:tcW w:w="580" w:type="dxa"/>
            <w:vAlign w:val="bottom"/>
          </w:tcPr>
          <w:p>
            <w:pPr>
              <w:spacing w:after="0"/>
              <w:rPr>
                <w:sz w:val="24"/>
                <w:szCs w:val="24"/>
                <w:color w:val="auto"/>
              </w:rPr>
            </w:pPr>
          </w:p>
        </w:tc>
        <w:tc>
          <w:tcPr>
            <w:tcW w:w="9860" w:type="dxa"/>
            <w:vAlign w:val="bottom"/>
            <w:gridSpan w:val="17"/>
          </w:tcPr>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Stock Unit</w:t>
            </w:r>
            <w:r>
              <w:rPr>
                <w:rFonts w:ascii="Arial" w:cs="Arial" w:eastAsia="Arial" w:hAnsi="Arial"/>
                <w:sz w:val="19"/>
                <w:szCs w:val="19"/>
                <w:color w:val="auto"/>
              </w:rPr>
              <w:t>” means any restricted stock unit granted under Article 9 of the Plan.</w:t>
            </w: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800" w:type="dxa"/>
            <w:vAlign w:val="bottom"/>
          </w:tcPr>
          <w:p>
            <w:pPr>
              <w:jc w:val="right"/>
              <w:ind w:right="306"/>
              <w:spacing w:after="0"/>
              <w:rPr>
                <w:sz w:val="20"/>
                <w:szCs w:val="20"/>
                <w:color w:val="auto"/>
              </w:rPr>
            </w:pPr>
            <w:r>
              <w:rPr>
                <w:rFonts w:ascii="Arial" w:cs="Arial" w:eastAsia="Arial" w:hAnsi="Arial"/>
                <w:sz w:val="19"/>
                <w:szCs w:val="19"/>
                <w:b w:val="1"/>
                <w:bCs w:val="1"/>
                <w:color w:val="auto"/>
              </w:rPr>
              <w:t>2.28</w:t>
            </w:r>
          </w:p>
        </w:tc>
        <w:tc>
          <w:tcPr>
            <w:tcW w:w="580" w:type="dxa"/>
            <w:vAlign w:val="bottom"/>
          </w:tcPr>
          <w:p>
            <w:pPr>
              <w:spacing w:after="0"/>
              <w:rPr>
                <w:sz w:val="24"/>
                <w:szCs w:val="24"/>
                <w:color w:val="auto"/>
              </w:rPr>
            </w:pPr>
          </w:p>
        </w:tc>
        <w:tc>
          <w:tcPr>
            <w:tcW w:w="9860" w:type="dxa"/>
            <w:vAlign w:val="bottom"/>
            <w:gridSpan w:val="17"/>
          </w:tcPr>
          <w:p>
            <w:pPr>
              <w:ind w:left="280"/>
              <w:spacing w:after="0"/>
              <w:rPr>
                <w:sz w:val="20"/>
                <w:szCs w:val="20"/>
                <w:color w:val="auto"/>
              </w:rPr>
            </w:pPr>
            <w:r>
              <w:rPr>
                <w:rFonts w:ascii="Arial" w:cs="Arial" w:eastAsia="Arial" w:hAnsi="Arial"/>
                <w:sz w:val="19"/>
                <w:szCs w:val="19"/>
                <w:b w:val="1"/>
                <w:bCs w:val="1"/>
                <w:color w:val="auto"/>
              </w:rPr>
              <w:t xml:space="preserve">“Restriction Period” </w:t>
            </w:r>
            <w:r>
              <w:rPr>
                <w:rFonts w:ascii="Arial" w:cs="Arial" w:eastAsia="Arial" w:hAnsi="Arial"/>
                <w:sz w:val="19"/>
                <w:szCs w:val="19"/>
                <w:color w:val="auto"/>
              </w:rPr>
              <w:t>means the period during which a Restricted Stock Award is subject to forfeiture.</w:t>
            </w: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r>
      <w:tr>
        <w:trPr>
          <w:trHeight w:val="412"/>
        </w:trPr>
        <w:tc>
          <w:tcPr>
            <w:tcW w:w="800" w:type="dxa"/>
            <w:vAlign w:val="bottom"/>
          </w:tcPr>
          <w:p>
            <w:pPr>
              <w:jc w:val="right"/>
              <w:ind w:right="306"/>
              <w:spacing w:after="0"/>
              <w:rPr>
                <w:sz w:val="20"/>
                <w:szCs w:val="20"/>
                <w:color w:val="auto"/>
              </w:rPr>
            </w:pPr>
            <w:r>
              <w:rPr>
                <w:rFonts w:ascii="Arial" w:cs="Arial" w:eastAsia="Arial" w:hAnsi="Arial"/>
                <w:sz w:val="19"/>
                <w:szCs w:val="19"/>
                <w:b w:val="1"/>
                <w:bCs w:val="1"/>
                <w:color w:val="auto"/>
              </w:rPr>
              <w:t>2.29</w:t>
            </w:r>
          </w:p>
        </w:tc>
        <w:tc>
          <w:tcPr>
            <w:tcW w:w="580" w:type="dxa"/>
            <w:vAlign w:val="bottom"/>
          </w:tcPr>
          <w:p>
            <w:pPr>
              <w:spacing w:after="0"/>
              <w:rPr>
                <w:sz w:val="24"/>
                <w:szCs w:val="24"/>
                <w:color w:val="auto"/>
              </w:rPr>
            </w:pPr>
          </w:p>
        </w:tc>
        <w:tc>
          <w:tcPr>
            <w:tcW w:w="9860" w:type="dxa"/>
            <w:vAlign w:val="bottom"/>
            <w:gridSpan w:val="17"/>
          </w:tcPr>
          <w:p>
            <w:pPr>
              <w:ind w:left="280"/>
              <w:spacing w:after="0"/>
              <w:rPr>
                <w:sz w:val="20"/>
                <w:szCs w:val="20"/>
                <w:color w:val="auto"/>
              </w:rPr>
            </w:pPr>
            <w:r>
              <w:rPr>
                <w:rFonts w:ascii="Arial" w:cs="Arial" w:eastAsia="Arial" w:hAnsi="Arial"/>
                <w:sz w:val="19"/>
                <w:szCs w:val="19"/>
                <w:b w:val="1"/>
                <w:bCs w:val="1"/>
                <w:color w:val="auto"/>
                <w:w w:val="90"/>
              </w:rPr>
              <w:t>“Section 409A</w:t>
            </w:r>
            <w:r>
              <w:rPr>
                <w:rFonts w:ascii="Arial" w:cs="Arial" w:eastAsia="Arial" w:hAnsi="Arial"/>
                <w:sz w:val="19"/>
                <w:szCs w:val="19"/>
                <w:color w:val="auto"/>
                <w:w w:val="90"/>
              </w:rPr>
              <w:t>” means Section 409A of the Code, including any amendments or successor provisions to that section, and any</w:t>
            </w:r>
          </w:p>
        </w:tc>
      </w:tr>
      <w:tr>
        <w:trPr>
          <w:trHeight w:val="20"/>
        </w:trPr>
        <w:tc>
          <w:tcPr>
            <w:tcW w:w="8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r>
      <w:tr>
        <w:trPr>
          <w:trHeight w:val="214"/>
        </w:trPr>
        <w:tc>
          <w:tcPr>
            <w:tcW w:w="800" w:type="dxa"/>
            <w:vAlign w:val="bottom"/>
          </w:tcPr>
          <w:p>
            <w:pPr>
              <w:spacing w:after="0"/>
              <w:rPr>
                <w:sz w:val="18"/>
                <w:szCs w:val="18"/>
                <w:color w:val="auto"/>
              </w:rPr>
            </w:pPr>
          </w:p>
        </w:tc>
        <w:tc>
          <w:tcPr>
            <w:tcW w:w="10440" w:type="dxa"/>
            <w:vAlign w:val="bottom"/>
            <w:gridSpan w:val="18"/>
          </w:tcPr>
          <w:p>
            <w:pPr>
              <w:ind w:left="60"/>
              <w:spacing w:after="0" w:line="214" w:lineRule="exact"/>
              <w:rPr>
                <w:sz w:val="20"/>
                <w:szCs w:val="20"/>
                <w:color w:val="auto"/>
              </w:rPr>
            </w:pPr>
            <w:r>
              <w:rPr>
                <w:rFonts w:ascii="Arial" w:cs="Arial" w:eastAsia="Arial" w:hAnsi="Arial"/>
                <w:sz w:val="19"/>
                <w:szCs w:val="19"/>
                <w:color w:val="auto"/>
                <w:w w:val="92"/>
              </w:rPr>
              <w:t>regulations and other administrative guidance relating thereto, in each case as they may be from time to time amended or interpreted</w:t>
            </w:r>
          </w:p>
        </w:tc>
      </w:tr>
      <w:tr>
        <w:trPr>
          <w:trHeight w:val="240"/>
        </w:trPr>
        <w:tc>
          <w:tcPr>
            <w:tcW w:w="800" w:type="dxa"/>
            <w:vAlign w:val="bottom"/>
          </w:tcPr>
          <w:p>
            <w:pPr>
              <w:spacing w:after="0"/>
              <w:rPr>
                <w:sz w:val="20"/>
                <w:szCs w:val="20"/>
                <w:color w:val="auto"/>
              </w:rPr>
            </w:pPr>
          </w:p>
        </w:tc>
        <w:tc>
          <w:tcPr>
            <w:tcW w:w="10440" w:type="dxa"/>
            <w:vAlign w:val="bottom"/>
            <w:gridSpan w:val="18"/>
          </w:tcPr>
          <w:p>
            <w:pPr>
              <w:ind w:left="60"/>
              <w:spacing w:after="0"/>
              <w:rPr>
                <w:sz w:val="20"/>
                <w:szCs w:val="20"/>
                <w:color w:val="auto"/>
              </w:rPr>
            </w:pPr>
            <w:r>
              <w:rPr>
                <w:rFonts w:ascii="Arial" w:cs="Arial" w:eastAsia="Arial" w:hAnsi="Arial"/>
                <w:sz w:val="19"/>
                <w:szCs w:val="19"/>
                <w:color w:val="auto"/>
              </w:rPr>
              <w:t>through further administrative guidance.</w:t>
            </w:r>
          </w:p>
        </w:tc>
      </w:tr>
      <w:tr>
        <w:trPr>
          <w:trHeight w:val="389"/>
        </w:trPr>
        <w:tc>
          <w:tcPr>
            <w:tcW w:w="800" w:type="dxa"/>
            <w:vAlign w:val="bottom"/>
          </w:tcPr>
          <w:p>
            <w:pPr>
              <w:jc w:val="right"/>
              <w:ind w:right="306"/>
              <w:spacing w:after="0"/>
              <w:rPr>
                <w:sz w:val="20"/>
                <w:szCs w:val="20"/>
                <w:color w:val="auto"/>
              </w:rPr>
            </w:pPr>
            <w:r>
              <w:rPr>
                <w:rFonts w:ascii="Arial" w:cs="Arial" w:eastAsia="Arial" w:hAnsi="Arial"/>
                <w:sz w:val="19"/>
                <w:szCs w:val="19"/>
                <w:b w:val="1"/>
                <w:bCs w:val="1"/>
                <w:color w:val="auto"/>
              </w:rPr>
              <w:t>2.30</w:t>
            </w:r>
          </w:p>
        </w:tc>
        <w:tc>
          <w:tcPr>
            <w:tcW w:w="580" w:type="dxa"/>
            <w:vAlign w:val="bottom"/>
          </w:tcPr>
          <w:p>
            <w:pPr>
              <w:spacing w:after="0"/>
              <w:rPr>
                <w:sz w:val="24"/>
                <w:szCs w:val="24"/>
                <w:color w:val="auto"/>
              </w:rPr>
            </w:pPr>
          </w:p>
        </w:tc>
        <w:tc>
          <w:tcPr>
            <w:tcW w:w="9860" w:type="dxa"/>
            <w:vAlign w:val="bottom"/>
            <w:gridSpan w:val="17"/>
          </w:tcPr>
          <w:p>
            <w:pPr>
              <w:ind w:left="280"/>
              <w:spacing w:after="0"/>
              <w:rPr>
                <w:sz w:val="20"/>
                <w:szCs w:val="20"/>
                <w:color w:val="auto"/>
              </w:rPr>
            </w:pPr>
            <w:r>
              <w:rPr>
                <w:rFonts w:ascii="Arial" w:cs="Arial" w:eastAsia="Arial" w:hAnsi="Arial"/>
                <w:sz w:val="19"/>
                <w:szCs w:val="19"/>
                <w:b w:val="1"/>
                <w:bCs w:val="1"/>
                <w:color w:val="auto"/>
              </w:rPr>
              <w:t xml:space="preserve">“Service” </w:t>
            </w:r>
            <w:r>
              <w:rPr>
                <w:rFonts w:ascii="Arial" w:cs="Arial" w:eastAsia="Arial" w:hAnsi="Arial"/>
                <w:sz w:val="19"/>
                <w:szCs w:val="19"/>
                <w:color w:val="auto"/>
              </w:rPr>
              <w:t>means service as an Employee or Director.</w:t>
            </w: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r>
      <w:tr>
        <w:trPr>
          <w:trHeight w:val="412"/>
        </w:trPr>
        <w:tc>
          <w:tcPr>
            <w:tcW w:w="800" w:type="dxa"/>
            <w:vAlign w:val="bottom"/>
          </w:tcPr>
          <w:p>
            <w:pPr>
              <w:jc w:val="right"/>
              <w:ind w:right="306"/>
              <w:spacing w:after="0"/>
              <w:rPr>
                <w:sz w:val="20"/>
                <w:szCs w:val="20"/>
                <w:color w:val="auto"/>
              </w:rPr>
            </w:pPr>
            <w:r>
              <w:rPr>
                <w:rFonts w:ascii="Arial" w:cs="Arial" w:eastAsia="Arial" w:hAnsi="Arial"/>
                <w:sz w:val="19"/>
                <w:szCs w:val="19"/>
                <w:b w:val="1"/>
                <w:bCs w:val="1"/>
                <w:color w:val="auto"/>
              </w:rPr>
              <w:t>2.31</w:t>
            </w:r>
          </w:p>
        </w:tc>
        <w:tc>
          <w:tcPr>
            <w:tcW w:w="580" w:type="dxa"/>
            <w:vAlign w:val="bottom"/>
          </w:tcPr>
          <w:p>
            <w:pPr>
              <w:spacing w:after="0"/>
              <w:rPr>
                <w:sz w:val="24"/>
                <w:szCs w:val="24"/>
                <w:color w:val="auto"/>
              </w:rPr>
            </w:pPr>
          </w:p>
        </w:tc>
        <w:tc>
          <w:tcPr>
            <w:tcW w:w="9860" w:type="dxa"/>
            <w:vAlign w:val="bottom"/>
            <w:gridSpan w:val="17"/>
          </w:tcPr>
          <w:p>
            <w:pPr>
              <w:ind w:left="280"/>
              <w:spacing w:after="0"/>
              <w:rPr>
                <w:sz w:val="20"/>
                <w:szCs w:val="20"/>
                <w:color w:val="auto"/>
              </w:rPr>
            </w:pPr>
            <w:r>
              <w:rPr>
                <w:rFonts w:ascii="Arial" w:cs="Arial" w:eastAsia="Arial" w:hAnsi="Arial"/>
                <w:sz w:val="19"/>
                <w:szCs w:val="19"/>
                <w:b w:val="1"/>
                <w:bCs w:val="1"/>
                <w:color w:val="auto"/>
                <w:w w:val="90"/>
              </w:rPr>
              <w:t xml:space="preserve">“Share” </w:t>
            </w:r>
            <w:r>
              <w:rPr>
                <w:rFonts w:ascii="Arial" w:cs="Arial" w:eastAsia="Arial" w:hAnsi="Arial"/>
                <w:sz w:val="19"/>
                <w:szCs w:val="19"/>
                <w:color w:val="auto"/>
                <w:w w:val="90"/>
              </w:rPr>
              <w:t>means a share of common stock of the Company, par value $0.01 per share, or such other class or kind of shares or</w:t>
            </w:r>
          </w:p>
        </w:tc>
      </w:tr>
      <w:tr>
        <w:trPr>
          <w:trHeight w:val="20"/>
        </w:trPr>
        <w:tc>
          <w:tcPr>
            <w:tcW w:w="8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440" w:type="dxa"/>
            <w:vAlign w:val="bottom"/>
            <w:gridSpan w:val="18"/>
          </w:tcPr>
          <w:p>
            <w:pPr>
              <w:ind w:left="60"/>
              <w:spacing w:after="0" w:line="196" w:lineRule="exact"/>
              <w:rPr>
                <w:sz w:val="20"/>
                <w:szCs w:val="20"/>
                <w:color w:val="auto"/>
              </w:rPr>
            </w:pPr>
            <w:r>
              <w:rPr>
                <w:rFonts w:ascii="Arial" w:cs="Arial" w:eastAsia="Arial" w:hAnsi="Arial"/>
                <w:sz w:val="19"/>
                <w:szCs w:val="19"/>
                <w:color w:val="auto"/>
              </w:rPr>
              <w:t>other securities resulting from the application of Article 14 hereof.</w:t>
            </w: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r>
      <w:tr>
        <w:trPr>
          <w:trHeight w:val="412"/>
        </w:trPr>
        <w:tc>
          <w:tcPr>
            <w:tcW w:w="800" w:type="dxa"/>
            <w:vAlign w:val="bottom"/>
          </w:tcPr>
          <w:p>
            <w:pPr>
              <w:jc w:val="right"/>
              <w:ind w:right="306"/>
              <w:spacing w:after="0"/>
              <w:rPr>
                <w:sz w:val="20"/>
                <w:szCs w:val="20"/>
                <w:color w:val="auto"/>
              </w:rPr>
            </w:pPr>
            <w:r>
              <w:rPr>
                <w:rFonts w:ascii="Arial" w:cs="Arial" w:eastAsia="Arial" w:hAnsi="Arial"/>
                <w:sz w:val="19"/>
                <w:szCs w:val="19"/>
                <w:b w:val="1"/>
                <w:bCs w:val="1"/>
                <w:color w:val="auto"/>
              </w:rPr>
              <w:t>2.32</w:t>
            </w:r>
          </w:p>
        </w:tc>
        <w:tc>
          <w:tcPr>
            <w:tcW w:w="580" w:type="dxa"/>
            <w:vAlign w:val="bottom"/>
          </w:tcPr>
          <w:p>
            <w:pPr>
              <w:spacing w:after="0"/>
              <w:rPr>
                <w:sz w:val="24"/>
                <w:szCs w:val="24"/>
                <w:color w:val="auto"/>
              </w:rPr>
            </w:pPr>
          </w:p>
        </w:tc>
        <w:tc>
          <w:tcPr>
            <w:tcW w:w="9860" w:type="dxa"/>
            <w:vAlign w:val="bottom"/>
            <w:gridSpan w:val="17"/>
          </w:tcPr>
          <w:p>
            <w:pPr>
              <w:ind w:left="280"/>
              <w:spacing w:after="0"/>
              <w:rPr>
                <w:sz w:val="20"/>
                <w:szCs w:val="20"/>
                <w:color w:val="auto"/>
              </w:rPr>
            </w:pPr>
            <w:r>
              <w:rPr>
                <w:rFonts w:ascii="Arial" w:cs="Arial" w:eastAsia="Arial" w:hAnsi="Arial"/>
                <w:sz w:val="19"/>
                <w:szCs w:val="19"/>
                <w:b w:val="1"/>
                <w:bCs w:val="1"/>
                <w:color w:val="auto"/>
              </w:rPr>
              <w:t xml:space="preserve">“Stock Appreciation Right” </w:t>
            </w:r>
            <w:r>
              <w:rPr>
                <w:rFonts w:ascii="Arial" w:cs="Arial" w:eastAsia="Arial" w:hAnsi="Arial"/>
                <w:sz w:val="19"/>
                <w:szCs w:val="19"/>
                <w:color w:val="auto"/>
              </w:rPr>
              <w:t>means any right granted under Article 7 of the Plan.</w:t>
            </w: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r>
      <w:tr>
        <w:trPr>
          <w:trHeight w:val="412"/>
        </w:trPr>
        <w:tc>
          <w:tcPr>
            <w:tcW w:w="800" w:type="dxa"/>
            <w:vAlign w:val="bottom"/>
          </w:tcPr>
          <w:p>
            <w:pPr>
              <w:jc w:val="right"/>
              <w:ind w:right="306"/>
              <w:spacing w:after="0"/>
              <w:rPr>
                <w:sz w:val="20"/>
                <w:szCs w:val="20"/>
                <w:color w:val="auto"/>
              </w:rPr>
            </w:pPr>
            <w:r>
              <w:rPr>
                <w:rFonts w:ascii="Arial" w:cs="Arial" w:eastAsia="Arial" w:hAnsi="Arial"/>
                <w:sz w:val="19"/>
                <w:szCs w:val="19"/>
                <w:b w:val="1"/>
                <w:bCs w:val="1"/>
                <w:color w:val="auto"/>
              </w:rPr>
              <w:t>2.33</w:t>
            </w:r>
          </w:p>
        </w:tc>
        <w:tc>
          <w:tcPr>
            <w:tcW w:w="580" w:type="dxa"/>
            <w:vAlign w:val="bottom"/>
          </w:tcPr>
          <w:p>
            <w:pPr>
              <w:spacing w:after="0"/>
              <w:rPr>
                <w:sz w:val="24"/>
                <w:szCs w:val="24"/>
                <w:color w:val="auto"/>
              </w:rPr>
            </w:pPr>
          </w:p>
        </w:tc>
        <w:tc>
          <w:tcPr>
            <w:tcW w:w="9860" w:type="dxa"/>
            <w:vAlign w:val="bottom"/>
            <w:gridSpan w:val="17"/>
          </w:tcPr>
          <w:p>
            <w:pPr>
              <w:ind w:left="280"/>
              <w:spacing w:after="0"/>
              <w:rPr>
                <w:sz w:val="20"/>
                <w:szCs w:val="20"/>
                <w:color w:val="auto"/>
              </w:rPr>
            </w:pPr>
            <w:r>
              <w:rPr>
                <w:rFonts w:ascii="Arial" w:cs="Arial" w:eastAsia="Arial" w:hAnsi="Arial"/>
                <w:sz w:val="19"/>
                <w:szCs w:val="19"/>
                <w:b w:val="1"/>
                <w:bCs w:val="1"/>
                <w:color w:val="auto"/>
                <w:w w:val="96"/>
              </w:rPr>
              <w:t xml:space="preserve">“Subsidiary” </w:t>
            </w:r>
            <w:r>
              <w:rPr>
                <w:rFonts w:ascii="Arial" w:cs="Arial" w:eastAsia="Arial" w:hAnsi="Arial"/>
                <w:sz w:val="19"/>
                <w:szCs w:val="19"/>
                <w:color w:val="auto"/>
                <w:w w:val="96"/>
              </w:rPr>
              <w:t>means any corporation, partnership, limited liability company or other legal entity of which the Company,</w:t>
            </w:r>
          </w:p>
        </w:tc>
      </w:tr>
      <w:tr>
        <w:trPr>
          <w:trHeight w:val="20"/>
        </w:trPr>
        <w:tc>
          <w:tcPr>
            <w:tcW w:w="8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r>
      <w:tr>
        <w:trPr>
          <w:trHeight w:val="214"/>
        </w:trPr>
        <w:tc>
          <w:tcPr>
            <w:tcW w:w="800" w:type="dxa"/>
            <w:vAlign w:val="bottom"/>
          </w:tcPr>
          <w:p>
            <w:pPr>
              <w:spacing w:after="0"/>
              <w:rPr>
                <w:sz w:val="18"/>
                <w:szCs w:val="18"/>
                <w:color w:val="auto"/>
              </w:rPr>
            </w:pPr>
          </w:p>
        </w:tc>
        <w:tc>
          <w:tcPr>
            <w:tcW w:w="10440" w:type="dxa"/>
            <w:vAlign w:val="bottom"/>
            <w:gridSpan w:val="18"/>
          </w:tcPr>
          <w:p>
            <w:pPr>
              <w:ind w:left="60"/>
              <w:spacing w:after="0" w:line="214" w:lineRule="exact"/>
              <w:rPr>
                <w:sz w:val="20"/>
                <w:szCs w:val="20"/>
                <w:color w:val="auto"/>
              </w:rPr>
            </w:pPr>
            <w:r>
              <w:rPr>
                <w:rFonts w:ascii="Arial" w:cs="Arial" w:eastAsia="Arial" w:hAnsi="Arial"/>
                <w:sz w:val="19"/>
                <w:szCs w:val="19"/>
                <w:color w:val="auto"/>
                <w:w w:val="92"/>
              </w:rPr>
              <w:t>directly or indirectly, owns stock or other equity interests possessing 50% or more of the total combined voting power of all classes of</w:t>
            </w:r>
          </w:p>
        </w:tc>
      </w:tr>
      <w:tr>
        <w:trPr>
          <w:trHeight w:val="240"/>
        </w:trPr>
        <w:tc>
          <w:tcPr>
            <w:tcW w:w="800" w:type="dxa"/>
            <w:vAlign w:val="bottom"/>
          </w:tcPr>
          <w:p>
            <w:pPr>
              <w:spacing w:after="0"/>
              <w:rPr>
                <w:sz w:val="20"/>
                <w:szCs w:val="20"/>
                <w:color w:val="auto"/>
              </w:rPr>
            </w:pPr>
          </w:p>
        </w:tc>
        <w:tc>
          <w:tcPr>
            <w:tcW w:w="10440" w:type="dxa"/>
            <w:vAlign w:val="bottom"/>
            <w:gridSpan w:val="18"/>
          </w:tcPr>
          <w:p>
            <w:pPr>
              <w:ind w:left="60"/>
              <w:spacing w:after="0"/>
              <w:rPr>
                <w:sz w:val="20"/>
                <w:szCs w:val="20"/>
                <w:color w:val="auto"/>
              </w:rPr>
            </w:pPr>
            <w:r>
              <w:rPr>
                <w:rFonts w:ascii="Arial" w:cs="Arial" w:eastAsia="Arial" w:hAnsi="Arial"/>
                <w:sz w:val="19"/>
                <w:szCs w:val="19"/>
                <w:color w:val="auto"/>
              </w:rPr>
              <w:t>stock or other equity interests (as determined in a manner consistent with Section 409A).</w:t>
            </w:r>
          </w:p>
        </w:tc>
      </w:tr>
      <w:tr>
        <w:trPr>
          <w:trHeight w:val="432"/>
        </w:trPr>
        <w:tc>
          <w:tcPr>
            <w:tcW w:w="800" w:type="dxa"/>
            <w:vAlign w:val="bottom"/>
          </w:tcPr>
          <w:p>
            <w:pPr>
              <w:jc w:val="right"/>
              <w:spacing w:after="0"/>
              <w:rPr>
                <w:sz w:val="20"/>
                <w:szCs w:val="20"/>
                <w:color w:val="auto"/>
              </w:rPr>
            </w:pPr>
            <w:r>
              <w:rPr>
                <w:rFonts w:ascii="Arial" w:cs="Arial" w:eastAsia="Arial" w:hAnsi="Arial"/>
                <w:sz w:val="19"/>
                <w:szCs w:val="19"/>
                <w:b w:val="1"/>
                <w:bCs w:val="1"/>
                <w:color w:val="010000"/>
                <w:w w:val="92"/>
              </w:rPr>
              <w:t>Article 3.</w:t>
            </w:r>
          </w:p>
        </w:tc>
        <w:tc>
          <w:tcPr>
            <w:tcW w:w="10440" w:type="dxa"/>
            <w:vAlign w:val="bottom"/>
            <w:gridSpan w:val="18"/>
          </w:tcPr>
          <w:p>
            <w:pPr>
              <w:ind w:left="60"/>
              <w:spacing w:after="0"/>
              <w:rPr>
                <w:sz w:val="20"/>
                <w:szCs w:val="20"/>
                <w:color w:val="auto"/>
              </w:rPr>
            </w:pPr>
            <w:r>
              <w:rPr>
                <w:rFonts w:ascii="Arial" w:cs="Arial" w:eastAsia="Arial" w:hAnsi="Arial"/>
                <w:sz w:val="19"/>
                <w:szCs w:val="19"/>
                <w:b w:val="1"/>
                <w:bCs w:val="1"/>
                <w:color w:val="auto"/>
              </w:rPr>
              <w:t>Administration</w:t>
            </w:r>
          </w:p>
        </w:tc>
      </w:tr>
      <w:tr>
        <w:trPr>
          <w:trHeight w:val="432"/>
        </w:trPr>
        <w:tc>
          <w:tcPr>
            <w:tcW w:w="80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9"/>
                <w:szCs w:val="19"/>
                <w:b w:val="1"/>
                <w:bCs w:val="1"/>
                <w:color w:val="010000"/>
              </w:rPr>
              <w:t>3.1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00" w:type="dxa"/>
            <w:vAlign w:val="bottom"/>
            <w:gridSpan w:val="13"/>
          </w:tcPr>
          <w:p>
            <w:pPr>
              <w:ind w:left="60"/>
              <w:spacing w:after="0"/>
              <w:rPr>
                <w:sz w:val="20"/>
                <w:szCs w:val="20"/>
                <w:color w:val="auto"/>
              </w:rPr>
            </w:pPr>
            <w:r>
              <w:rPr>
                <w:rFonts w:ascii="Arial" w:cs="Arial" w:eastAsia="Arial" w:hAnsi="Arial"/>
                <w:sz w:val="19"/>
                <w:szCs w:val="19"/>
                <w:b w:val="1"/>
                <w:bCs w:val="1"/>
                <w:color w:val="auto"/>
              </w:rPr>
              <w:t>Authority of the Committee</w:t>
            </w:r>
          </w:p>
        </w:tc>
      </w:tr>
    </w:tbl>
    <w:p>
      <w:pPr>
        <w:spacing w:after="0" w:line="192" w:lineRule="exact"/>
        <w:rPr>
          <w:sz w:val="20"/>
          <w:szCs w:val="20"/>
          <w:color w:val="auto"/>
        </w:rPr>
      </w:pPr>
    </w:p>
    <w:p>
      <w:pPr>
        <w:jc w:val="both"/>
        <w:ind w:firstLine="872"/>
        <w:spacing w:after="0" w:line="254" w:lineRule="auto"/>
        <w:tabs>
          <w:tab w:leader="none" w:pos="9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Plan shall be administered by the Committee, which shall have full power to interpret and administer the Plan and Award Agreements and full authority to select the Employees and Directors to whom Awards will be granted, and to determine the type and amount of Awards to be granted to each such Employee or Director, and the terms and conditions of Awards and Award Agreements. Without limiting the generality of the foregoing, the Committee may, in its sole discretion but subject to the limitations in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14</w:t>
      </w:r>
      <w:r>
        <w:rPr>
          <w:rFonts w:ascii="Arial" w:cs="Arial" w:eastAsia="Arial" w:hAnsi="Arial"/>
          <w:sz w:val="18"/>
          <w:szCs w:val="18"/>
          <w:color w:val="auto"/>
        </w:rPr>
        <w:t>, clarify, construe or resolve any ambiguity in any provision of the Plan or any Award Agreement, extend the term or period of exercisability of any Awards, or waive any terms or conditions applicable to any Award. Awards may, in the discretion of the Committee, be made under the Plan in assumption of, or in substitution for, outstanding awards previously granted by the Company or any of its Subsidiaries or Affiliates or a company acquired by the Company or with which the Company combines. The Committee shall have full and exclusive discretionary power to adopt rules, forms, instruments, and guidelines for administering the Plan as the Committee deems necessary or proper. All actions taken and all interpretations and determinations made by the Committee or by the Board (or any other committee or sub-committee thereof), as applicable, shall be final and binding upon the Participants, the Company, and all other interested individuals.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57" w:name="page58"/>
    <w:bookmarkEnd w:id="57"/>
    <w:p>
      <w:pPr>
        <w:ind w:left="880"/>
        <w:spacing w:after="0"/>
        <w:tabs>
          <w:tab w:leader="none" w:pos="2380" w:val="left"/>
        </w:tabs>
        <w:rPr>
          <w:sz w:val="20"/>
          <w:szCs w:val="20"/>
          <w:color w:val="auto"/>
        </w:rPr>
      </w:pPr>
      <w:r>
        <w:rPr>
          <w:rFonts w:ascii="Arial" w:cs="Arial" w:eastAsia="Arial" w:hAnsi="Arial"/>
          <w:sz w:val="19"/>
          <w:szCs w:val="19"/>
          <w:b w:val="1"/>
          <w:bCs w:val="1"/>
          <w:color w:val="010000"/>
        </w:rPr>
        <w:t>3.2</w:t>
      </w:r>
      <w:r>
        <w:rPr>
          <w:sz w:val="20"/>
          <w:szCs w:val="20"/>
          <w:color w:val="auto"/>
        </w:rPr>
        <w:tab/>
      </w:r>
      <w:r>
        <w:rPr>
          <w:rFonts w:ascii="Arial" w:cs="Arial" w:eastAsia="Arial" w:hAnsi="Arial"/>
          <w:sz w:val="16"/>
          <w:szCs w:val="16"/>
          <w:b w:val="1"/>
          <w:bCs w:val="1"/>
          <w:color w:val="auto"/>
        </w:rPr>
        <w:t>Delegation</w:t>
      </w:r>
    </w:p>
    <w:p>
      <w:pPr>
        <w:spacing w:after="0" w:line="220" w:lineRule="exact"/>
        <w:rPr>
          <w:sz w:val="20"/>
          <w:szCs w:val="20"/>
          <w:color w:val="auto"/>
        </w:rPr>
      </w:pPr>
    </w:p>
    <w:p>
      <w:pPr>
        <w:jc w:val="both"/>
        <w:ind w:firstLine="872"/>
        <w:spacing w:after="0" w:line="258" w:lineRule="auto"/>
        <w:tabs>
          <w:tab w:leader="none" w:pos="9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Committee may delegate to one or more of its members or one or more executive officers of the Company such duties or powers as it may deem advisable;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delegation shall be permitted under the Plan that is prohibited by applicable law or applicable rules and regulations of the New York Stock Exchange;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delegation shall permit an executive officer of the Company to grant, amend, cancel or suspend Awards granted to a Director or an executive officer of the Company. Notwithstanding anything to the contrary contained herein, the Board may, in its sole discretion, at any time and from time to time, grant Awards or administer the Plan. In any such case, the Board will have all of the authority and responsibility granted to the Committee herein.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010000"/>
        </w:rPr>
        <w:t xml:space="preserve">Article 4. </w:t>
      </w:r>
      <w:r>
        <w:rPr>
          <w:rFonts w:ascii="Arial" w:cs="Arial" w:eastAsia="Arial" w:hAnsi="Arial"/>
          <w:sz w:val="19"/>
          <w:szCs w:val="19"/>
          <w:b w:val="1"/>
          <w:bCs w:val="1"/>
          <w:color w:val="000000"/>
        </w:rPr>
        <w:t>Eligibility and Participation</w:t>
      </w:r>
    </w:p>
    <w:p>
      <w:pPr>
        <w:spacing w:after="0" w:line="214"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4.1</w:t>
      </w:r>
      <w:r>
        <w:rPr>
          <w:sz w:val="20"/>
          <w:szCs w:val="20"/>
          <w:color w:val="auto"/>
        </w:rPr>
        <w:tab/>
      </w:r>
      <w:r>
        <w:rPr>
          <w:rFonts w:ascii="Arial" w:cs="Arial" w:eastAsia="Arial" w:hAnsi="Arial"/>
          <w:sz w:val="17"/>
          <w:szCs w:val="17"/>
          <w:b w:val="1"/>
          <w:bCs w:val="1"/>
          <w:color w:val="auto"/>
        </w:rPr>
        <w:t>Eligibility</w:t>
      </w:r>
    </w:p>
    <w:p>
      <w:pPr>
        <w:spacing w:after="0" w:line="220" w:lineRule="exact"/>
        <w:rPr>
          <w:sz w:val="20"/>
          <w:szCs w:val="20"/>
          <w:color w:val="auto"/>
        </w:rPr>
      </w:pPr>
    </w:p>
    <w:p>
      <w:pPr>
        <w:jc w:val="both"/>
        <w:ind w:firstLine="872"/>
        <w:spacing w:after="0" w:line="245" w:lineRule="auto"/>
        <w:tabs>
          <w:tab w:leader="none" w:pos="963" w:val="left"/>
        </w:tabs>
        <w:numPr>
          <w:ilvl w:val="0"/>
          <w:numId w:val="42"/>
        </w:numPr>
        <w:rPr>
          <w:rFonts w:ascii="Arial" w:cs="Arial" w:eastAsia="Arial" w:hAnsi="Arial"/>
          <w:sz w:val="19"/>
          <w:szCs w:val="19"/>
          <w:color w:val="auto"/>
        </w:rPr>
      </w:pPr>
      <w:r>
        <w:rPr>
          <w:rFonts w:ascii="Arial" w:cs="Arial" w:eastAsia="Arial" w:hAnsi="Arial"/>
          <w:sz w:val="19"/>
          <w:szCs w:val="19"/>
          <w:color w:val="auto"/>
        </w:rPr>
        <w:t>Participants will consist of such Employees and Directors as the Committee in its sole discretion determines and whom the Committee may designate from time to time to receive Awards. Designation of a Participant in any year shall not require the Committee to designate such person to receive an Award in any other year or, once designated, to receive the same type or amount of Award as granted to the Participant in any other year.</w:t>
      </w:r>
    </w:p>
    <w:p>
      <w:pPr>
        <w:spacing w:after="0" w:line="182"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4.2</w:t>
      </w:r>
      <w:r>
        <w:rPr>
          <w:sz w:val="20"/>
          <w:szCs w:val="20"/>
          <w:color w:val="auto"/>
        </w:rPr>
        <w:tab/>
      </w:r>
      <w:r>
        <w:rPr>
          <w:rFonts w:ascii="Arial" w:cs="Arial" w:eastAsia="Arial" w:hAnsi="Arial"/>
          <w:sz w:val="16"/>
          <w:szCs w:val="16"/>
          <w:b w:val="1"/>
          <w:bCs w:val="1"/>
          <w:color w:val="auto"/>
        </w:rPr>
        <w:t>Type of Awards</w:t>
      </w:r>
    </w:p>
    <w:p>
      <w:pPr>
        <w:spacing w:after="0" w:line="220" w:lineRule="exact"/>
        <w:rPr>
          <w:sz w:val="20"/>
          <w:szCs w:val="20"/>
          <w:color w:val="auto"/>
        </w:rPr>
      </w:pPr>
    </w:p>
    <w:p>
      <w:pPr>
        <w:ind w:left="960" w:hanging="88"/>
        <w:spacing w:after="0"/>
        <w:tabs>
          <w:tab w:leader="none" w:pos="9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Awards under the Plan may be cash-based or stock-based. Stock-based Awards may be in the form of any of the following: (i) Options,</w:t>
      </w:r>
    </w:p>
    <w:p>
      <w:pPr>
        <w:spacing w:after="0" w:line="36" w:lineRule="exact"/>
        <w:rPr>
          <w:rFonts w:ascii="Arial" w:cs="Arial" w:eastAsia="Arial" w:hAnsi="Arial"/>
          <w:sz w:val="17"/>
          <w:szCs w:val="17"/>
          <w:color w:val="auto"/>
        </w:rPr>
      </w:pPr>
    </w:p>
    <w:p>
      <w:pPr>
        <w:jc w:val="both"/>
        <w:ind w:firstLine="8"/>
        <w:spacing w:after="0" w:line="238" w:lineRule="auto"/>
        <w:tabs>
          <w:tab w:leader="none" w:pos="297"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Stock Appreciation Rights, (iii) Restricted Stock Awards, (iv) Restricted Stock Units, (v) Dividend Equivalent Rights, and (vi) Other Stock-Based Awards. Cash-based Awards may be in the form of cash awards (including, without limitation, retainers and meeting-based fees) that the Committee determines to be consistent with the purposes of the Plan and the interests of the Company. Awards granted under the Plan shall be evidenced by Award Agreements (which need not be identical) that provide additional terms and conditions associated with such Awards, as determined by the Committee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any conflict between the provisions of the Plan and any such Award Agreement, the provisions of the Plan shall prevail.</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010000"/>
        </w:rPr>
        <w:t xml:space="preserve">Article 5. </w:t>
      </w:r>
      <w:r>
        <w:rPr>
          <w:rFonts w:ascii="Arial" w:cs="Arial" w:eastAsia="Arial" w:hAnsi="Arial"/>
          <w:sz w:val="19"/>
          <w:szCs w:val="19"/>
          <w:b w:val="1"/>
          <w:bCs w:val="1"/>
          <w:color w:val="000000"/>
        </w:rPr>
        <w:t>Shares Subject to the Plan and Maximum Awards</w:t>
      </w:r>
    </w:p>
    <w:p>
      <w:pPr>
        <w:spacing w:after="0" w:line="214"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5.1</w:t>
      </w:r>
      <w:r>
        <w:rPr>
          <w:sz w:val="20"/>
          <w:szCs w:val="20"/>
          <w:color w:val="auto"/>
        </w:rPr>
        <w:tab/>
      </w:r>
      <w:r>
        <w:rPr>
          <w:rFonts w:ascii="Arial" w:cs="Arial" w:eastAsia="Arial" w:hAnsi="Arial"/>
          <w:sz w:val="17"/>
          <w:szCs w:val="17"/>
          <w:b w:val="1"/>
          <w:bCs w:val="1"/>
          <w:color w:val="auto"/>
        </w:rPr>
        <w:t>General</w:t>
      </w:r>
    </w:p>
    <w:p>
      <w:pPr>
        <w:spacing w:after="0" w:line="220" w:lineRule="exact"/>
        <w:rPr>
          <w:sz w:val="20"/>
          <w:szCs w:val="20"/>
          <w:color w:val="auto"/>
        </w:rPr>
      </w:pPr>
    </w:p>
    <w:p>
      <w:pPr>
        <w:jc w:val="both"/>
        <w:ind w:firstLine="872"/>
        <w:spacing w:after="0" w:line="241" w:lineRule="auto"/>
        <w:tabs>
          <w:tab w:leader="none" w:pos="966"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Subject to adjustment as provided in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hereof, the maximum number of Shares available for grant to Participants pursuant to Awards under the Plan shall be equal to 8,000,000. The number of Shares available for granting Incentive Stock Options under the Plan shall not exceed 2,000,000, subject to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hereof and the provisions of Sections 422 or 424 of the Code and any successor provisions. The Shares available for issuance under the Plan may consist, in whole or in part, of authorized and unissued Shares or treasury Shares. Shares issued in connection with awards that are assumed, converted or substituted as a result of the Company’s acquisition of another company (including by way of merger, combination or similar transaction) (“</w:t>
      </w:r>
      <w:r>
        <w:rPr>
          <w:rFonts w:ascii="Arial" w:cs="Arial" w:eastAsia="Arial" w:hAnsi="Arial"/>
          <w:sz w:val="19"/>
          <w:szCs w:val="19"/>
          <w:b w:val="1"/>
          <w:bCs w:val="1"/>
          <w:u w:val="single" w:color="auto"/>
          <w:color w:val="auto"/>
        </w:rPr>
        <w:t>Acquisition Awards</w:t>
      </w:r>
      <w:r>
        <w:rPr>
          <w:rFonts w:ascii="Arial" w:cs="Arial" w:eastAsia="Arial" w:hAnsi="Arial"/>
          <w:sz w:val="19"/>
          <w:szCs w:val="19"/>
          <w:color w:val="auto"/>
        </w:rPr>
        <w:t>”) will not count against the number of Shares that may be granted under the Plan.</w:t>
      </w:r>
    </w:p>
    <w:p>
      <w:pPr>
        <w:spacing w:after="0" w:line="186"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5.2</w:t>
      </w:r>
      <w:r>
        <w:rPr>
          <w:sz w:val="20"/>
          <w:szCs w:val="20"/>
          <w:color w:val="auto"/>
        </w:rPr>
        <w:tab/>
      </w:r>
      <w:r>
        <w:rPr>
          <w:rFonts w:ascii="Arial" w:cs="Arial" w:eastAsia="Arial" w:hAnsi="Arial"/>
          <w:sz w:val="17"/>
          <w:szCs w:val="17"/>
          <w:b w:val="1"/>
          <w:bCs w:val="1"/>
          <w:color w:val="auto"/>
        </w:rPr>
        <w:t>Share Counting</w:t>
      </w:r>
      <w:r>
        <w:rPr>
          <w:rFonts w:ascii="Arial" w:cs="Arial" w:eastAsia="Arial" w:hAnsi="Arial"/>
          <w:sz w:val="17"/>
          <w:szCs w:val="17"/>
          <w:color w:val="auto"/>
        </w:rPr>
        <w:t>. The number of shares of Common Stock granted under the Plan per year will be determined as</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9"/>
          <w:szCs w:val="19"/>
          <w:color w:val="auto"/>
        </w:rPr>
        <w:t>follows: (i) each Restricted Stock Award, Restricted Stock Unit and similar Award will count as one share of Common Stock and (ii) each Option, Stock Appreciation Right and similar Award will count as a fraction of a share of Common Stock, based on the financial value of each such Award relative to a share of Common Stock, as determined by the Committee promptly after the Effective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2"/>
        </w:trPr>
        <w:tc>
          <w:tcPr>
            <w:tcW w:w="1760" w:type="dxa"/>
            <w:vAlign w:val="bottom"/>
          </w:tcPr>
          <w:p>
            <w:pPr>
              <w:jc w:val="right"/>
              <w:ind w:right="566"/>
              <w:spacing w:after="0"/>
              <w:rPr>
                <w:sz w:val="20"/>
                <w:szCs w:val="20"/>
                <w:color w:val="auto"/>
              </w:rPr>
            </w:pPr>
            <w:r>
              <w:rPr>
                <w:rFonts w:ascii="Arial" w:cs="Arial" w:eastAsia="Arial" w:hAnsi="Arial"/>
                <w:sz w:val="19"/>
                <w:szCs w:val="19"/>
                <w:b w:val="1"/>
                <w:bCs w:val="1"/>
                <w:color w:val="010000"/>
              </w:rPr>
              <w:t>5.3</w:t>
            </w:r>
          </w:p>
        </w:tc>
        <w:tc>
          <w:tcPr>
            <w:tcW w:w="9480" w:type="dxa"/>
            <w:vAlign w:val="bottom"/>
          </w:tcPr>
          <w:p>
            <w:pPr>
              <w:ind w:left="640"/>
              <w:spacing w:after="0"/>
              <w:rPr>
                <w:sz w:val="20"/>
                <w:szCs w:val="20"/>
                <w:color w:val="auto"/>
              </w:rPr>
            </w:pPr>
            <w:r>
              <w:rPr>
                <w:rFonts w:ascii="Arial" w:cs="Arial" w:eastAsia="Arial" w:hAnsi="Arial"/>
                <w:sz w:val="19"/>
                <w:szCs w:val="19"/>
                <w:b w:val="1"/>
                <w:bCs w:val="1"/>
                <w:color w:val="auto"/>
                <w:w w:val="90"/>
              </w:rPr>
              <w:t>Director Awards</w:t>
            </w:r>
            <w:r>
              <w:rPr>
                <w:rFonts w:ascii="Arial" w:cs="Arial" w:eastAsia="Arial" w:hAnsi="Arial"/>
                <w:sz w:val="19"/>
                <w:szCs w:val="19"/>
                <w:color w:val="auto"/>
                <w:w w:val="90"/>
              </w:rPr>
              <w:t>. Aggregate Awards to any one Director in respect of a calendar year may not exceed a number of</w:t>
            </w:r>
          </w:p>
        </w:tc>
      </w:tr>
      <w:tr>
        <w:trPr>
          <w:trHeight w:val="240"/>
        </w:trPr>
        <w:tc>
          <w:tcPr>
            <w:tcW w:w="11240" w:type="dxa"/>
            <w:vAlign w:val="bottom"/>
            <w:gridSpan w:val="2"/>
          </w:tcPr>
          <w:p>
            <w:pPr>
              <w:spacing w:after="0"/>
              <w:rPr>
                <w:sz w:val="20"/>
                <w:szCs w:val="20"/>
                <w:color w:val="auto"/>
              </w:rPr>
            </w:pPr>
            <w:r>
              <w:rPr>
                <w:rFonts w:ascii="Arial" w:cs="Arial" w:eastAsia="Arial" w:hAnsi="Arial"/>
                <w:sz w:val="19"/>
                <w:szCs w:val="19"/>
                <w:color w:val="auto"/>
                <w:w w:val="96"/>
              </w:rPr>
              <w:t>Awards with a grant date fair value of $450,000 (computed as of the date of grant in accordance with applicable financial accounting rules).</w:t>
            </w:r>
          </w:p>
        </w:tc>
      </w:tr>
      <w:tr>
        <w:trPr>
          <w:trHeight w:val="432"/>
        </w:trPr>
        <w:tc>
          <w:tcPr>
            <w:tcW w:w="1760" w:type="dxa"/>
            <w:vAlign w:val="bottom"/>
          </w:tcPr>
          <w:p>
            <w:pPr>
              <w:jc w:val="right"/>
              <w:ind w:right="566"/>
              <w:spacing w:after="0"/>
              <w:rPr>
                <w:sz w:val="20"/>
                <w:szCs w:val="20"/>
                <w:color w:val="auto"/>
              </w:rPr>
            </w:pPr>
            <w:r>
              <w:rPr>
                <w:rFonts w:ascii="Arial" w:cs="Arial" w:eastAsia="Arial" w:hAnsi="Arial"/>
                <w:sz w:val="19"/>
                <w:szCs w:val="19"/>
                <w:b w:val="1"/>
                <w:bCs w:val="1"/>
                <w:color w:val="010000"/>
              </w:rPr>
              <w:t>5.4</w:t>
            </w:r>
          </w:p>
        </w:tc>
        <w:tc>
          <w:tcPr>
            <w:tcW w:w="9480" w:type="dxa"/>
            <w:vAlign w:val="bottom"/>
          </w:tcPr>
          <w:p>
            <w:pPr>
              <w:ind w:left="640"/>
              <w:spacing w:after="0"/>
              <w:rPr>
                <w:sz w:val="20"/>
                <w:szCs w:val="20"/>
                <w:color w:val="auto"/>
              </w:rPr>
            </w:pPr>
            <w:r>
              <w:rPr>
                <w:rFonts w:ascii="Arial" w:cs="Arial" w:eastAsia="Arial" w:hAnsi="Arial"/>
                <w:sz w:val="19"/>
                <w:szCs w:val="19"/>
                <w:b w:val="1"/>
                <w:bCs w:val="1"/>
                <w:color w:val="auto"/>
              </w:rPr>
              <w:t>Additional Shares</w:t>
            </w:r>
          </w:p>
        </w:tc>
      </w:tr>
    </w:tbl>
    <w:p>
      <w:pPr>
        <w:spacing w:after="0" w:line="192" w:lineRule="exact"/>
        <w:rPr>
          <w:sz w:val="20"/>
          <w:szCs w:val="20"/>
          <w:color w:val="auto"/>
        </w:rPr>
      </w:pPr>
    </w:p>
    <w:p>
      <w:pPr>
        <w:jc w:val="both"/>
        <w:ind w:firstLine="872"/>
        <w:spacing w:after="0" w:line="255"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In the event that any outstanding Award expires, is forfeited, cancelled or otherwise terminated without the issuance of Shares or is otherwise settled for cash, the Shares subject to such Award (counted in accordance with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Plan), to the extent of any such forfeiture, cancellation, expiration, termination or settlement for cash, shall again be available for Awards. Additionally, any shares delivered to the Company or withheld by the Company in payment or satisfaction of the tax withholding obligation of an Award (other than an Option or Stock Appreciation Right) shall again be available for Awards. If the Committee authorizes the assumption under this Plan, in connection with the acquisition of another company (whether by way of merger, consolidation, acquisition of all or substantially all of the assets, acquisition of stock, or reorganization), of awards granted under a plan maintained by such company prior to the acquisition of such company, such assumption shall not reduce the maximum number of Shares available for issuance under this Plan.</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010000"/>
        </w:rPr>
        <w:t xml:space="preserve">Article 6. </w:t>
      </w:r>
      <w:r>
        <w:rPr>
          <w:rFonts w:ascii="Arial" w:cs="Arial" w:eastAsia="Arial" w:hAnsi="Arial"/>
          <w:sz w:val="19"/>
          <w:szCs w:val="19"/>
          <w:b w:val="1"/>
          <w:bCs w:val="1"/>
          <w:color w:val="000000"/>
        </w:rPr>
        <w:t>Stock Options</w:t>
      </w:r>
    </w:p>
    <w:p>
      <w:pPr>
        <w:spacing w:after="0" w:line="214"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6.1</w:t>
      </w:r>
      <w:r>
        <w:rPr>
          <w:sz w:val="20"/>
          <w:szCs w:val="20"/>
          <w:color w:val="auto"/>
        </w:rPr>
        <w:tab/>
      </w:r>
      <w:r>
        <w:rPr>
          <w:rFonts w:ascii="Arial" w:cs="Arial" w:eastAsia="Arial" w:hAnsi="Arial"/>
          <w:sz w:val="17"/>
          <w:szCs w:val="17"/>
          <w:b w:val="1"/>
          <w:bCs w:val="1"/>
          <w:color w:val="auto"/>
        </w:rPr>
        <w:t>Grant of Options</w:t>
      </w:r>
    </w:p>
    <w:p>
      <w:pPr>
        <w:spacing w:after="0" w:line="220" w:lineRule="exact"/>
        <w:rPr>
          <w:sz w:val="20"/>
          <w:szCs w:val="20"/>
          <w:color w:val="auto"/>
        </w:rPr>
      </w:pPr>
    </w:p>
    <w:p>
      <w:pPr>
        <w:jc w:val="both"/>
        <w:ind w:firstLine="872"/>
        <w:spacing w:after="0" w:line="254" w:lineRule="auto"/>
        <w:tabs>
          <w:tab w:leader="none" w:pos="983"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Committee is hereby authorized to grant Options to Participants. Each Option shall permit a Participant to purchase from the Company a stated number of Shares at an Option Price established by the Committee, subject to the terms and conditions described in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to such additional terms and conditions as established by the Committee, in its sole discretion, that are consistent with the provisions of the Plan. Options shall be designated as either Incentive Stock Options or Nonqualified Stock Options;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Options granted to Directors shall only be Nonqualified Stock Options. An Option granted as an Incentive Stock Option shall, to the extent it fails to qualify as an Incentive Stock Option, be treated as a Nonqualified Stock Option. Neither the Committee, the Company, any of its Subsidiaries or Affiliates, nor any of their employees and representatives shall be liable to any Participant or to any other Person if it is determined that an Option intended to be an Incentive Stock Option does not qualify as an Incentive Stock Option. Each Option shall be evidenced by an Award Agreement which shall state the number of Shares covered by such Option. Such agreements shall conform to the requirements of the Plan and may contain such other provisions, as the Committee shall deem advisable.</w:t>
      </w:r>
    </w:p>
    <w:p>
      <w:pPr>
        <w:spacing w:after="0" w:line="179"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6.2</w:t>
      </w:r>
      <w:r>
        <w:rPr>
          <w:sz w:val="20"/>
          <w:szCs w:val="20"/>
          <w:color w:val="auto"/>
        </w:rPr>
        <w:tab/>
      </w:r>
      <w:r>
        <w:rPr>
          <w:rFonts w:ascii="Arial" w:cs="Arial" w:eastAsia="Arial" w:hAnsi="Arial"/>
          <w:sz w:val="17"/>
          <w:szCs w:val="17"/>
          <w:b w:val="1"/>
          <w:bCs w:val="1"/>
          <w:color w:val="auto"/>
        </w:rPr>
        <w:t>Terms of Option Grant</w:t>
      </w:r>
    </w:p>
    <w:p>
      <w:pPr>
        <w:spacing w:after="0" w:line="220" w:lineRule="exact"/>
        <w:rPr>
          <w:sz w:val="20"/>
          <w:szCs w:val="20"/>
          <w:color w:val="auto"/>
        </w:rPr>
      </w:pPr>
    </w:p>
    <w:p>
      <w:pPr>
        <w:ind w:firstLine="872"/>
        <w:spacing w:after="0" w:line="261" w:lineRule="auto"/>
        <w:tabs>
          <w:tab w:leader="none" w:pos="964"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The Option Price shall be determined by the Committee at the time of grant, but, except as otherwise permitted by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or in the case of an Acquisition Award, shall not be less than 100% of the Fair Market Value of a Share on the date of grant.</w:t>
      </w:r>
    </w:p>
    <w:p>
      <w:pPr>
        <w:spacing w:after="0" w:line="167"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6.3</w:t>
      </w:r>
      <w:r>
        <w:rPr>
          <w:sz w:val="20"/>
          <w:szCs w:val="20"/>
          <w:color w:val="auto"/>
        </w:rPr>
        <w:tab/>
      </w:r>
      <w:r>
        <w:rPr>
          <w:rFonts w:ascii="Arial" w:cs="Arial" w:eastAsia="Arial" w:hAnsi="Arial"/>
          <w:sz w:val="17"/>
          <w:szCs w:val="17"/>
          <w:b w:val="1"/>
          <w:bCs w:val="1"/>
          <w:color w:val="auto"/>
        </w:rPr>
        <w:t>Option Term</w:t>
      </w:r>
    </w:p>
    <w:p>
      <w:pPr>
        <w:spacing w:after="0" w:line="220" w:lineRule="exact"/>
        <w:rPr>
          <w:sz w:val="20"/>
          <w:szCs w:val="20"/>
          <w:color w:val="auto"/>
        </w:rPr>
      </w:pPr>
    </w:p>
    <w:p>
      <w:pPr>
        <w:ind w:firstLine="872"/>
        <w:spacing w:after="0" w:line="261" w:lineRule="auto"/>
        <w:tabs>
          <w:tab w:leader="none" w:pos="963"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term of each Option shall be determined by the Committee at the time of grant and shall be stated in the Award Agreement, but in no event shall such term be greater than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9" w:name="page60"/>
    <w:bookmarkEnd w:id="59"/>
    <w:p>
      <w:pPr>
        <w:ind w:left="880"/>
        <w:spacing w:after="0"/>
        <w:tabs>
          <w:tab w:leader="none" w:pos="2380" w:val="left"/>
        </w:tabs>
        <w:rPr>
          <w:sz w:val="20"/>
          <w:szCs w:val="20"/>
          <w:color w:val="auto"/>
        </w:rPr>
      </w:pPr>
      <w:r>
        <w:rPr>
          <w:rFonts w:ascii="Arial" w:cs="Arial" w:eastAsia="Arial" w:hAnsi="Arial"/>
          <w:sz w:val="19"/>
          <w:szCs w:val="19"/>
          <w:b w:val="1"/>
          <w:bCs w:val="1"/>
          <w:color w:val="010000"/>
        </w:rPr>
        <w:t>6.4</w:t>
      </w:r>
      <w:r>
        <w:rPr>
          <w:sz w:val="20"/>
          <w:szCs w:val="20"/>
          <w:color w:val="auto"/>
        </w:rPr>
        <w:tab/>
      </w:r>
      <w:r>
        <w:rPr>
          <w:rFonts w:ascii="Arial" w:cs="Arial" w:eastAsia="Arial" w:hAnsi="Arial"/>
          <w:sz w:val="17"/>
          <w:szCs w:val="17"/>
          <w:b w:val="1"/>
          <w:bCs w:val="1"/>
          <w:color w:val="auto"/>
        </w:rPr>
        <w:t>Method of Exercise</w:t>
      </w:r>
    </w:p>
    <w:p>
      <w:pPr>
        <w:spacing w:after="0" w:line="220" w:lineRule="exact"/>
        <w:rPr>
          <w:sz w:val="20"/>
          <w:szCs w:val="20"/>
          <w:color w:val="auto"/>
        </w:rPr>
      </w:pPr>
    </w:p>
    <w:p>
      <w:pPr>
        <w:jc w:val="both"/>
        <w:ind w:firstLine="872"/>
        <w:spacing w:after="0" w:line="268" w:lineRule="auto"/>
        <w:tabs>
          <w:tab w:leader="none" w:pos="961"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the Plan or in an Award Agreement, an Option may be exercised for all, or from time to time any part, of the Shares for which it is then exercisable. For purposes of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the exercise date of an Option shall be the later of the date a notice of exercise is received by the Company and, if applicable, the date payment is received by the Company pursuant to clauses (i), (ii), (iii) or (iv) of the following sentence (including the applicable tax withholding pursuant to </w:t>
      </w:r>
      <w:r>
        <w:rPr>
          <w:rFonts w:ascii="Arial" w:cs="Arial" w:eastAsia="Arial" w:hAnsi="Arial"/>
          <w:sz w:val="17"/>
          <w:szCs w:val="17"/>
          <w:u w:val="single" w:color="auto"/>
          <w:color w:val="auto"/>
        </w:rPr>
        <w:t>Section 16.4</w:t>
      </w:r>
      <w:r>
        <w:rPr>
          <w:rFonts w:ascii="Arial" w:cs="Arial" w:eastAsia="Arial" w:hAnsi="Arial"/>
          <w:sz w:val="17"/>
          <w:szCs w:val="17"/>
          <w:color w:val="auto"/>
        </w:rPr>
        <w:t xml:space="preserve"> of the Plan). The aggregate Option Price for the Shares as to which an Option is exercised shall be paid to the Company in full at the time of exercise at the election of the Participant (i) in cash or its equivalent (e.g., by cashier’s check), (ii) to the extent permitted by the Committee, in Shares previously owned by the Participant having a fair market value equal to the aggregate Option Price for the Shares being purchased and satisfying such other requirements as may be imposed by the Committee,</w:t>
      </w:r>
    </w:p>
    <w:p>
      <w:pPr>
        <w:jc w:val="both"/>
        <w:ind w:firstLine="8"/>
        <w:spacing w:after="0" w:line="239" w:lineRule="auto"/>
        <w:tabs>
          <w:tab w:leader="none" w:pos="336" w:val="left"/>
        </w:tabs>
        <w:numPr>
          <w:ilvl w:val="0"/>
          <w:numId w:val="49"/>
        </w:numPr>
        <w:rPr>
          <w:rFonts w:ascii="Arial" w:cs="Arial" w:eastAsia="Arial" w:hAnsi="Arial"/>
          <w:sz w:val="19"/>
          <w:szCs w:val="19"/>
          <w:color w:val="auto"/>
        </w:rPr>
      </w:pPr>
      <w:r>
        <w:rPr>
          <w:rFonts w:ascii="Arial" w:cs="Arial" w:eastAsia="Arial" w:hAnsi="Arial"/>
          <w:sz w:val="19"/>
          <w:szCs w:val="19"/>
          <w:color w:val="auto"/>
        </w:rPr>
        <w:t>partly in cash and, to the extent permitted by the Committee, partly in such Shares (as described in (ii) above) or (iv) in consideration received by the Company under a cashless exercise program (whether through a broker or otherwise) implemented by the Company in connection with the Plan. The Committee may prescribe any other method of payment that it determines to be consistent with applicable law and the purpose of the Plan.</w:t>
      </w:r>
    </w:p>
    <w:p>
      <w:pPr>
        <w:spacing w:after="0" w:line="188"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6.5</w:t>
      </w:r>
      <w:r>
        <w:rPr>
          <w:sz w:val="20"/>
          <w:szCs w:val="20"/>
          <w:color w:val="auto"/>
        </w:rPr>
        <w:tab/>
      </w:r>
      <w:r>
        <w:rPr>
          <w:rFonts w:ascii="Arial" w:cs="Arial" w:eastAsia="Arial" w:hAnsi="Arial"/>
          <w:sz w:val="17"/>
          <w:szCs w:val="17"/>
          <w:b w:val="1"/>
          <w:bCs w:val="1"/>
          <w:color w:val="auto"/>
        </w:rPr>
        <w:t>Limitations on Incentive Stock Options</w:t>
      </w:r>
    </w:p>
    <w:p>
      <w:pPr>
        <w:spacing w:after="0" w:line="220" w:lineRule="exact"/>
        <w:rPr>
          <w:sz w:val="20"/>
          <w:szCs w:val="20"/>
          <w:color w:val="auto"/>
        </w:rPr>
      </w:pPr>
    </w:p>
    <w:p>
      <w:pPr>
        <w:jc w:val="both"/>
        <w:ind w:firstLine="872"/>
        <w:spacing w:after="0" w:line="255" w:lineRule="auto"/>
        <w:tabs>
          <w:tab w:leader="none" w:pos="9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Incentive Stock Options may be granted only to employees of the Company or of a “parent corporation” or “subsidiary corporation” (as such terms are defined in Section 424 of the Code) at the date of grant. The aggregate fair market value (generally determined as of the time the Option is granted) of the Shares with respect to which Incentive Stock Options are exercisable for the first time by a Participant during any calendar year under all plans of the Company and of any “parent corporation” or “subsidiary corporation” shall not exceed $100,000, or the Option shall be treated as a Nonqualified Stock Option. For purposes of the preceding sentence, Incentive Stock Options will be taken into account generally in the order in which they are granted. Each provision of the Plan and each Award Agreement relating to an Incentive Stock Option shall be construed so that each Incentive Stock Option shall be an incentive stock option as defined in Section 422 of the Code, and any provisions of the Award Agreement thereof that cannot be so construed shall be disregarded.</w:t>
      </w:r>
    </w:p>
    <w:p>
      <w:pPr>
        <w:spacing w:after="0" w:line="179"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6.6</w:t>
      </w:r>
      <w:r>
        <w:rPr>
          <w:sz w:val="20"/>
          <w:szCs w:val="20"/>
          <w:color w:val="auto"/>
        </w:rPr>
        <w:tab/>
      </w:r>
      <w:r>
        <w:rPr>
          <w:rFonts w:ascii="Arial" w:cs="Arial" w:eastAsia="Arial" w:hAnsi="Arial"/>
          <w:sz w:val="17"/>
          <w:szCs w:val="17"/>
          <w:b w:val="1"/>
          <w:bCs w:val="1"/>
          <w:color w:val="auto"/>
        </w:rPr>
        <w:t>Performance Goals</w:t>
      </w:r>
    </w:p>
    <w:p>
      <w:pPr>
        <w:spacing w:after="0" w:line="220" w:lineRule="exact"/>
        <w:rPr>
          <w:sz w:val="20"/>
          <w:szCs w:val="20"/>
          <w:color w:val="auto"/>
        </w:rPr>
      </w:pPr>
    </w:p>
    <w:p>
      <w:pPr>
        <w:jc w:val="both"/>
        <w:ind w:firstLine="872"/>
        <w:spacing w:after="0" w:line="245" w:lineRule="auto"/>
        <w:tabs>
          <w:tab w:leader="none" w:pos="986"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Committee may condition the grant of Options or the vesting of Options upon the Participant’s achievement of one or more performance goal(s) (including the Participant’s provision of Services for a designated time period), as specified in the Award Agreement. If the Participant fails to achieve the specified performance goal(s), the Committee shall not grant the Option to such Participant or the Option shall not vest, as applicable.</w:t>
      </w:r>
    </w:p>
    <w:p>
      <w:pPr>
        <w:spacing w:after="0" w:line="182"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6.7</w:t>
      </w:r>
      <w:r>
        <w:rPr>
          <w:sz w:val="20"/>
          <w:szCs w:val="20"/>
          <w:color w:val="auto"/>
        </w:rPr>
        <w:tab/>
      </w:r>
      <w:r>
        <w:rPr>
          <w:rFonts w:ascii="Arial" w:cs="Arial" w:eastAsia="Arial" w:hAnsi="Arial"/>
          <w:sz w:val="17"/>
          <w:szCs w:val="17"/>
          <w:b w:val="1"/>
          <w:bCs w:val="1"/>
          <w:color w:val="auto"/>
        </w:rPr>
        <w:t xml:space="preserve">Individual Limitations. </w:t>
      </w:r>
      <w:r>
        <w:rPr>
          <w:rFonts w:ascii="Arial" w:cs="Arial" w:eastAsia="Arial" w:hAnsi="Arial"/>
          <w:sz w:val="17"/>
          <w:szCs w:val="17"/>
          <w:color w:val="auto"/>
        </w:rPr>
        <w:t>No Employee may be granted Options or Stock Appreciation Rights covering in excess of</w:t>
      </w:r>
    </w:p>
    <w:p>
      <w:pPr>
        <w:spacing w:after="0" w:line="20"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 xml:space="preserve">2,500,000 Shares in any calendar year (with tandem Options and Stock Appreciation Rights being counted only once with respect to this limit), subject to adjustment as provided in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0" w:name="page61"/>
    <w:bookmarkEnd w:id="60"/>
    <w:p>
      <w:pPr>
        <w:spacing w:after="0"/>
        <w:rPr>
          <w:sz w:val="20"/>
          <w:szCs w:val="20"/>
          <w:color w:val="auto"/>
        </w:rPr>
      </w:pPr>
      <w:r>
        <w:rPr>
          <w:rFonts w:ascii="Arial" w:cs="Arial" w:eastAsia="Arial" w:hAnsi="Arial"/>
          <w:sz w:val="19"/>
          <w:szCs w:val="19"/>
          <w:b w:val="1"/>
          <w:bCs w:val="1"/>
          <w:color w:val="010000"/>
        </w:rPr>
        <w:t xml:space="preserve">Article 7. </w:t>
      </w:r>
      <w:r>
        <w:rPr>
          <w:rFonts w:ascii="Arial" w:cs="Arial" w:eastAsia="Arial" w:hAnsi="Arial"/>
          <w:sz w:val="19"/>
          <w:szCs w:val="19"/>
          <w:b w:val="1"/>
          <w:bCs w:val="1"/>
          <w:color w:val="000000"/>
        </w:rPr>
        <w:t>Stock Appreciation Rights</w:t>
      </w:r>
    </w:p>
    <w:p>
      <w:pPr>
        <w:spacing w:after="0" w:line="214"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7.1</w:t>
      </w:r>
      <w:r>
        <w:rPr>
          <w:sz w:val="20"/>
          <w:szCs w:val="20"/>
          <w:color w:val="auto"/>
        </w:rPr>
        <w:tab/>
      </w:r>
      <w:r>
        <w:rPr>
          <w:rFonts w:ascii="Arial" w:cs="Arial" w:eastAsia="Arial" w:hAnsi="Arial"/>
          <w:sz w:val="17"/>
          <w:szCs w:val="17"/>
          <w:b w:val="1"/>
          <w:bCs w:val="1"/>
          <w:color w:val="auto"/>
        </w:rPr>
        <w:t>Grant of Stock Appreciation Rights</w:t>
      </w:r>
    </w:p>
    <w:p>
      <w:pPr>
        <w:spacing w:after="0" w:line="220" w:lineRule="exact"/>
        <w:rPr>
          <w:sz w:val="20"/>
          <w:szCs w:val="20"/>
          <w:color w:val="auto"/>
        </w:rPr>
      </w:pPr>
    </w:p>
    <w:p>
      <w:pPr>
        <w:jc w:val="both"/>
        <w:ind w:firstLine="872"/>
        <w:spacing w:after="0" w:line="269" w:lineRule="auto"/>
        <w:tabs>
          <w:tab w:leader="none" w:pos="961"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Committee is hereby authorized to grant Stock Appreciation Rights to Participants, including a grant of Stock Appreciation Rights in tandem with any Option at the same time such Option is granted (a “</w:t>
      </w:r>
      <w:r>
        <w:rPr>
          <w:rFonts w:ascii="Arial" w:cs="Arial" w:eastAsia="Arial" w:hAnsi="Arial"/>
          <w:sz w:val="17"/>
          <w:szCs w:val="17"/>
          <w:b w:val="1"/>
          <w:bCs w:val="1"/>
          <w:color w:val="auto"/>
        </w:rPr>
        <w:t>Tandem SAR</w:t>
      </w:r>
      <w:r>
        <w:rPr>
          <w:rFonts w:ascii="Arial" w:cs="Arial" w:eastAsia="Arial" w:hAnsi="Arial"/>
          <w:sz w:val="17"/>
          <w:szCs w:val="17"/>
          <w:color w:val="auto"/>
        </w:rPr>
        <w:t>”). Stock Appreciation Rights shall be evidenced by Award Agreements that shall conform to the requirements of the Plan and may contain such other provisions, as the Committee shall deem advisable. Subject to the terms of the Plan and any applicable Award Agreement, a Stock Appreciation Right granted under the Plan shall confer on the holder thereof a right to receive, upon exercise thereof, the excess of (i) the fair market value of a specified number of Shares on the date of exercise over</w:t>
      </w:r>
    </w:p>
    <w:p>
      <w:pPr>
        <w:ind w:firstLine="8"/>
        <w:spacing w:after="0" w:line="243" w:lineRule="auto"/>
        <w:tabs>
          <w:tab w:leader="none" w:pos="296"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grant price of the right as specified by the Committee on the date of the grant. Such payment may be in the form of cash, Shares, other property or any combination thereof, as the Committee shall determine in its sole discretion.</w:t>
      </w:r>
    </w:p>
    <w:p>
      <w:pPr>
        <w:spacing w:after="0" w:line="184"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7.2</w:t>
      </w:r>
      <w:r>
        <w:rPr>
          <w:sz w:val="20"/>
          <w:szCs w:val="20"/>
          <w:color w:val="auto"/>
        </w:rPr>
        <w:tab/>
      </w:r>
      <w:r>
        <w:rPr>
          <w:rFonts w:ascii="Arial" w:cs="Arial" w:eastAsia="Arial" w:hAnsi="Arial"/>
          <w:sz w:val="17"/>
          <w:szCs w:val="17"/>
          <w:b w:val="1"/>
          <w:bCs w:val="1"/>
          <w:color w:val="auto"/>
        </w:rPr>
        <w:t>Terms of Stock Appreciation Right</w:t>
      </w:r>
    </w:p>
    <w:p>
      <w:pPr>
        <w:spacing w:after="0" w:line="220" w:lineRule="exact"/>
        <w:rPr>
          <w:sz w:val="20"/>
          <w:szCs w:val="20"/>
          <w:color w:val="auto"/>
        </w:rPr>
      </w:pPr>
    </w:p>
    <w:p>
      <w:pPr>
        <w:jc w:val="both"/>
        <w:ind w:firstLine="872"/>
        <w:spacing w:after="0" w:line="260" w:lineRule="auto"/>
        <w:tabs>
          <w:tab w:leader="none" w:pos="9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Subject to the terms of the Plan and any applicable Award Agreement, the grant price (which shall not be less than 100% of the Fair Market Value of a Share on the date of grant, except as otherwise permitted by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or in the case of an Acquisition Award), term, methods of exercise, methods of settlement, and any other terms and conditions of any Stock Appreciation Right shall be as determined by the Committee. The Committee may impose such other conditions or restrictions on the exercise of any Stock Appreciation Right as it may deem appropriate. No Stock Appreciation Right shall have a term of more than 10 years from the date of grant.</w:t>
      </w:r>
    </w:p>
    <w:p>
      <w:pPr>
        <w:spacing w:after="0" w:line="169"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7.3</w:t>
      </w:r>
      <w:r>
        <w:rPr>
          <w:sz w:val="20"/>
          <w:szCs w:val="20"/>
          <w:color w:val="auto"/>
        </w:rPr>
        <w:tab/>
      </w:r>
      <w:r>
        <w:rPr>
          <w:rFonts w:ascii="Arial" w:cs="Arial" w:eastAsia="Arial" w:hAnsi="Arial"/>
          <w:sz w:val="17"/>
          <w:szCs w:val="17"/>
          <w:b w:val="1"/>
          <w:bCs w:val="1"/>
          <w:color w:val="auto"/>
        </w:rPr>
        <w:t>Tandem Stock Appreciation Rights and Options</w:t>
      </w:r>
    </w:p>
    <w:p>
      <w:pPr>
        <w:spacing w:after="0" w:line="220" w:lineRule="exact"/>
        <w:rPr>
          <w:sz w:val="20"/>
          <w:szCs w:val="20"/>
          <w:color w:val="auto"/>
        </w:rPr>
      </w:pPr>
    </w:p>
    <w:p>
      <w:pPr>
        <w:jc w:val="both"/>
        <w:ind w:firstLine="872"/>
        <w:spacing w:after="0" w:line="245" w:lineRule="auto"/>
        <w:tabs>
          <w:tab w:leader="none" w:pos="959" w:val="left"/>
        </w:tabs>
        <w:numPr>
          <w:ilvl w:val="0"/>
          <w:numId w:val="54"/>
        </w:numPr>
        <w:rPr>
          <w:rFonts w:ascii="Arial" w:cs="Arial" w:eastAsia="Arial" w:hAnsi="Arial"/>
          <w:sz w:val="19"/>
          <w:szCs w:val="19"/>
          <w:color w:val="auto"/>
        </w:rPr>
      </w:pPr>
      <w:r>
        <w:rPr>
          <w:rFonts w:ascii="Arial" w:cs="Arial" w:eastAsia="Arial" w:hAnsi="Arial"/>
          <w:sz w:val="19"/>
          <w:szCs w:val="19"/>
          <w:color w:val="auto"/>
        </w:rPr>
        <w:t>A Tandem SAR shall be exercisable only to the extent that the related Option is exercisable and shall expire no later than the expiration of the related Option. Upon the exercise of all or a portion of a Tandem SAR, a Participant shall be required to forfeit the right to purchase an equivalent portion of the related Option (and, when a Share is purchased under the related Option, the Participant shall be required to forfeit an equivalent portion of the Stock Appreciation Right).</w:t>
      </w:r>
    </w:p>
    <w:p>
      <w:pPr>
        <w:spacing w:after="0" w:line="182"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7.4</w:t>
      </w:r>
      <w:r>
        <w:rPr>
          <w:sz w:val="20"/>
          <w:szCs w:val="20"/>
          <w:color w:val="auto"/>
        </w:rPr>
        <w:tab/>
      </w:r>
      <w:r>
        <w:rPr>
          <w:rFonts w:ascii="Arial" w:cs="Arial" w:eastAsia="Arial" w:hAnsi="Arial"/>
          <w:sz w:val="17"/>
          <w:szCs w:val="17"/>
          <w:b w:val="1"/>
          <w:bCs w:val="1"/>
          <w:color w:val="auto"/>
        </w:rPr>
        <w:t xml:space="preserve">Individual Limitations. </w:t>
      </w:r>
      <w:r>
        <w:rPr>
          <w:rFonts w:ascii="Arial" w:cs="Arial" w:eastAsia="Arial" w:hAnsi="Arial"/>
          <w:sz w:val="17"/>
          <w:szCs w:val="17"/>
          <w:color w:val="auto"/>
        </w:rPr>
        <w:t>No Employee may be granted Options or Stock Appreciation Rights covering in excess of</w:t>
      </w:r>
    </w:p>
    <w:p>
      <w:pPr>
        <w:spacing w:after="0" w:line="20"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 xml:space="preserve">2,000,000 Shares in any calendar year (with tandem Options and Stock Appreciation Rights being counted only once with respect to this limit), subject to adjustment as provided in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hereof.</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010000"/>
        </w:rPr>
        <w:t xml:space="preserve">Article 8. </w:t>
      </w:r>
      <w:r>
        <w:rPr>
          <w:rFonts w:ascii="Arial" w:cs="Arial" w:eastAsia="Arial" w:hAnsi="Arial"/>
          <w:sz w:val="19"/>
          <w:szCs w:val="19"/>
          <w:b w:val="1"/>
          <w:bCs w:val="1"/>
          <w:color w:val="000000"/>
        </w:rPr>
        <w:t>Restricted Stock Award</w:t>
      </w:r>
    </w:p>
    <w:p>
      <w:pPr>
        <w:spacing w:after="0" w:line="214"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8.1</w:t>
      </w:r>
      <w:r>
        <w:rPr>
          <w:sz w:val="20"/>
          <w:szCs w:val="20"/>
          <w:color w:val="auto"/>
        </w:rPr>
        <w:tab/>
      </w:r>
      <w:r>
        <w:rPr>
          <w:rFonts w:ascii="Arial" w:cs="Arial" w:eastAsia="Arial" w:hAnsi="Arial"/>
          <w:sz w:val="17"/>
          <w:szCs w:val="17"/>
          <w:b w:val="1"/>
          <w:bCs w:val="1"/>
          <w:color w:val="auto"/>
        </w:rPr>
        <w:t>Grant of Restricted Stock Award</w:t>
      </w:r>
    </w:p>
    <w:p>
      <w:pPr>
        <w:spacing w:after="0" w:line="220" w:lineRule="exact"/>
        <w:rPr>
          <w:sz w:val="20"/>
          <w:szCs w:val="20"/>
          <w:color w:val="auto"/>
        </w:rPr>
      </w:pPr>
    </w:p>
    <w:p>
      <w:pPr>
        <w:jc w:val="both"/>
        <w:ind w:firstLine="872"/>
        <w:spacing w:after="0" w:line="292" w:lineRule="auto"/>
        <w:tabs>
          <w:tab w:leader="none" w:pos="97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Committee is hereby authorized to grant a Restricted Stock Award consisting of a specified number of Shares to a Participant, which Shares are subject to forfeiture upon the occurrence of specified events. Each Restricted Stock Award shall be evidenced by an Award Agreement, which shall conform to the requirements of the Plan and may contain such other provisions, as the Committee shall deem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1" w:name="page62"/>
    <w:bookmarkEnd w:id="61"/>
    <w:p>
      <w:pPr>
        <w:ind w:left="880"/>
        <w:spacing w:after="0"/>
        <w:tabs>
          <w:tab w:leader="none" w:pos="2380" w:val="left"/>
        </w:tabs>
        <w:rPr>
          <w:sz w:val="20"/>
          <w:szCs w:val="20"/>
          <w:color w:val="auto"/>
        </w:rPr>
      </w:pPr>
      <w:r>
        <w:rPr>
          <w:rFonts w:ascii="Arial" w:cs="Arial" w:eastAsia="Arial" w:hAnsi="Arial"/>
          <w:sz w:val="19"/>
          <w:szCs w:val="19"/>
          <w:b w:val="1"/>
          <w:bCs w:val="1"/>
          <w:color w:val="010000"/>
        </w:rPr>
        <w:t>8.2</w:t>
      </w:r>
      <w:r>
        <w:rPr>
          <w:sz w:val="20"/>
          <w:szCs w:val="20"/>
          <w:color w:val="auto"/>
        </w:rPr>
        <w:tab/>
      </w:r>
      <w:r>
        <w:rPr>
          <w:rFonts w:ascii="Arial" w:cs="Arial" w:eastAsia="Arial" w:hAnsi="Arial"/>
          <w:sz w:val="16"/>
          <w:szCs w:val="16"/>
          <w:b w:val="1"/>
          <w:bCs w:val="1"/>
          <w:color w:val="auto"/>
        </w:rPr>
        <w:t>Terms of Restricted Stock Awards</w:t>
      </w:r>
    </w:p>
    <w:p>
      <w:pPr>
        <w:spacing w:after="0" w:line="220" w:lineRule="exact"/>
        <w:rPr>
          <w:sz w:val="20"/>
          <w:szCs w:val="20"/>
          <w:color w:val="auto"/>
        </w:rPr>
      </w:pPr>
    </w:p>
    <w:p>
      <w:pPr>
        <w:jc w:val="both"/>
        <w:ind w:firstLine="872"/>
        <w:spacing w:after="0" w:line="276" w:lineRule="auto"/>
        <w:tabs>
          <w:tab w:leader="none" w:pos="982" w:val="left"/>
        </w:tabs>
        <w:numPr>
          <w:ilvl w:val="0"/>
          <w:numId w:val="56"/>
        </w:numPr>
        <w:rPr>
          <w:rFonts w:ascii="Arial" w:cs="Arial" w:eastAsia="Arial" w:hAnsi="Arial"/>
          <w:sz w:val="17"/>
          <w:szCs w:val="17"/>
          <w:color w:val="auto"/>
        </w:rPr>
      </w:pPr>
      <w:r>
        <w:rPr>
          <w:rFonts w:ascii="Arial" w:cs="Arial" w:eastAsia="Arial" w:hAnsi="Arial"/>
          <w:sz w:val="17"/>
          <w:szCs w:val="17"/>
          <w:color w:val="auto"/>
        </w:rPr>
        <w:t>Each Award Agreement evidencing a Restricted Stock Award grant shall specify the period(s) of restriction, the number of Shares underlying the Restricted Stock Award, the performance, employment or other conditions (including the termination of a Participant’s Service whether due to death, disability or other reason) under which the Restricted Stock Award may be forfeited to the Company and such other provisions, as the Committee shall deem advisable. At the end of the Restriction Period, the restrictions imposed hereunder and under the Award Agreement shall lapse with respect to the number of Shares underlying the Restricted Stock Award as determined by the Committee, and the legend shall be removed and such number of Shares delivered to the Participant (or, where appropriate, the Participant’s legal representative).</w:t>
      </w:r>
    </w:p>
    <w:p>
      <w:pPr>
        <w:spacing w:after="0" w:line="157"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8.3</w:t>
      </w:r>
      <w:r>
        <w:rPr>
          <w:sz w:val="20"/>
          <w:szCs w:val="20"/>
          <w:color w:val="auto"/>
        </w:rPr>
        <w:tab/>
      </w:r>
      <w:r>
        <w:rPr>
          <w:rFonts w:ascii="Arial" w:cs="Arial" w:eastAsia="Arial" w:hAnsi="Arial"/>
          <w:sz w:val="17"/>
          <w:szCs w:val="17"/>
          <w:b w:val="1"/>
          <w:bCs w:val="1"/>
          <w:color w:val="auto"/>
        </w:rPr>
        <w:t>Voting and Dividend Rights</w:t>
      </w:r>
    </w:p>
    <w:p>
      <w:pPr>
        <w:spacing w:after="0" w:line="220" w:lineRule="exact"/>
        <w:rPr>
          <w:sz w:val="20"/>
          <w:szCs w:val="20"/>
          <w:color w:val="auto"/>
        </w:rPr>
      </w:pPr>
    </w:p>
    <w:p>
      <w:pPr>
        <w:jc w:val="both"/>
        <w:ind w:firstLine="872"/>
        <w:spacing w:after="0"/>
        <w:tabs>
          <w:tab w:leader="none" w:pos="974"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Unless otherwise provided in an Award Agreement, Participants shall have none of the rights of a shareholder of the Company with respect to the Shares underlying the Restricted Stock Award until the end of the Restricted Period;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Participants shall have the right to vote and receive dividends on the Shares underlying the Restricted Stock Award during the Restriction Period. Dividends shall be paid to Participants at the same time that other shareholders of common stock of the Company receive such dividends. Notwithstanding the foregoing, no dividends will be paid at a time when any performance-based goals that apply to a Restricted Stock Award have not been satisfied; until such goals are satisfied, all dividends paid upon the Shares underlying the Restricted Stock Award shall be retained by the Company for the account of the Participant and paid to the Participant (without interest) upon satisfaction of such goals and revert back to the Company if such goals are not satisfied.</w:t>
      </w:r>
    </w:p>
    <w:p>
      <w:pPr>
        <w:spacing w:after="0" w:line="190"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8.4</w:t>
      </w:r>
      <w:r>
        <w:rPr>
          <w:sz w:val="20"/>
          <w:szCs w:val="20"/>
          <w:color w:val="auto"/>
        </w:rPr>
        <w:tab/>
      </w:r>
      <w:r>
        <w:rPr>
          <w:rFonts w:ascii="Arial" w:cs="Arial" w:eastAsia="Arial" w:hAnsi="Arial"/>
          <w:sz w:val="17"/>
          <w:szCs w:val="17"/>
          <w:b w:val="1"/>
          <w:bCs w:val="1"/>
          <w:color w:val="auto"/>
        </w:rPr>
        <w:t>Performance Goals</w:t>
      </w:r>
    </w:p>
    <w:p>
      <w:pPr>
        <w:spacing w:after="0" w:line="220" w:lineRule="exact"/>
        <w:rPr>
          <w:sz w:val="20"/>
          <w:szCs w:val="20"/>
          <w:color w:val="auto"/>
        </w:rPr>
      </w:pPr>
    </w:p>
    <w:p>
      <w:pPr>
        <w:jc w:val="both"/>
        <w:ind w:firstLine="872"/>
        <w:spacing w:after="0" w:line="263" w:lineRule="auto"/>
        <w:tabs>
          <w:tab w:leader="none" w:pos="9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Committee may condition the grant of a Restricted Stock Award or the expiration of the Restriction Period upon the Participant’s achievement of one or more performance goal(s) (including the Participant’s provision of Services for a designated time period), as specified in the Award Agreement. If the Participant fails to achieve the specified performance goal(s), the Committee shall not grant the Restricted Stock Award to such Participant or the Participant shall forfeit the Restricted Stock Award to the Company, as applicable.</w:t>
      </w:r>
    </w:p>
    <w:p>
      <w:pPr>
        <w:spacing w:after="0" w:line="167"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010000"/>
        </w:rPr>
        <w:t>8.5</w:t>
      </w:r>
      <w:r>
        <w:rPr>
          <w:sz w:val="20"/>
          <w:szCs w:val="20"/>
          <w:color w:val="auto"/>
        </w:rPr>
        <w:tab/>
      </w:r>
      <w:r>
        <w:rPr>
          <w:rFonts w:ascii="Arial" w:cs="Arial" w:eastAsia="Arial" w:hAnsi="Arial"/>
          <w:sz w:val="16"/>
          <w:szCs w:val="16"/>
          <w:b w:val="1"/>
          <w:bCs w:val="1"/>
          <w:color w:val="auto"/>
        </w:rPr>
        <w:t>Section 83(b) Election</w:t>
      </w:r>
    </w:p>
    <w:p>
      <w:pPr>
        <w:spacing w:after="0" w:line="220" w:lineRule="exact"/>
        <w:rPr>
          <w:sz w:val="20"/>
          <w:szCs w:val="20"/>
          <w:color w:val="auto"/>
        </w:rPr>
      </w:pPr>
    </w:p>
    <w:p>
      <w:pPr>
        <w:jc w:val="both"/>
        <w:ind w:firstLine="872"/>
        <w:spacing w:after="0" w:line="249" w:lineRule="auto"/>
        <w:tabs>
          <w:tab w:leader="none" w:pos="975" w:val="left"/>
        </w:tabs>
        <w:numPr>
          <w:ilvl w:val="0"/>
          <w:numId w:val="59"/>
        </w:numPr>
        <w:rPr>
          <w:rFonts w:ascii="Arial" w:cs="Arial" w:eastAsia="Arial" w:hAnsi="Arial"/>
          <w:sz w:val="19"/>
          <w:szCs w:val="19"/>
          <w:color w:val="auto"/>
        </w:rPr>
      </w:pPr>
      <w:r>
        <w:rPr>
          <w:rFonts w:ascii="Arial" w:cs="Arial" w:eastAsia="Arial" w:hAnsi="Arial"/>
          <w:sz w:val="19"/>
          <w:szCs w:val="19"/>
          <w:color w:val="auto"/>
        </w:rPr>
        <w:t>A Participant may only make an election pursuant to Section 83(b) of the Code concerning a Restricted Stock Award with the prior written consent of the Company, which may be withheld in its sole discretion. In the event that a Participant makes such an election, the Participant shall be required to file promptly a copy of such election with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010000"/>
        </w:rPr>
        <w:t xml:space="preserve">Article 9. </w:t>
      </w:r>
      <w:r>
        <w:rPr>
          <w:rFonts w:ascii="Arial" w:cs="Arial" w:eastAsia="Arial" w:hAnsi="Arial"/>
          <w:sz w:val="19"/>
          <w:szCs w:val="19"/>
          <w:b w:val="1"/>
          <w:bCs w:val="1"/>
          <w:color w:val="000000"/>
        </w:rPr>
        <w:t>Restricted Stock Units</w:t>
      </w:r>
    </w:p>
    <w:p>
      <w:pPr>
        <w:spacing w:after="0" w:line="21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9"/>
          <w:szCs w:val="19"/>
          <w:b w:val="1"/>
          <w:bCs w:val="1"/>
          <w:color w:val="010000"/>
        </w:rPr>
        <w:t xml:space="preserve">9.1 </w:t>
      </w:r>
      <w:r>
        <w:rPr>
          <w:rFonts w:ascii="Arial" w:cs="Arial" w:eastAsia="Arial" w:hAnsi="Arial"/>
          <w:sz w:val="19"/>
          <w:szCs w:val="19"/>
          <w:b w:val="1"/>
          <w:bCs w:val="1"/>
          <w:color w:val="000000"/>
        </w:rPr>
        <w:t>Grant of Restricted Stock Units</w:t>
      </w:r>
      <w:r>
        <w:rPr>
          <w:rFonts w:ascii="Arial" w:cs="Arial" w:eastAsia="Arial" w:hAnsi="Arial"/>
          <w:sz w:val="19"/>
          <w:szCs w:val="19"/>
          <w:color w:val="000000"/>
        </w:rPr>
        <w:t>. The Committee is hereby authorized to grant Restricted Stock Units to a</w:t>
      </w:r>
      <w:r>
        <w:rPr>
          <w:rFonts w:ascii="Arial" w:cs="Arial" w:eastAsia="Arial" w:hAnsi="Arial"/>
          <w:sz w:val="19"/>
          <w:szCs w:val="19"/>
          <w:b w:val="1"/>
          <w:bCs w:val="1"/>
          <w:color w:val="010000"/>
        </w:rPr>
        <w:t xml:space="preserve"> </w:t>
      </w:r>
      <w:r>
        <w:rPr>
          <w:rFonts w:ascii="Arial" w:cs="Arial" w:eastAsia="Arial" w:hAnsi="Arial"/>
          <w:sz w:val="19"/>
          <w:szCs w:val="19"/>
          <w:color w:val="000000"/>
        </w:rPr>
        <w:t>Participant in such amounts and subject to such terms and conditions as the Committee may determine. Restricted Stock Units shall be evidenced by an Award Agreement, which shall conform to the requirements of the Plan and may contain such other provisions as the Committee shall deem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2" w:name="page63"/>
    <w:bookmarkEnd w:id="62"/>
    <w:p>
      <w:pPr>
        <w:jc w:val="both"/>
        <w:ind w:firstLine="864"/>
        <w:spacing w:after="0" w:line="258" w:lineRule="auto"/>
        <w:rPr>
          <w:sz w:val="20"/>
          <w:szCs w:val="20"/>
          <w:color w:val="auto"/>
        </w:rPr>
      </w:pPr>
      <w:r>
        <w:rPr>
          <w:rFonts w:ascii="Arial" w:cs="Arial" w:eastAsia="Arial" w:hAnsi="Arial"/>
          <w:sz w:val="18"/>
          <w:szCs w:val="18"/>
          <w:b w:val="1"/>
          <w:bCs w:val="1"/>
          <w:color w:val="010000"/>
        </w:rPr>
        <w:t xml:space="preserve">9.2 </w:t>
      </w:r>
      <w:r>
        <w:rPr>
          <w:rFonts w:ascii="Arial" w:cs="Arial" w:eastAsia="Arial" w:hAnsi="Arial"/>
          <w:sz w:val="18"/>
          <w:szCs w:val="18"/>
          <w:b w:val="1"/>
          <w:bCs w:val="1"/>
          <w:color w:val="000000"/>
        </w:rPr>
        <w:t>Terms of Restricted Stock Units</w:t>
      </w:r>
      <w:r>
        <w:rPr>
          <w:rFonts w:ascii="Arial" w:cs="Arial" w:eastAsia="Arial" w:hAnsi="Arial"/>
          <w:sz w:val="18"/>
          <w:szCs w:val="18"/>
          <w:color w:val="000000"/>
        </w:rPr>
        <w:t>. With respect to a Restricted Stock Unit, a Participant will have only the rights of</w:t>
      </w:r>
      <w:r>
        <w:rPr>
          <w:rFonts w:ascii="Arial" w:cs="Arial" w:eastAsia="Arial" w:hAnsi="Arial"/>
          <w:sz w:val="18"/>
          <w:szCs w:val="18"/>
          <w:b w:val="1"/>
          <w:bCs w:val="1"/>
          <w:color w:val="010000"/>
        </w:rPr>
        <w:t xml:space="preserve"> </w:t>
      </w:r>
      <w:r>
        <w:rPr>
          <w:rFonts w:ascii="Arial" w:cs="Arial" w:eastAsia="Arial" w:hAnsi="Arial"/>
          <w:sz w:val="18"/>
          <w:szCs w:val="18"/>
          <w:color w:val="000000"/>
        </w:rPr>
        <w:t>a general unsecured creditor of the Company until delivery of Shares, cash or other securities or property is made as specified in the applicable Award Agreement. The terms and conditions set forth by the Committee in the applicable Award Agreement may relate to vesting and nontransferability restrictions that will lapse upon the completion of a specified period of Service, the occurrence of an event and/or the attainment of performance objectives, as determined by the Committee at the time of grant. On the delivery date specified in the Award Agreement, with respect to each Restricted Stock Unit not previously forfeited or terminated, the Participant will receive one Share, cash or other securities or property equal in value to a Share or a combination thereof, as specified by the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010000"/>
        </w:rPr>
        <w:t>Article 10.</w:t>
      </w:r>
      <w:r>
        <w:rPr>
          <w:rFonts w:ascii="Arial" w:cs="Arial" w:eastAsia="Arial" w:hAnsi="Arial"/>
          <w:sz w:val="19"/>
          <w:szCs w:val="19"/>
          <w:b w:val="1"/>
          <w:bCs w:val="1"/>
          <w:color w:val="000000"/>
        </w:rPr>
        <w:t>Dividend Equivalent Rights</w:t>
      </w:r>
    </w:p>
    <w:p>
      <w:pPr>
        <w:spacing w:after="0" w:line="21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9"/>
          <w:szCs w:val="19"/>
          <w:b w:val="1"/>
          <w:bCs w:val="1"/>
          <w:color w:val="010000"/>
        </w:rPr>
        <w:t xml:space="preserve">10.1 </w:t>
      </w:r>
      <w:r>
        <w:rPr>
          <w:rFonts w:ascii="Arial" w:cs="Arial" w:eastAsia="Arial" w:hAnsi="Arial"/>
          <w:sz w:val="19"/>
          <w:szCs w:val="19"/>
          <w:b w:val="1"/>
          <w:bCs w:val="1"/>
          <w:color w:val="000000"/>
        </w:rPr>
        <w:t>Grant of Dividend Equivalent Rights.</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Committee, in its sole discretion, may include in the Award</w:t>
      </w:r>
      <w:r>
        <w:rPr>
          <w:rFonts w:ascii="Arial" w:cs="Arial" w:eastAsia="Arial" w:hAnsi="Arial"/>
          <w:sz w:val="19"/>
          <w:szCs w:val="19"/>
          <w:b w:val="1"/>
          <w:bCs w:val="1"/>
          <w:color w:val="010000"/>
        </w:rPr>
        <w:t xml:space="preserve"> </w:t>
      </w:r>
      <w:r>
        <w:rPr>
          <w:rFonts w:ascii="Arial" w:cs="Arial" w:eastAsia="Arial" w:hAnsi="Arial"/>
          <w:sz w:val="19"/>
          <w:szCs w:val="19"/>
          <w:color w:val="000000"/>
        </w:rPr>
        <w:t>Agreement with respect to any Award, other than Options and Stock Appreciation Rights, a dividend equivalent right entitling the Participant to receive amounts equal to all or any portion of the regular cash dividends that would be paid on the Shares covered by such Award if such Shares had been delivered pursuant to such Award.</w:t>
      </w:r>
    </w:p>
    <w:p>
      <w:pPr>
        <w:spacing w:after="0" w:line="181"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19"/>
          <w:szCs w:val="19"/>
          <w:b w:val="1"/>
          <w:bCs w:val="1"/>
          <w:color w:val="010000"/>
        </w:rPr>
        <w:t xml:space="preserve">10.2 </w:t>
      </w:r>
      <w:r>
        <w:rPr>
          <w:rFonts w:ascii="Arial" w:cs="Arial" w:eastAsia="Arial" w:hAnsi="Arial"/>
          <w:sz w:val="19"/>
          <w:szCs w:val="19"/>
          <w:b w:val="1"/>
          <w:bCs w:val="1"/>
          <w:color w:val="000000"/>
        </w:rPr>
        <w:t>Terms of Dividend Equivalent Rights.</w:t>
      </w:r>
      <w:r>
        <w:rPr>
          <w:rFonts w:ascii="Arial" w:cs="Arial" w:eastAsia="Arial" w:hAnsi="Arial"/>
          <w:sz w:val="19"/>
          <w:szCs w:val="19"/>
          <w:b w:val="1"/>
          <w:bCs w:val="1"/>
          <w:color w:val="010000"/>
        </w:rPr>
        <w:t xml:space="preserve"> </w:t>
      </w:r>
      <w:r>
        <w:rPr>
          <w:rFonts w:ascii="Arial" w:cs="Arial" w:eastAsia="Arial" w:hAnsi="Arial"/>
          <w:sz w:val="19"/>
          <w:szCs w:val="19"/>
          <w:color w:val="000000"/>
        </w:rPr>
        <w:t>With respect to a dividend equivalent right, a Participant will have only</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rights of a general unsecured creditor of the Company until payment of such amounts is made as specified in the applicable Award Agreement. In the event such a provision is included in an Award Agreement, the Committee will determine whether such payments will be made in cash, in Shares or in another form, whether they will be conditioned upon the exercise of the Award to which they relate, the time or times at which they will be made, and such other terms and conditions as the Committee will deem appropriate. Notwithstanding anything to the contrary, no dividends or dividend equivalents will be paid at a time when any performance-based goals that apply to the dividend equivalent right or Award that is granted in connection with a dividend or dividend equivalent right have not been satisfied and will revert back to the Company if such goals are not satisfied.</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010000"/>
        </w:rPr>
        <w:t xml:space="preserve">Article 11. </w:t>
      </w:r>
      <w:r>
        <w:rPr>
          <w:rFonts w:ascii="Arial" w:cs="Arial" w:eastAsia="Arial" w:hAnsi="Arial"/>
          <w:sz w:val="19"/>
          <w:szCs w:val="19"/>
          <w:b w:val="1"/>
          <w:bCs w:val="1"/>
          <w:color w:val="000000"/>
        </w:rPr>
        <w:t>Other Stock-Based Awards</w:t>
      </w:r>
    </w:p>
    <w:p>
      <w:pPr>
        <w:spacing w:after="0" w:line="22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The Committee, in its sole discretion, may grant Awards of Shares and Awards that are valued, in whole or in part, by reference to, or are otherwise based on the fair market value of, Shares (the “</w:t>
      </w:r>
      <w:r>
        <w:rPr>
          <w:rFonts w:ascii="Arial" w:cs="Arial" w:eastAsia="Arial" w:hAnsi="Arial"/>
          <w:sz w:val="17"/>
          <w:szCs w:val="17"/>
          <w:b w:val="1"/>
          <w:bCs w:val="1"/>
          <w:color w:val="auto"/>
        </w:rPr>
        <w:t>Other Stock-Based Awards</w:t>
      </w:r>
      <w:r>
        <w:rPr>
          <w:rFonts w:ascii="Arial" w:cs="Arial" w:eastAsia="Arial" w:hAnsi="Arial"/>
          <w:sz w:val="17"/>
          <w:szCs w:val="17"/>
          <w:color w:val="auto"/>
        </w:rPr>
        <w:t>”), including without limitation, phantom awards. Such Other Stock-Based Awards shall be in such form, and dependent on such conditions, if any, as the Committee shall determine, including, without limitation, the right to receive one or more Shares (or the equivalent cash value of such Shares) upon the completion of a specified period of Service, the occurrence of an event and/or the attainment of performance objectives. Other Stock-Based Awards may be granted alone or in addition to any other Awards granted under the Plan.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of cash and Shares, and all other terms and conditions of such Awards.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3" w:name="page64"/>
    <w:bookmarkEnd w:id="63"/>
    <w:p>
      <w:pPr>
        <w:spacing w:after="0"/>
        <w:rPr>
          <w:sz w:val="20"/>
          <w:szCs w:val="20"/>
          <w:color w:val="auto"/>
        </w:rPr>
      </w:pPr>
      <w:r>
        <w:rPr>
          <w:rFonts w:ascii="Arial" w:cs="Arial" w:eastAsia="Arial" w:hAnsi="Arial"/>
          <w:sz w:val="19"/>
          <w:szCs w:val="19"/>
          <w:b w:val="1"/>
          <w:bCs w:val="1"/>
          <w:color w:val="010000"/>
        </w:rPr>
        <w:t>Article 12.</w:t>
      </w:r>
      <w:r>
        <w:rPr>
          <w:rFonts w:ascii="Arial" w:cs="Arial" w:eastAsia="Arial" w:hAnsi="Arial"/>
          <w:sz w:val="19"/>
          <w:szCs w:val="19"/>
          <w:b w:val="1"/>
          <w:bCs w:val="1"/>
          <w:color w:val="000000"/>
        </w:rPr>
        <w:t>[Intentionally Omitted]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010000"/>
        </w:rPr>
        <w:t>Article 13.</w:t>
      </w:r>
      <w:r>
        <w:rPr>
          <w:rFonts w:ascii="Arial" w:cs="Arial" w:eastAsia="Arial" w:hAnsi="Arial"/>
          <w:sz w:val="19"/>
          <w:szCs w:val="19"/>
          <w:b w:val="1"/>
          <w:bCs w:val="1"/>
          <w:color w:val="000000"/>
        </w:rPr>
        <w:t>Section 409A</w:t>
      </w:r>
    </w:p>
    <w:p>
      <w:pPr>
        <w:spacing w:after="0" w:line="214"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010000"/>
        </w:rPr>
        <w:t>13.1</w:t>
      </w:r>
      <w:r>
        <w:rPr>
          <w:sz w:val="20"/>
          <w:szCs w:val="20"/>
          <w:color w:val="auto"/>
        </w:rPr>
        <w:tab/>
      </w:r>
      <w:r>
        <w:rPr>
          <w:rFonts w:ascii="Arial" w:cs="Arial" w:eastAsia="Arial" w:hAnsi="Arial"/>
          <w:sz w:val="17"/>
          <w:szCs w:val="17"/>
          <w:color w:val="auto"/>
        </w:rPr>
        <w:t>The Board and the Committee shall have full authority to give effect to any statement in an Award Agreement to</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effect that an Award is intended to be “deferred compensation” subject to Section 409A, to be exempt from Section 409A or to have other intended treatment under Section 409A and/or other provision of the Code. To the extent necessary to give effect to this authority, in the case of any conflict or potential inconsistency between the Plan and a provision of any Award or Award Agreement with respect to the subject matter of this paragraph, the Plan shall govern.</w:t>
      </w:r>
    </w:p>
    <w:p>
      <w:pPr>
        <w:spacing w:after="0" w:line="188" w:lineRule="exact"/>
        <w:rPr>
          <w:sz w:val="20"/>
          <w:szCs w:val="20"/>
          <w:color w:val="auto"/>
        </w:rPr>
      </w:pPr>
    </w:p>
    <w:p>
      <w:pPr>
        <w:jc w:val="both"/>
        <w:ind w:firstLine="864"/>
        <w:spacing w:after="0" w:line="218" w:lineRule="exact"/>
        <w:rPr>
          <w:sz w:val="20"/>
          <w:szCs w:val="20"/>
          <w:color w:val="auto"/>
        </w:rPr>
      </w:pPr>
      <w:r>
        <w:rPr>
          <w:rFonts w:ascii="Arial" w:cs="Arial" w:eastAsia="Arial" w:hAnsi="Arial"/>
          <w:sz w:val="17"/>
          <w:szCs w:val="17"/>
          <w:b w:val="1"/>
          <w:bCs w:val="1"/>
          <w:color w:val="010000"/>
        </w:rPr>
        <w:t xml:space="preserve">13.2 </w:t>
      </w:r>
      <w:r>
        <w:rPr>
          <w:rFonts w:ascii="Arial" w:cs="Arial" w:eastAsia="Arial" w:hAnsi="Arial"/>
          <w:sz w:val="17"/>
          <w:szCs w:val="17"/>
          <w:color w:val="000000"/>
        </w:rPr>
        <w:t>Without limiting the generality of</w:t>
      </w:r>
      <w:r>
        <w:rPr>
          <w:rFonts w:ascii="Arial" w:cs="Arial" w:eastAsia="Arial" w:hAnsi="Arial"/>
          <w:sz w:val="17"/>
          <w:szCs w:val="17"/>
          <w:b w:val="1"/>
          <w:bCs w:val="1"/>
          <w:color w:val="010000"/>
        </w:rPr>
        <w:t xml:space="preserve"> </w:t>
      </w:r>
      <w:r>
        <w:rPr>
          <w:rFonts w:ascii="Arial" w:cs="Arial" w:eastAsia="Arial" w:hAnsi="Arial"/>
          <w:sz w:val="17"/>
          <w:szCs w:val="17"/>
          <w:u w:val="single" w:color="auto"/>
          <w:color w:val="000000"/>
        </w:rPr>
        <w:t>Section 13.1</w:t>
      </w:r>
      <w:r>
        <w:rPr>
          <w:rFonts w:ascii="Arial" w:cs="Arial" w:eastAsia="Arial" w:hAnsi="Arial"/>
          <w:sz w:val="17"/>
          <w:szCs w:val="17"/>
          <w:color w:val="000000"/>
        </w:rPr>
        <w:t>, with respect to any Award made under the Plan that is intended to</w:t>
      </w:r>
      <w:r>
        <w:rPr>
          <w:rFonts w:ascii="Arial" w:cs="Arial" w:eastAsia="Arial" w:hAnsi="Arial"/>
          <w:sz w:val="17"/>
          <w:szCs w:val="17"/>
          <w:b w:val="1"/>
          <w:bCs w:val="1"/>
          <w:color w:val="010000"/>
        </w:rPr>
        <w:t xml:space="preserve"> </w:t>
      </w:r>
      <w:r>
        <w:rPr>
          <w:rFonts w:ascii="Arial" w:cs="Arial" w:eastAsia="Arial" w:hAnsi="Arial"/>
          <w:sz w:val="17"/>
          <w:szCs w:val="17"/>
          <w:color w:val="000000"/>
        </w:rPr>
        <w:t xml:space="preserve">be “deferred compensation” subject to Section 409A: (i) references to termination of the Participant’s employment will mean the Participant’s separation from service with the Company within the meaning of Section 409A; (ii) any payment to be made with respect to such Award in connection with the Participant’s separation from service with the Company within the meaning of Section 409A that would be subject to the limitations in Section 409A(a)(2)(b) of the Code shall be delayed until six months after the Participant’s separation from service (or earlier death) in accordance with the requirements of Section 409A; (iii) to the extent necessary to comply with Section 409A, any cash, other securities, other Awards or other property that the Company may deliver in lieu of Shares in respect of an Award shall not have the effect of deferring delivery or payment beyond the date on which such delivery or payment would occur with respect to the Shares that would otherwise have been deliverable (unless the Committee elects a later date for this purpose in accordance with the requirements of Section 409A); (iv) if the Award includes a “series of installment payments” (within the meaning of Section 1.409A-2(b)(2)(iii) of the regulations promulgated under the Code), the Participant’s right to the series of installment payments shall be treated as a right to a series of separate payments and not as a right to a single payment; (v) if the Award includes “dividend equivalents” (within the meaning of Section 1.409A-3(e) of the regulations promulgated under the Code), the Participant’s right to the dividend equivalents shall be treated separately from the right to other amounts under the Award; and (vi) unless the Committee determines otherwise, for purposes of determining whether the Participant has experienced a separation from service with the Company within the meaning of Section 409A, “subsidiary” shall mean a corporation or other entity in a chain of corporations or other entities in which each corporation or other entity, starting with the Company, has a controlling interest in another corporation or other entity in the chain, ending with such corporation or other entity. For purposes of the preceding sentence, the term “controlling interest” has the same meaning as provided in Section 1.414(c)-2(b)(2)(i) of the regulations promulgated under the Code; </w:t>
      </w:r>
      <w:r>
        <w:rPr>
          <w:rFonts w:ascii="Arial" w:cs="Arial" w:eastAsia="Arial" w:hAnsi="Arial"/>
          <w:sz w:val="17"/>
          <w:szCs w:val="17"/>
          <w:u w:val="single" w:color="auto"/>
          <w:color w:val="000000"/>
        </w:rPr>
        <w:t>provided that</w:t>
      </w:r>
      <w:r>
        <w:rPr>
          <w:rFonts w:ascii="Arial" w:cs="Arial" w:eastAsia="Arial" w:hAnsi="Arial"/>
          <w:sz w:val="17"/>
          <w:szCs w:val="17"/>
          <w:color w:val="000000"/>
        </w:rPr>
        <w:t xml:space="preserve"> the language “at least 20 percent” is used instead of “at least 80 percent” each place it appears in Section 1.414(c)</w:t>
      </w:r>
      <w:r>
        <w:rPr>
          <w:rFonts w:ascii="MS PGothic" w:cs="MS PGothic" w:eastAsia="MS PGothic" w:hAnsi="MS PGothic"/>
          <w:sz w:val="17"/>
          <w:szCs w:val="17"/>
          <w:color w:val="000000"/>
        </w:rPr>
        <w:t>‑</w:t>
      </w:r>
      <w:r>
        <w:rPr>
          <w:rFonts w:ascii="Arial" w:cs="Arial" w:eastAsia="Arial" w:hAnsi="Arial"/>
          <w:sz w:val="17"/>
          <w:szCs w:val="17"/>
          <w:color w:val="000000"/>
        </w:rPr>
        <w:t>2(b)(2)(i) of the regulations promulgated under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4" w:name="page65"/>
    <w:bookmarkEnd w:id="64"/>
    <w:p>
      <w:pPr>
        <w:spacing w:after="0"/>
        <w:rPr>
          <w:sz w:val="20"/>
          <w:szCs w:val="20"/>
          <w:color w:val="auto"/>
        </w:rPr>
      </w:pPr>
      <w:r>
        <w:rPr>
          <w:rFonts w:ascii="Arial" w:cs="Arial" w:eastAsia="Arial" w:hAnsi="Arial"/>
          <w:sz w:val="19"/>
          <w:szCs w:val="19"/>
          <w:b w:val="1"/>
          <w:bCs w:val="1"/>
          <w:color w:val="010000"/>
        </w:rPr>
        <w:t>Article 14.</w:t>
      </w:r>
      <w:r>
        <w:rPr>
          <w:rFonts w:ascii="Arial" w:cs="Arial" w:eastAsia="Arial" w:hAnsi="Arial"/>
          <w:sz w:val="19"/>
          <w:szCs w:val="19"/>
          <w:b w:val="1"/>
          <w:bCs w:val="1"/>
          <w:color w:val="000000"/>
        </w:rPr>
        <w:t>Adjustments</w:t>
      </w:r>
    </w:p>
    <w:p>
      <w:pPr>
        <w:spacing w:after="0" w:line="214"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010000"/>
        </w:rPr>
        <w:t>14.1</w:t>
      </w:r>
      <w:r>
        <w:rPr>
          <w:sz w:val="20"/>
          <w:szCs w:val="20"/>
          <w:color w:val="auto"/>
        </w:rPr>
        <w:tab/>
      </w:r>
      <w:r>
        <w:rPr>
          <w:rFonts w:ascii="Arial" w:cs="Arial" w:eastAsia="Arial" w:hAnsi="Arial"/>
          <w:sz w:val="17"/>
          <w:szCs w:val="17"/>
          <w:b w:val="1"/>
          <w:bCs w:val="1"/>
          <w:color w:val="auto"/>
        </w:rPr>
        <w:t>Adjustments in Authorized Shares</w:t>
      </w:r>
    </w:p>
    <w:p>
      <w:pPr>
        <w:spacing w:after="0" w:line="220" w:lineRule="exact"/>
        <w:rPr>
          <w:sz w:val="20"/>
          <w:szCs w:val="20"/>
          <w:color w:val="auto"/>
        </w:rPr>
      </w:pPr>
    </w:p>
    <w:p>
      <w:pPr>
        <w:jc w:val="both"/>
        <w:ind w:firstLine="872"/>
        <w:spacing w:after="0" w:line="255" w:lineRule="auto"/>
        <w:tabs>
          <w:tab w:leader="none" w:pos="96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of any corporate event or transaction involving the Company, a Subsidiary and/or an Affiliate (including, but not limited to, a change in the Shares of the Company or the capitalization of the Company) such as a merger, consolidation, reorganization, recapitalization, separation, stock dividend, stock split, reverse stock split, split up, spin-off, combination of Shares, exchange of Shares, dividend in kind, amalgamation, or other like change in capital structure (other than regular cash dividends to shareholders of the Company), or any similar corporate event or transaction, the Committee, to prevent dilution or enlargement of Participants’ rights under the Plan, shall substitute or adjust (in each case in such manner as it deems equitable or appropriate) the number and kind of Shares or other property (including cash) that may be issued under the Plan or under particular forms of Awards, the number and kind of Shares or other property (including cash) subject to outstanding Awards, the Option Price, grant price or purchase price applicable to outstanding Awards, any individual Award limits, and/or other value determinations applicable to the Plan or outstanding Awards.</w:t>
      </w:r>
    </w:p>
    <w:p>
      <w:pPr>
        <w:spacing w:after="0" w:line="17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010000"/>
        </w:rPr>
        <w:t>14.2</w:t>
      </w:r>
      <w:r>
        <w:rPr>
          <w:sz w:val="20"/>
          <w:szCs w:val="20"/>
          <w:color w:val="auto"/>
        </w:rPr>
        <w:tab/>
      </w:r>
      <w:r>
        <w:rPr>
          <w:rFonts w:ascii="Arial" w:cs="Arial" w:eastAsia="Arial" w:hAnsi="Arial"/>
          <w:sz w:val="17"/>
          <w:szCs w:val="17"/>
          <w:b w:val="1"/>
          <w:bCs w:val="1"/>
          <w:color w:val="auto"/>
        </w:rPr>
        <w:t>Change of Control</w:t>
      </w:r>
    </w:p>
    <w:p>
      <w:pPr>
        <w:spacing w:after="0" w:line="220" w:lineRule="exact"/>
        <w:rPr>
          <w:sz w:val="20"/>
          <w:szCs w:val="20"/>
          <w:color w:val="auto"/>
        </w:rPr>
      </w:pPr>
    </w:p>
    <w:p>
      <w:pPr>
        <w:jc w:val="both"/>
        <w:ind w:firstLine="872"/>
        <w:spacing w:after="0" w:line="252" w:lineRule="auto"/>
        <w:tabs>
          <w:tab w:leader="none" w:pos="9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Upon the occurrence of a Change of Control after the Effective Date, unless otherwise specifically prohibited under applicable laws or by the rules and regulations of any governing governmental agencies or national securities exchanges or unless the Committee shall determine otherwise in the Award Agreement, the Committee shall make one or more of the following adjustments to the terms and conditions of outstanding Awards to the extent determined by the Committee to be permitted under Section 409A: (i) continuation or assumption of such outstanding Awards under the Plan by the Company (if it is the surviving company or corporation) or by the surviving company or corporation or its parent; (ii) substitution by the surviving company or corporation or its parent of awards with substantially the same terms for such outstanding Awards; (iii) accelerated exercisability, vesting and/or lapse of restrictions under outstanding Awards immediately prior to the occurrence of such event; (iv) upon written notice, provide that any outstanding Awards must be exercised, to the extent then exercisable, during a reasonable period of time immediately prior to the scheduled consummation of the event, or such other period as determined by the Committee (contingent upon the consummation of the event), and at the end of such period, such Awards shall terminate to the extent not so exercised within the relevant period; (v) cancellation of all or any portion of outstanding Awards for fair value (as determined in the sole discretion of the Committee and which may be zero) which, in the case of Options and Stock Appreciation Rights or similar Awards, if the Committee so determines, may equal the excess, if any, of the value of the consideration to be paid in the Change of Control transaction to holders of the same number of Shares subject to such Awards (or, if no such consideration is paid, fair market value of the Shares subject to such outstanding Awards or portion thereof being canceled) over the aggregate Option Price or grant price, as applicable, with respect to such Awards or portion thereof being canceled (which may be zero) and (vi) such other adjustment as determined appropriate by the Committee. The Company shall have no liability to any Participant or otherwise if the Plan or any Award, vesting, exercise or payment of any Award hereunder is subject to the additional tax and penalties under Section 409A or any other Code section.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5" w:name="page66"/>
    <w:bookmarkEnd w:id="65"/>
    <w:p>
      <w:pPr>
        <w:spacing w:after="0"/>
        <w:rPr>
          <w:sz w:val="20"/>
          <w:szCs w:val="20"/>
          <w:color w:val="auto"/>
        </w:rPr>
      </w:pPr>
      <w:r>
        <w:rPr>
          <w:rFonts w:ascii="Arial" w:cs="Arial" w:eastAsia="Arial" w:hAnsi="Arial"/>
          <w:sz w:val="19"/>
          <w:szCs w:val="19"/>
          <w:b w:val="1"/>
          <w:bCs w:val="1"/>
          <w:color w:val="010000"/>
        </w:rPr>
        <w:t>Article 15.</w:t>
      </w:r>
      <w:r>
        <w:rPr>
          <w:rFonts w:ascii="Arial" w:cs="Arial" w:eastAsia="Arial" w:hAnsi="Arial"/>
          <w:sz w:val="19"/>
          <w:szCs w:val="19"/>
          <w:b w:val="1"/>
          <w:bCs w:val="1"/>
          <w:color w:val="000000"/>
        </w:rPr>
        <w:t>Duration, Amendment</w:t>
      </w:r>
    </w:p>
    <w:p>
      <w:pPr>
        <w:spacing w:after="0" w:line="214"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010000"/>
        </w:rPr>
        <w:t>15.1</w:t>
      </w:r>
      <w:r>
        <w:rPr>
          <w:sz w:val="20"/>
          <w:szCs w:val="20"/>
          <w:color w:val="auto"/>
        </w:rPr>
        <w:tab/>
      </w:r>
      <w:r>
        <w:rPr>
          <w:rFonts w:ascii="Arial" w:cs="Arial" w:eastAsia="Arial" w:hAnsi="Arial"/>
          <w:sz w:val="17"/>
          <w:szCs w:val="17"/>
          <w:b w:val="1"/>
          <w:bCs w:val="1"/>
          <w:color w:val="auto"/>
        </w:rPr>
        <w:t>Duration of the Plan</w:t>
      </w:r>
    </w:p>
    <w:p>
      <w:pPr>
        <w:spacing w:after="0" w:line="220" w:lineRule="exact"/>
        <w:rPr>
          <w:sz w:val="20"/>
          <w:szCs w:val="20"/>
          <w:color w:val="auto"/>
        </w:rPr>
      </w:pPr>
    </w:p>
    <w:p>
      <w:pPr>
        <w:jc w:val="both"/>
        <w:ind w:right="20" w:firstLine="872"/>
        <w:spacing w:after="0" w:line="249" w:lineRule="auto"/>
        <w:tabs>
          <w:tab w:leader="none" w:pos="964"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Unless sooner terminated as provided in </w:t>
      </w:r>
      <w:r>
        <w:rPr>
          <w:rFonts w:ascii="Arial" w:cs="Arial" w:eastAsia="Arial" w:hAnsi="Arial"/>
          <w:sz w:val="19"/>
          <w:szCs w:val="19"/>
          <w:u w:val="single" w:color="auto"/>
          <w:color w:val="auto"/>
        </w:rPr>
        <w:t>Section 15.2</w:t>
      </w:r>
      <w:r>
        <w:rPr>
          <w:rFonts w:ascii="Arial" w:cs="Arial" w:eastAsia="Arial" w:hAnsi="Arial"/>
          <w:sz w:val="19"/>
          <w:szCs w:val="19"/>
          <w:color w:val="auto"/>
        </w:rPr>
        <w:t xml:space="preserve">, the Plan shall terminate on the 10th anniversary of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all Awards made under the Plan before its termination will remain in effect until such Awards have been satisfied or terminated in accordance with the terms and provisions of the Plan and the applicable Award Agreements.</w:t>
      </w:r>
    </w:p>
    <w:p>
      <w:pPr>
        <w:spacing w:after="0" w:line="17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010000"/>
        </w:rPr>
        <w:t>15.2</w:t>
      </w:r>
      <w:r>
        <w:rPr>
          <w:sz w:val="20"/>
          <w:szCs w:val="20"/>
          <w:color w:val="auto"/>
        </w:rPr>
        <w:tab/>
      </w:r>
      <w:r>
        <w:rPr>
          <w:rFonts w:ascii="Arial" w:cs="Arial" w:eastAsia="Arial" w:hAnsi="Arial"/>
          <w:sz w:val="17"/>
          <w:szCs w:val="17"/>
          <w:b w:val="1"/>
          <w:bCs w:val="1"/>
          <w:color w:val="auto"/>
        </w:rPr>
        <w:t>Amendment</w:t>
      </w:r>
    </w:p>
    <w:p>
      <w:pPr>
        <w:spacing w:after="0" w:line="220" w:lineRule="exact"/>
        <w:rPr>
          <w:sz w:val="20"/>
          <w:szCs w:val="20"/>
          <w:color w:val="auto"/>
        </w:rPr>
      </w:pPr>
    </w:p>
    <w:p>
      <w:pPr>
        <w:jc w:val="both"/>
        <w:ind w:firstLine="872"/>
        <w:spacing w:after="0" w:line="245" w:lineRule="auto"/>
        <w:tabs>
          <w:tab w:leader="none" w:pos="958"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The Committee may from time to time amend, alter, suspend, discontinue, or terminate the Plan or an Award in any respect whatsoever, including in any manner that adversely affects the rights, duties or obligations of any Participant;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or as otherwise specifically provided in the Plan, no amendment shall materially adversely impair the rights of a Participant under any Award without such Participant’s consent.</w:t>
      </w:r>
    </w:p>
    <w:p>
      <w:pPr>
        <w:spacing w:after="0" w:line="18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 xml:space="preserve">Unless otherwise determined by the Committee, shareholder approval of any amendment, alteration, suspension or discontinuance will be obtained only to the extent necessary to comply with any applicable laws;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shareholder approval will be required for any amendment to the Plan that, in each case as reasonably determined by the Committee: (i) increases the number of Shares available under the Plan (other than an increase permitted under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absent shareholder approval); (ii) expands the types of Awards available under the Plan; (iii) materially extends the term of the Plan; (iv) materially changes the method of determining the Option Price or grant price per Share for Stock Appreciation Rights; or (v) except as permitted pursuant to </w:t>
      </w:r>
      <w:r>
        <w:rPr>
          <w:rFonts w:ascii="Arial" w:cs="Arial" w:eastAsia="Arial" w:hAnsi="Arial"/>
          <w:sz w:val="17"/>
          <w:szCs w:val="17"/>
          <w:u w:val="single" w:color="auto"/>
          <w:color w:val="auto"/>
        </w:rPr>
        <w:t>Article 14</w:t>
      </w:r>
      <w:r>
        <w:rPr>
          <w:rFonts w:ascii="Arial" w:cs="Arial" w:eastAsia="Arial" w:hAnsi="Arial"/>
          <w:sz w:val="17"/>
          <w:szCs w:val="17"/>
          <w:color w:val="auto"/>
        </w:rPr>
        <w:t>, reduces the Option Price or grant price per Share, as applicable, of any outstanding Options or Stock Appreciation Rights, including through amendment, cancellation in exchange for the grant of a substitute Award (in each case that has the effect of reducing the Option Price or grant price per Share, as applicable) or repurchase for cash or other consideration.</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010000"/>
        </w:rPr>
        <w:t>Article 16.</w:t>
      </w:r>
      <w:r>
        <w:rPr>
          <w:rFonts w:ascii="Arial" w:cs="Arial" w:eastAsia="Arial" w:hAnsi="Arial"/>
          <w:sz w:val="19"/>
          <w:szCs w:val="19"/>
          <w:b w:val="1"/>
          <w:bCs w:val="1"/>
          <w:color w:val="000000"/>
        </w:rPr>
        <w:t>General Provisions</w:t>
      </w:r>
    </w:p>
    <w:p>
      <w:pPr>
        <w:spacing w:after="0" w:line="214"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010000"/>
        </w:rPr>
        <w:t>16.1</w:t>
      </w:r>
      <w:r>
        <w:rPr>
          <w:sz w:val="20"/>
          <w:szCs w:val="20"/>
          <w:color w:val="auto"/>
        </w:rPr>
        <w:tab/>
      </w:r>
      <w:r>
        <w:rPr>
          <w:rFonts w:ascii="Arial" w:cs="Arial" w:eastAsia="Arial" w:hAnsi="Arial"/>
          <w:sz w:val="16"/>
          <w:szCs w:val="16"/>
          <w:b w:val="1"/>
          <w:bCs w:val="1"/>
          <w:color w:val="auto"/>
        </w:rPr>
        <w:t>No Right to Service</w:t>
      </w:r>
    </w:p>
    <w:p>
      <w:pPr>
        <w:spacing w:after="0" w:line="220" w:lineRule="exact"/>
        <w:rPr>
          <w:sz w:val="20"/>
          <w:szCs w:val="20"/>
          <w:color w:val="auto"/>
        </w:rPr>
      </w:pPr>
    </w:p>
    <w:p>
      <w:pPr>
        <w:jc w:val="both"/>
        <w:ind w:firstLine="872"/>
        <w:spacing w:after="0" w:line="278" w:lineRule="auto"/>
        <w:tabs>
          <w:tab w:leader="none" w:pos="969"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granting of an Award under the Plan shall impose no obligation on the Company, any Subsidiary or any Affiliate to continue the Service of a Participant and shall not lessen or affect any right that the Company, any Subsidiary or any Affiliate may have to terminate the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15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010000"/>
        </w:rPr>
        <w:t>16.2</w:t>
      </w:r>
      <w:r>
        <w:rPr>
          <w:sz w:val="20"/>
          <w:szCs w:val="20"/>
          <w:color w:val="auto"/>
        </w:rPr>
        <w:tab/>
      </w:r>
      <w:r>
        <w:rPr>
          <w:rFonts w:ascii="Arial" w:cs="Arial" w:eastAsia="Arial" w:hAnsi="Arial"/>
          <w:sz w:val="16"/>
          <w:szCs w:val="16"/>
          <w:b w:val="1"/>
          <w:bCs w:val="1"/>
          <w:color w:val="auto"/>
        </w:rPr>
        <w:t>Foreign Jurisdictions</w:t>
      </w:r>
    </w:p>
    <w:p>
      <w:pPr>
        <w:spacing w:after="0" w:line="220" w:lineRule="exact"/>
        <w:rPr>
          <w:sz w:val="20"/>
          <w:szCs w:val="20"/>
          <w:color w:val="auto"/>
        </w:rPr>
      </w:pPr>
    </w:p>
    <w:p>
      <w:pPr>
        <w:jc w:val="both"/>
        <w:ind w:firstLine="872"/>
        <w:spacing w:after="0" w:line="292" w:lineRule="auto"/>
        <w:tabs>
          <w:tab w:leader="none" w:pos="97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the extent the Committee deems it necessary, appropriate or desirable to comply with foreign law or practices and to further the purposes of the Plan, the Committee may, without amending the Plan, establish special rules applicable to Awards to Participants who are foreign nationals, are employed outside of the United States or both and grant Awards (or amend existing Awards) in accordance with those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6" w:name="page67"/>
    <w:bookmarkEnd w:id="66"/>
    <w:p>
      <w:pPr>
        <w:ind w:left="880"/>
        <w:spacing w:after="0"/>
        <w:tabs>
          <w:tab w:leader="none" w:pos="2480" w:val="left"/>
        </w:tabs>
        <w:rPr>
          <w:sz w:val="20"/>
          <w:szCs w:val="20"/>
          <w:color w:val="auto"/>
        </w:rPr>
      </w:pPr>
      <w:r>
        <w:rPr>
          <w:rFonts w:ascii="Arial" w:cs="Arial" w:eastAsia="Arial" w:hAnsi="Arial"/>
          <w:sz w:val="19"/>
          <w:szCs w:val="19"/>
          <w:b w:val="1"/>
          <w:bCs w:val="1"/>
          <w:color w:val="010000"/>
        </w:rPr>
        <w:t>16.3</w:t>
      </w:r>
      <w:r>
        <w:rPr>
          <w:sz w:val="20"/>
          <w:szCs w:val="20"/>
          <w:color w:val="auto"/>
        </w:rPr>
        <w:tab/>
      </w:r>
      <w:r>
        <w:rPr>
          <w:rFonts w:ascii="Arial" w:cs="Arial" w:eastAsia="Arial" w:hAnsi="Arial"/>
          <w:sz w:val="16"/>
          <w:szCs w:val="16"/>
          <w:b w:val="1"/>
          <w:bCs w:val="1"/>
          <w:color w:val="auto"/>
        </w:rPr>
        <w:t>Settlement of Awards; Fractional Shares</w:t>
      </w:r>
    </w:p>
    <w:p>
      <w:pPr>
        <w:spacing w:after="0" w:line="220" w:lineRule="exact"/>
        <w:rPr>
          <w:sz w:val="20"/>
          <w:szCs w:val="20"/>
          <w:color w:val="auto"/>
        </w:rPr>
      </w:pPr>
    </w:p>
    <w:p>
      <w:pPr>
        <w:jc w:val="both"/>
        <w:ind w:firstLine="872"/>
        <w:spacing w:after="0" w:line="249" w:lineRule="auto"/>
        <w:tabs>
          <w:tab w:leader="none" w:pos="978" w:val="left"/>
        </w:tabs>
        <w:numPr>
          <w:ilvl w:val="0"/>
          <w:numId w:val="66"/>
        </w:numPr>
        <w:rPr>
          <w:rFonts w:ascii="Arial" w:cs="Arial" w:eastAsia="Arial" w:hAnsi="Arial"/>
          <w:sz w:val="19"/>
          <w:szCs w:val="19"/>
          <w:color w:val="auto"/>
        </w:rPr>
      </w:pPr>
      <w:r>
        <w:rPr>
          <w:rFonts w:ascii="Arial" w:cs="Arial" w:eastAsia="Arial" w:hAnsi="Arial"/>
          <w:sz w:val="19"/>
          <w:szCs w:val="19"/>
          <w:color w:val="auto"/>
        </w:rPr>
        <w:t>Each Award Agreement shall establish the form in which the Award shall be settled. The Committee shall determine whether cash, Awards, other securities or other property shall be issued or paid in lieu of fractional Shares or whether such fractional Shares or any rights thereto shall be rounded, forfeited or otherwise eliminated.</w:t>
      </w:r>
    </w:p>
    <w:p>
      <w:pPr>
        <w:spacing w:after="0" w:line="17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010000"/>
        </w:rPr>
        <w:t>16.4</w:t>
      </w:r>
      <w:r>
        <w:rPr>
          <w:sz w:val="20"/>
          <w:szCs w:val="20"/>
          <w:color w:val="auto"/>
        </w:rPr>
        <w:tab/>
      </w:r>
      <w:r>
        <w:rPr>
          <w:rFonts w:ascii="Arial" w:cs="Arial" w:eastAsia="Arial" w:hAnsi="Arial"/>
          <w:sz w:val="17"/>
          <w:szCs w:val="17"/>
          <w:b w:val="1"/>
          <w:bCs w:val="1"/>
          <w:color w:val="auto"/>
        </w:rPr>
        <w:t>Tax Withholding</w:t>
      </w:r>
    </w:p>
    <w:p>
      <w:pPr>
        <w:spacing w:after="0" w:line="220" w:lineRule="exact"/>
        <w:rPr>
          <w:sz w:val="20"/>
          <w:szCs w:val="20"/>
          <w:color w:val="auto"/>
        </w:rPr>
      </w:pPr>
    </w:p>
    <w:p>
      <w:pPr>
        <w:jc w:val="both"/>
        <w:ind w:firstLine="872"/>
        <w:spacing w:after="0" w:line="256" w:lineRule="auto"/>
        <w:tabs>
          <w:tab w:leader="none" w:pos="9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shall have the power and the right to deduct or withhold (or cause to be deducted or withheld) from any amount deliverable under the Award or otherwise (including Shares otherwise deliverable), or require a Participant to remit to the Company, the minimum statutory amount to satisfy federal, state, and local taxes, domestic or foreign, required by law or regulation to be withheld with respect to any taxable event arising as a result of the Plan. With respect to required withholding, Participants may elect (subject to the Company’s automatic withholding right set out above) to satisfy the withholding requirement, in whole or in part, (i) by having the Company withhold Shares or (ii) through an independent broker-dealer arrangement to sell a sufficient number of Shares, in each case, having a fair market value on the date the tax is to be determined equal to the minimum statutory total tax that could be imposed on the transaction.</w:t>
      </w:r>
    </w:p>
    <w:p>
      <w:pPr>
        <w:spacing w:after="0" w:line="177"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010000"/>
        </w:rPr>
        <w:t>16.5</w:t>
      </w:r>
      <w:r>
        <w:rPr>
          <w:sz w:val="20"/>
          <w:szCs w:val="20"/>
          <w:color w:val="auto"/>
        </w:rPr>
        <w:tab/>
      </w:r>
      <w:r>
        <w:rPr>
          <w:rFonts w:ascii="Arial" w:cs="Arial" w:eastAsia="Arial" w:hAnsi="Arial"/>
          <w:sz w:val="17"/>
          <w:szCs w:val="17"/>
          <w:b w:val="1"/>
          <w:bCs w:val="1"/>
          <w:color w:val="auto"/>
        </w:rPr>
        <w:t>No Guarantees Regarding Tax Treatment</w:t>
      </w:r>
    </w:p>
    <w:p>
      <w:pPr>
        <w:spacing w:after="0" w:line="220" w:lineRule="exact"/>
        <w:rPr>
          <w:sz w:val="20"/>
          <w:szCs w:val="20"/>
          <w:color w:val="auto"/>
        </w:rPr>
      </w:pPr>
    </w:p>
    <w:p>
      <w:pPr>
        <w:jc w:val="both"/>
        <w:ind w:firstLine="872"/>
        <w:spacing w:after="0" w:line="243" w:lineRule="auto"/>
        <w:tabs>
          <w:tab w:leader="none" w:pos="961" w:val="left"/>
        </w:tabs>
        <w:numPr>
          <w:ilvl w:val="0"/>
          <w:numId w:val="68"/>
        </w:numPr>
        <w:rPr>
          <w:rFonts w:ascii="Arial" w:cs="Arial" w:eastAsia="Arial" w:hAnsi="Arial"/>
          <w:sz w:val="19"/>
          <w:szCs w:val="19"/>
          <w:color w:val="auto"/>
        </w:rPr>
      </w:pPr>
      <w:r>
        <w:rPr>
          <w:rFonts w:ascii="Arial" w:cs="Arial" w:eastAsia="Arial" w:hAnsi="Arial"/>
          <w:sz w:val="19"/>
          <w:szCs w:val="19"/>
          <w:color w:val="auto"/>
        </w:rPr>
        <w:t>Participants (or their beneficiaries) shall be responsible for all taxes with respect to any Awards under the Plan. The Committee and the Company make no guarantees to any Person regarding the tax treatment of Awards or payments made under the Plan. Neither the Committee nor the Company has any obligation to take any action to prevent the assessment of any tax on any Person with respect to any Award under Section 409A or otherwise and none of the Company, any of its Subsidiaries or Affiliates, or any of their employees or representatives shall have any liability to a Participant with respect thereto.</w:t>
      </w:r>
    </w:p>
    <w:p>
      <w:pPr>
        <w:spacing w:after="0" w:line="184"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010000"/>
        </w:rPr>
        <w:t>16.6</w:t>
      </w:r>
      <w:r>
        <w:rPr>
          <w:sz w:val="20"/>
          <w:szCs w:val="20"/>
          <w:color w:val="auto"/>
        </w:rPr>
        <w:tab/>
      </w:r>
      <w:r>
        <w:rPr>
          <w:rFonts w:ascii="Arial" w:cs="Arial" w:eastAsia="Arial" w:hAnsi="Arial"/>
          <w:sz w:val="17"/>
          <w:szCs w:val="17"/>
          <w:b w:val="1"/>
          <w:bCs w:val="1"/>
          <w:color w:val="auto"/>
        </w:rPr>
        <w:t>Non-Transferability of Awards</w:t>
      </w:r>
    </w:p>
    <w:p>
      <w:pPr>
        <w:spacing w:after="0" w:line="220" w:lineRule="exact"/>
        <w:rPr>
          <w:sz w:val="20"/>
          <w:szCs w:val="20"/>
          <w:color w:val="auto"/>
        </w:rPr>
      </w:pPr>
    </w:p>
    <w:p>
      <w:pPr>
        <w:jc w:val="both"/>
        <w:ind w:firstLine="872"/>
        <w:spacing w:after="0" w:line="255" w:lineRule="auto"/>
        <w:tabs>
          <w:tab w:leader="none" w:pos="9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Unless otherwise determined by the Committee, an Award shall not be transferable or assignable by the Participant except in the event of his death (subject to the applicable laws of descent and distribution) and any such purported assignment, alienation, pledge, attachment, sale, transfer or encumbrance shall be void and unenforceable against the Company or any Affiliate. No transfer shall be permitted for value or consideration. An Award exercisable after the death of a Participant may be exercised by the heirs, legatees, personal representatives or distributees of the Participant. Any permitted transfer of the Awards to heirs, legatees, personal representatives or distributees of the Participant shall not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of the applicable Award Agreement and this Plan.</w:t>
      </w:r>
    </w:p>
    <w:p>
      <w:pPr>
        <w:spacing w:after="0" w:line="179"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010000"/>
        </w:rPr>
        <w:t>16.7</w:t>
      </w:r>
      <w:r>
        <w:rPr>
          <w:sz w:val="20"/>
          <w:szCs w:val="20"/>
          <w:color w:val="auto"/>
        </w:rPr>
        <w:tab/>
      </w:r>
      <w:r>
        <w:rPr>
          <w:rFonts w:ascii="Arial" w:cs="Arial" w:eastAsia="Arial" w:hAnsi="Arial"/>
          <w:sz w:val="16"/>
          <w:szCs w:val="16"/>
          <w:b w:val="1"/>
          <w:bCs w:val="1"/>
          <w:color w:val="auto"/>
        </w:rPr>
        <w:t>Conditions and Restrictions on Shares</w:t>
      </w:r>
    </w:p>
    <w:p>
      <w:pPr>
        <w:spacing w:after="0" w:line="220" w:lineRule="exact"/>
        <w:rPr>
          <w:sz w:val="20"/>
          <w:szCs w:val="20"/>
          <w:color w:val="auto"/>
        </w:rPr>
      </w:pPr>
    </w:p>
    <w:p>
      <w:pPr>
        <w:jc w:val="both"/>
        <w:ind w:firstLine="872"/>
        <w:spacing w:after="0" w:line="260" w:lineRule="auto"/>
        <w:tabs>
          <w:tab w:leader="none" w:pos="9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Committee may impose such other conditions or restrictions on any Shares received in connection with an Award as it may deem advisable or desirable. These restrictions may include, but shall not be limited to, a requirement that the Participant hold the Shares received for a specified period of time or a requirement that a Participant represent and warrant in writing that the Participant is acquiring the Shares for investment and without any present intention to sell or distribute such Shares. The certificates for Shares may include any legend which the Committee deems appropriate to reflect any conditions and restrictions applicable to such Shares.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7" w:name="page68"/>
    <w:bookmarkEnd w:id="67"/>
    <w:p>
      <w:pPr>
        <w:jc w:val="both"/>
        <w:ind w:firstLine="864"/>
        <w:spacing w:after="0" w:line="247" w:lineRule="auto"/>
        <w:rPr>
          <w:sz w:val="20"/>
          <w:szCs w:val="20"/>
          <w:color w:val="auto"/>
        </w:rPr>
      </w:pPr>
      <w:r>
        <w:rPr>
          <w:rFonts w:ascii="Arial" w:cs="Arial" w:eastAsia="Arial" w:hAnsi="Arial"/>
          <w:sz w:val="19"/>
          <w:szCs w:val="19"/>
          <w:b w:val="1"/>
          <w:bCs w:val="1"/>
          <w:color w:val="010000"/>
        </w:rPr>
        <w:t xml:space="preserve">16.8 </w:t>
      </w:r>
      <w:r>
        <w:rPr>
          <w:rFonts w:ascii="Arial" w:cs="Arial" w:eastAsia="Arial" w:hAnsi="Arial"/>
          <w:sz w:val="19"/>
          <w:szCs w:val="19"/>
          <w:b w:val="1"/>
          <w:bCs w:val="1"/>
          <w:color w:val="000000"/>
        </w:rPr>
        <w:t>Clawback/Recoupment</w:t>
      </w:r>
      <w:r>
        <w:rPr>
          <w:rFonts w:ascii="Arial" w:cs="Arial" w:eastAsia="Arial" w:hAnsi="Arial"/>
          <w:sz w:val="19"/>
          <w:szCs w:val="19"/>
          <w:color w:val="000000"/>
        </w:rPr>
        <w:t>. Awards under the Plan shall be subject to the clawback or recoupment policy, if any, that</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Company may adopt from time to time, whether before or after the grant of such Awards, to the extent provided in such policy and, in accordance with such policy, may be subject to the requirement that the Awards be repaid to the Company after they have been distributed or paid to the Participant.</w:t>
      </w:r>
    </w:p>
    <w:p>
      <w:pPr>
        <w:spacing w:after="0" w:line="181"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9"/>
          <w:szCs w:val="19"/>
          <w:b w:val="1"/>
          <w:bCs w:val="1"/>
          <w:color w:val="010000"/>
        </w:rPr>
        <w:t xml:space="preserve">16.9 </w:t>
      </w:r>
      <w:r>
        <w:rPr>
          <w:rFonts w:ascii="Arial" w:cs="Arial" w:eastAsia="Arial" w:hAnsi="Arial"/>
          <w:sz w:val="19"/>
          <w:szCs w:val="19"/>
          <w:b w:val="1"/>
          <w:bCs w:val="1"/>
          <w:color w:val="000000"/>
        </w:rPr>
        <w:t>Other Payments or Awards</w:t>
      </w:r>
      <w:r>
        <w:rPr>
          <w:rFonts w:ascii="Arial" w:cs="Arial" w:eastAsia="Arial" w:hAnsi="Arial"/>
          <w:sz w:val="19"/>
          <w:szCs w:val="19"/>
          <w:color w:val="000000"/>
        </w:rPr>
        <w:t>. Nothing contained in the Plan will be deemed in any way to limit or restrict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Company from making any award or payment to any person under any other plan, arrangement or understanding, whether now existing or hereafter in effect. In addition, </w:t>
      </w:r>
      <w:r>
        <w:rPr>
          <w:rFonts w:ascii="Arial" w:cs="Arial" w:eastAsia="Arial" w:hAnsi="Arial"/>
          <w:sz w:val="19"/>
          <w:szCs w:val="19"/>
          <w:u w:val="single" w:color="auto"/>
          <w:color w:val="000000"/>
        </w:rPr>
        <w:t>Section 5.1</w:t>
      </w:r>
      <w:r>
        <w:rPr>
          <w:rFonts w:ascii="Arial" w:cs="Arial" w:eastAsia="Arial" w:hAnsi="Arial"/>
          <w:sz w:val="19"/>
          <w:szCs w:val="19"/>
          <w:color w:val="000000"/>
        </w:rPr>
        <w:t xml:space="preserve"> (as adjusted by </w:t>
      </w:r>
      <w:r>
        <w:rPr>
          <w:rFonts w:ascii="Arial" w:cs="Arial" w:eastAsia="Arial" w:hAnsi="Arial"/>
          <w:sz w:val="19"/>
          <w:szCs w:val="19"/>
          <w:u w:val="single" w:color="auto"/>
          <w:color w:val="000000"/>
        </w:rPr>
        <w:t>Article 14</w:t>
      </w:r>
      <w:r>
        <w:rPr>
          <w:rFonts w:ascii="Arial" w:cs="Arial" w:eastAsia="Arial" w:hAnsi="Arial"/>
          <w:sz w:val="19"/>
          <w:szCs w:val="19"/>
          <w:color w:val="000000"/>
        </w:rPr>
        <w:t>) sets forth the only limit on the aggregate amount of securities that may be delivered pursuant to this Plan.</w:t>
      </w:r>
    </w:p>
    <w:p>
      <w:pPr>
        <w:spacing w:after="0" w:line="181"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19"/>
          <w:szCs w:val="19"/>
          <w:b w:val="1"/>
          <w:bCs w:val="1"/>
          <w:color w:val="010000"/>
        </w:rPr>
        <w:t>16.10</w:t>
      </w:r>
      <w:r>
        <w:rPr>
          <w:sz w:val="20"/>
          <w:szCs w:val="20"/>
          <w:color w:val="auto"/>
        </w:rPr>
        <w:tab/>
      </w:r>
      <w:r>
        <w:rPr>
          <w:rFonts w:ascii="Arial" w:cs="Arial" w:eastAsia="Arial" w:hAnsi="Arial"/>
          <w:sz w:val="17"/>
          <w:szCs w:val="17"/>
          <w:b w:val="1"/>
          <w:bCs w:val="1"/>
          <w:color w:val="auto"/>
        </w:rPr>
        <w:t>Compliance with Law</w:t>
      </w:r>
    </w:p>
    <w:p>
      <w:pPr>
        <w:spacing w:after="0" w:line="220" w:lineRule="exact"/>
        <w:rPr>
          <w:sz w:val="20"/>
          <w:szCs w:val="20"/>
          <w:color w:val="auto"/>
        </w:rPr>
      </w:pPr>
    </w:p>
    <w:p>
      <w:pPr>
        <w:jc w:val="both"/>
        <w:ind w:right="20" w:firstLine="872"/>
        <w:spacing w:after="0" w:line="269" w:lineRule="auto"/>
        <w:tabs>
          <w:tab w:leader="none" w:pos="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granting of Awards and the issuance of Shares under the Plan shall be subject to all applicable laws, rules, and regulations, and to such approvals by any governmental agencies, or any stock exchanges on which the Shares are admitted to trading or listed, as may be required. The Company shall have no obligation to issue or deliver evidence of title for Shares issued under the Plan prior to:</w:t>
      </w:r>
    </w:p>
    <w:p>
      <w:pPr>
        <w:spacing w:after="0" w:line="168" w:lineRule="exact"/>
        <w:rPr>
          <w:rFonts w:ascii="Arial" w:cs="Arial" w:eastAsia="Arial" w:hAnsi="Arial"/>
          <w:sz w:val="18"/>
          <w:szCs w:val="18"/>
          <w:color w:val="auto"/>
        </w:rPr>
      </w:pPr>
    </w:p>
    <w:p>
      <w:pPr>
        <w:ind w:left="2580" w:hanging="858"/>
        <w:spacing w:after="0" w:line="261" w:lineRule="auto"/>
        <w:tabs>
          <w:tab w:leader="none" w:pos="2580"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Obtaining any approvals from governmental agencies that the Company determines are necessary or advisable; and</w:t>
      </w:r>
    </w:p>
    <w:p>
      <w:pPr>
        <w:spacing w:after="0" w:line="172" w:lineRule="exact"/>
        <w:rPr>
          <w:rFonts w:ascii="Arial" w:cs="Arial" w:eastAsia="Arial" w:hAnsi="Arial"/>
          <w:sz w:val="19"/>
          <w:szCs w:val="19"/>
          <w:color w:val="010000"/>
        </w:rPr>
      </w:pPr>
    </w:p>
    <w:p>
      <w:pPr>
        <w:ind w:left="2580" w:hanging="858"/>
        <w:spacing w:after="0" w:line="289" w:lineRule="auto"/>
        <w:tabs>
          <w:tab w:leader="none" w:pos="2580" w:val="left"/>
        </w:tabs>
        <w:numPr>
          <w:ilvl w:val="1"/>
          <w:numId w:val="71"/>
        </w:numPr>
        <w:rPr>
          <w:rFonts w:ascii="Arial" w:cs="Arial" w:eastAsia="Arial" w:hAnsi="Arial"/>
          <w:sz w:val="18"/>
          <w:szCs w:val="18"/>
          <w:color w:val="010000"/>
        </w:rPr>
      </w:pPr>
      <w:r>
        <w:rPr>
          <w:rFonts w:ascii="Arial" w:cs="Arial" w:eastAsia="Arial" w:hAnsi="Arial"/>
          <w:sz w:val="18"/>
          <w:szCs w:val="18"/>
          <w:color w:val="auto"/>
        </w:rPr>
        <w:t>Completion of any registration or other qualification of the Shares under any applicable national, state or foreign law or ruling of any governmental body that the Company determines to be necessary or advisable.</w:t>
      </w:r>
    </w:p>
    <w:p>
      <w:pPr>
        <w:spacing w:after="0" w:line="15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The restrictions contained in this </w:t>
      </w:r>
      <w:r>
        <w:rPr>
          <w:rFonts w:ascii="Arial" w:cs="Arial" w:eastAsia="Arial" w:hAnsi="Arial"/>
          <w:sz w:val="19"/>
          <w:szCs w:val="19"/>
          <w:u w:val="single" w:color="auto"/>
          <w:color w:val="auto"/>
        </w:rPr>
        <w:t>Section 16.10</w:t>
      </w:r>
      <w:r>
        <w:rPr>
          <w:rFonts w:ascii="Arial" w:cs="Arial" w:eastAsia="Arial" w:hAnsi="Arial"/>
          <w:sz w:val="19"/>
          <w:szCs w:val="19"/>
          <w:color w:val="auto"/>
        </w:rPr>
        <w:t xml:space="preserve"> shall be in addition to any conditions or restrictions that the Committee may impose pursuant to </w:t>
      </w:r>
      <w:r>
        <w:rPr>
          <w:rFonts w:ascii="Arial" w:cs="Arial" w:eastAsia="Arial" w:hAnsi="Arial"/>
          <w:sz w:val="19"/>
          <w:szCs w:val="19"/>
          <w:u w:val="single" w:color="auto"/>
          <w:color w:val="auto"/>
        </w:rPr>
        <w:t>Section 16.7</w:t>
      </w:r>
      <w:r>
        <w:rPr>
          <w:rFonts w:ascii="Arial" w:cs="Arial" w:eastAsia="Arial" w:hAnsi="Arial"/>
          <w:sz w:val="19"/>
          <w:szCs w:val="19"/>
          <w:color w:val="auto"/>
        </w:rPr>
        <w:t>. The inability of the Company to obtain authority from any regulatory body having jurisdiction, which authority is deemed by the Company’s counsel to be necessary to the lawful issuance and sale of any Shares hereunder, shall relieve the Company, its Subsidiaries and Affiliates, and all of their employees and representatives of any liability in respect of the failure to issue or sell such Shares as to which such requisite authority shall not have been obtained.</w:t>
      </w:r>
    </w:p>
    <w:p>
      <w:pPr>
        <w:spacing w:after="0" w:line="184" w:lineRule="exact"/>
        <w:rPr>
          <w:sz w:val="20"/>
          <w:szCs w:val="20"/>
          <w:color w:val="auto"/>
        </w:rPr>
      </w:pPr>
    </w:p>
    <w:p>
      <w:pPr>
        <w:ind w:left="880"/>
        <w:spacing w:after="0"/>
        <w:tabs>
          <w:tab w:leader="none" w:pos="2560" w:val="left"/>
        </w:tabs>
        <w:rPr>
          <w:sz w:val="20"/>
          <w:szCs w:val="20"/>
          <w:color w:val="auto"/>
        </w:rPr>
      </w:pPr>
      <w:r>
        <w:rPr>
          <w:rFonts w:ascii="Arial" w:cs="Arial" w:eastAsia="Arial" w:hAnsi="Arial"/>
          <w:sz w:val="19"/>
          <w:szCs w:val="19"/>
          <w:b w:val="1"/>
          <w:bCs w:val="1"/>
          <w:color w:val="010000"/>
        </w:rPr>
        <w:t>16.11</w:t>
      </w:r>
      <w:r>
        <w:rPr>
          <w:sz w:val="20"/>
          <w:szCs w:val="20"/>
          <w:color w:val="auto"/>
        </w:rPr>
        <w:tab/>
      </w:r>
      <w:r>
        <w:rPr>
          <w:rFonts w:ascii="Arial" w:cs="Arial" w:eastAsia="Arial" w:hAnsi="Arial"/>
          <w:sz w:val="16"/>
          <w:szCs w:val="16"/>
          <w:b w:val="1"/>
          <w:bCs w:val="1"/>
          <w:color w:val="auto"/>
        </w:rPr>
        <w:t>Rights as a Shareholder</w:t>
      </w:r>
    </w:p>
    <w:p>
      <w:pPr>
        <w:spacing w:after="0" w:line="220" w:lineRule="exact"/>
        <w:rPr>
          <w:sz w:val="20"/>
          <w:szCs w:val="20"/>
          <w:color w:val="auto"/>
        </w:rPr>
      </w:pPr>
    </w:p>
    <w:p>
      <w:pPr>
        <w:ind w:firstLine="872"/>
        <w:spacing w:after="0" w:line="261" w:lineRule="auto"/>
        <w:tabs>
          <w:tab w:leader="none" w:pos="962" w:val="left"/>
        </w:tabs>
        <w:numPr>
          <w:ilvl w:val="0"/>
          <w:numId w:val="72"/>
        </w:numPr>
        <w:rPr>
          <w:rFonts w:ascii="Arial" w:cs="Arial" w:eastAsia="Arial" w:hAnsi="Arial"/>
          <w:sz w:val="19"/>
          <w:szCs w:val="19"/>
          <w:color w:val="auto"/>
        </w:rPr>
      </w:pPr>
      <w:r>
        <w:rPr>
          <w:rFonts w:ascii="Arial" w:cs="Arial" w:eastAsia="Arial" w:hAnsi="Arial"/>
          <w:sz w:val="19"/>
          <w:szCs w:val="19"/>
          <w:color w:val="auto"/>
        </w:rPr>
        <w:t>Except as otherwise provided herein or in the applicable Award Agreement, a Participant shall have none of the rights of a shareholder with respect to Shares covered by any Award until the Participant becomes the record holder of such Shares.</w:t>
      </w:r>
    </w:p>
    <w:p>
      <w:pPr>
        <w:spacing w:after="0" w:line="16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19"/>
          <w:szCs w:val="19"/>
          <w:b w:val="1"/>
          <w:bCs w:val="1"/>
          <w:color w:val="010000"/>
        </w:rPr>
        <w:t>16.12</w:t>
      </w:r>
      <w:r>
        <w:rPr>
          <w:sz w:val="20"/>
          <w:szCs w:val="20"/>
          <w:color w:val="auto"/>
        </w:rPr>
        <w:tab/>
      </w:r>
      <w:r>
        <w:rPr>
          <w:rFonts w:ascii="Arial" w:cs="Arial" w:eastAsia="Arial" w:hAnsi="Arial"/>
          <w:sz w:val="17"/>
          <w:szCs w:val="17"/>
          <w:b w:val="1"/>
          <w:bCs w:val="1"/>
          <w:color w:val="auto"/>
        </w:rPr>
        <w:t>Severability</w:t>
      </w:r>
    </w:p>
    <w:p>
      <w:pPr>
        <w:spacing w:after="0" w:line="220" w:lineRule="exact"/>
        <w:rPr>
          <w:sz w:val="20"/>
          <w:szCs w:val="20"/>
          <w:color w:val="auto"/>
        </w:rPr>
      </w:pPr>
    </w:p>
    <w:p>
      <w:pPr>
        <w:jc w:val="both"/>
        <w:ind w:firstLine="872"/>
        <w:spacing w:after="0" w:line="260" w:lineRule="auto"/>
        <w:tabs>
          <w:tab w:leader="none" w:pos="959"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8" w:name="page69"/>
    <w:bookmarkEnd w:id="68"/>
    <w:p>
      <w:pPr>
        <w:ind w:left="880"/>
        <w:spacing w:after="0"/>
        <w:tabs>
          <w:tab w:leader="none" w:pos="2580" w:val="left"/>
        </w:tabs>
        <w:rPr>
          <w:sz w:val="20"/>
          <w:szCs w:val="20"/>
          <w:color w:val="auto"/>
        </w:rPr>
      </w:pPr>
      <w:r>
        <w:rPr>
          <w:rFonts w:ascii="Arial" w:cs="Arial" w:eastAsia="Arial" w:hAnsi="Arial"/>
          <w:sz w:val="19"/>
          <w:szCs w:val="19"/>
          <w:b w:val="1"/>
          <w:bCs w:val="1"/>
          <w:color w:val="010000"/>
        </w:rPr>
        <w:t>16.13</w:t>
      </w:r>
      <w:r>
        <w:rPr>
          <w:sz w:val="20"/>
          <w:szCs w:val="20"/>
          <w:color w:val="auto"/>
        </w:rPr>
        <w:tab/>
      </w:r>
      <w:r>
        <w:rPr>
          <w:rFonts w:ascii="Arial" w:cs="Arial" w:eastAsia="Arial" w:hAnsi="Arial"/>
          <w:sz w:val="17"/>
          <w:szCs w:val="17"/>
          <w:b w:val="1"/>
          <w:bCs w:val="1"/>
          <w:color w:val="auto"/>
        </w:rPr>
        <w:t>Unfunded Plan</w:t>
      </w:r>
    </w:p>
    <w:p>
      <w:pPr>
        <w:spacing w:after="0" w:line="220" w:lineRule="exact"/>
        <w:rPr>
          <w:sz w:val="20"/>
          <w:szCs w:val="20"/>
          <w:color w:val="auto"/>
        </w:rPr>
      </w:pPr>
    </w:p>
    <w:p>
      <w:pPr>
        <w:jc w:val="both"/>
        <w:ind w:firstLine="872"/>
        <w:spacing w:after="0" w:line="241" w:lineRule="auto"/>
        <w:tabs>
          <w:tab w:leader="none" w:pos="975" w:val="left"/>
        </w:tabs>
        <w:numPr>
          <w:ilvl w:val="0"/>
          <w:numId w:val="74"/>
        </w:numPr>
        <w:rPr>
          <w:rFonts w:ascii="Arial" w:cs="Arial" w:eastAsia="Arial" w:hAnsi="Arial"/>
          <w:sz w:val="19"/>
          <w:szCs w:val="19"/>
          <w:color w:val="auto"/>
        </w:rPr>
      </w:pPr>
      <w:r>
        <w:rPr>
          <w:rFonts w:ascii="Arial" w:cs="Arial" w:eastAsia="Arial" w:hAnsi="Arial"/>
          <w:sz w:val="19"/>
          <w:szCs w:val="19"/>
          <w:color w:val="auto"/>
        </w:rPr>
        <w:t>Participants shall have no right, title, or interest whatsoever in or to any investments that the Company or any of its Subsidiaries or Affiliates may make to aid it in meeting its obligations under the Plan. Nothing contained in the Plan,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19"/>
          <w:szCs w:val="19"/>
          <w:b w:val="1"/>
          <w:bCs w:val="1"/>
          <w:color w:val="010000"/>
        </w:rPr>
        <w:t>16.14</w:t>
      </w:r>
      <w:r>
        <w:rPr>
          <w:sz w:val="20"/>
          <w:szCs w:val="20"/>
          <w:color w:val="auto"/>
        </w:rPr>
        <w:tab/>
      </w:r>
      <w:r>
        <w:rPr>
          <w:rFonts w:ascii="Arial" w:cs="Arial" w:eastAsia="Arial" w:hAnsi="Arial"/>
          <w:sz w:val="17"/>
          <w:szCs w:val="17"/>
          <w:b w:val="1"/>
          <w:bCs w:val="1"/>
          <w:color w:val="auto"/>
        </w:rPr>
        <w:t>No Constraint on Corporate Action</w:t>
      </w:r>
    </w:p>
    <w:p>
      <w:pPr>
        <w:spacing w:after="0" w:line="220" w:lineRule="exact"/>
        <w:rPr>
          <w:sz w:val="20"/>
          <w:szCs w:val="20"/>
          <w:color w:val="auto"/>
        </w:rPr>
      </w:pPr>
    </w:p>
    <w:p>
      <w:pPr>
        <w:jc w:val="both"/>
        <w:ind w:firstLine="872"/>
        <w:spacing w:after="0" w:line="245" w:lineRule="auto"/>
        <w:tabs>
          <w:tab w:leader="none" w:pos="981" w:val="left"/>
        </w:tabs>
        <w:numPr>
          <w:ilvl w:val="0"/>
          <w:numId w:val="75"/>
        </w:numPr>
        <w:rPr>
          <w:rFonts w:ascii="Arial" w:cs="Arial" w:eastAsia="Arial" w:hAnsi="Arial"/>
          <w:sz w:val="19"/>
          <w:szCs w:val="19"/>
          <w:color w:val="auto"/>
        </w:rPr>
      </w:pPr>
      <w:r>
        <w:rPr>
          <w:rFonts w:ascii="Arial" w:cs="Arial" w:eastAsia="Arial" w:hAnsi="Arial"/>
          <w:sz w:val="19"/>
          <w:szCs w:val="19"/>
          <w:color w:val="auto"/>
        </w:rPr>
        <w:t>Nothing in the Plan shall be construed to (i) limit, impair, or otherwise affect the Company’s right or power to make adjustments, reclassifications, reorganizations, or changes of its capital or business structure, or to merge or consolidate, or dissolve, liquidate, sell, or transfer all or any part of its business or assets, or (ii) limit the right or power of the Company to take any action which such entity deems to be necessary or appropriate.</w:t>
      </w:r>
    </w:p>
    <w:p>
      <w:pPr>
        <w:spacing w:after="0" w:line="182"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19"/>
          <w:szCs w:val="19"/>
          <w:b w:val="1"/>
          <w:bCs w:val="1"/>
          <w:color w:val="010000"/>
        </w:rPr>
        <w:t>16.15</w:t>
      </w:r>
      <w:r>
        <w:rPr>
          <w:sz w:val="20"/>
          <w:szCs w:val="20"/>
          <w:color w:val="auto"/>
        </w:rPr>
        <w:tab/>
      </w:r>
      <w:r>
        <w:rPr>
          <w:rFonts w:ascii="Arial" w:cs="Arial" w:eastAsia="Arial" w:hAnsi="Arial"/>
          <w:sz w:val="17"/>
          <w:szCs w:val="17"/>
          <w:b w:val="1"/>
          <w:bCs w:val="1"/>
          <w:color w:val="auto"/>
        </w:rPr>
        <w:t>Liability</w:t>
      </w:r>
    </w:p>
    <w:p>
      <w:pPr>
        <w:spacing w:after="0" w:line="220" w:lineRule="exact"/>
        <w:rPr>
          <w:sz w:val="20"/>
          <w:szCs w:val="20"/>
          <w:color w:val="auto"/>
        </w:rPr>
      </w:pPr>
    </w:p>
    <w:p>
      <w:pPr>
        <w:jc w:val="both"/>
        <w:ind w:firstLine="872"/>
        <w:spacing w:after="0" w:line="269" w:lineRule="auto"/>
        <w:tabs>
          <w:tab w:leader="none" w:pos="999"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No member of the Board or the Committee or any employee of the Company, a Subsidiary or Affiliate (each such person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have any liability to any person (including, without limitation, any Participant) for any action taken or omitted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taken or any determination made in good faith with respect to the Plan or any Award. Each Indemnified Person shall be indemnified and held harmless by the Company against and from any loss, cost, liability or expense (including attorneys’ fees) that may be imposed upon or incurred by such Indemnified Person in connection with or resulting from any action, suit or proceeding to which such Indemnified Person may be a party or in which such Indemnified Person may be involved by reason of any action taken or omitted to be taken under the Plan and against and from any and all amounts paid by such Indemnified Person, with the Company’s prior approval, in settlement thereof, or paid by such Indemnified Person in satisfaction of any judgment in any such action, suit or proceeding against such Indemnified Person,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Company shall have the right, at its own expense, to assume and defend any such action, suit or proceeding and, once the Company gives notice of its intent to assume the defense, the Company shall have sole control over such defense with counsel chosen by the Company. The foregoing right of indemnification shall not be available to an Indemnified Person to the extent that a court of competent jurisdiction in a final judgment or other final adjudication, in either case, not subject to further appeal, determines that the acts or omissions of such Indemnified Person giving rise to the indemnification claim resulted from such Indemnified Person’s bad faith, fraud or willful criminal act or omission. The foregoing right of indemnification shall not be exclusive of any other rights of indemnification to which Indemnified Persons may be entitled under the Company’s Certificate of Incorporation or Bylaws, as a matter of law, or otherwise, or any other power that the Company may have to indemnify such persons or hold them harmless.</w:t>
      </w:r>
    </w:p>
    <w:p>
      <w:pPr>
        <w:spacing w:after="0" w:line="16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19"/>
          <w:szCs w:val="19"/>
          <w:b w:val="1"/>
          <w:bCs w:val="1"/>
          <w:color w:val="010000"/>
        </w:rPr>
        <w:t>16.16</w:t>
      </w:r>
      <w:r>
        <w:rPr>
          <w:sz w:val="20"/>
          <w:szCs w:val="20"/>
          <w:color w:val="auto"/>
        </w:rPr>
        <w:tab/>
      </w:r>
      <w:r>
        <w:rPr>
          <w:rFonts w:ascii="Arial" w:cs="Arial" w:eastAsia="Arial" w:hAnsi="Arial"/>
          <w:sz w:val="15"/>
          <w:szCs w:val="15"/>
          <w:b w:val="1"/>
          <w:bCs w:val="1"/>
          <w:color w:val="auto"/>
        </w:rPr>
        <w:t>Successors</w:t>
      </w:r>
    </w:p>
    <w:p>
      <w:pPr>
        <w:spacing w:after="0" w:line="220" w:lineRule="exact"/>
        <w:rPr>
          <w:sz w:val="20"/>
          <w:szCs w:val="20"/>
          <w:color w:val="auto"/>
        </w:rPr>
      </w:pPr>
    </w:p>
    <w:p>
      <w:pPr>
        <w:jc w:val="both"/>
        <w:ind w:firstLine="872"/>
        <w:spacing w:after="0" w:line="249" w:lineRule="auto"/>
        <w:tabs>
          <w:tab w:leader="none" w:pos="9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9" w:name="page70"/>
    <w:bookmarkEnd w:id="69"/>
    <w:p>
      <w:pPr>
        <w:ind w:left="880"/>
        <w:spacing w:after="0"/>
        <w:tabs>
          <w:tab w:leader="none" w:pos="2580" w:val="left"/>
        </w:tabs>
        <w:rPr>
          <w:sz w:val="20"/>
          <w:szCs w:val="20"/>
          <w:color w:val="auto"/>
        </w:rPr>
      </w:pPr>
      <w:r>
        <w:rPr>
          <w:rFonts w:ascii="Arial" w:cs="Arial" w:eastAsia="Arial" w:hAnsi="Arial"/>
          <w:sz w:val="19"/>
          <w:szCs w:val="19"/>
          <w:b w:val="1"/>
          <w:bCs w:val="1"/>
          <w:color w:val="010000"/>
        </w:rPr>
        <w:t>16.17</w:t>
      </w:r>
      <w:r>
        <w:rPr>
          <w:sz w:val="20"/>
          <w:szCs w:val="20"/>
          <w:color w:val="auto"/>
        </w:rPr>
        <w:tab/>
      </w:r>
      <w:r>
        <w:rPr>
          <w:rFonts w:ascii="Arial" w:cs="Arial" w:eastAsia="Arial" w:hAnsi="Arial"/>
          <w:sz w:val="17"/>
          <w:szCs w:val="17"/>
          <w:b w:val="1"/>
          <w:bCs w:val="1"/>
          <w:color w:val="auto"/>
        </w:rPr>
        <w:t>Governing Law</w:t>
      </w:r>
    </w:p>
    <w:p>
      <w:pPr>
        <w:spacing w:after="0" w:line="220" w:lineRule="exact"/>
        <w:rPr>
          <w:sz w:val="20"/>
          <w:szCs w:val="20"/>
          <w:color w:val="auto"/>
        </w:rPr>
      </w:pPr>
    </w:p>
    <w:p>
      <w:pPr>
        <w:ind w:right="20" w:firstLine="872"/>
        <w:spacing w:after="0" w:line="261" w:lineRule="auto"/>
        <w:tabs>
          <w:tab w:leader="none" w:pos="976"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PLAN WILL BE GOVERNED BY AND CONSTRUED IN ACCORDANCE WITH THE LAWS OF THE STATE OF NEW YORK, WITHOUT REGARD TO PRINCIPLES OF CONFLICT OF LAWS.</w:t>
      </w:r>
    </w:p>
    <w:p>
      <w:pPr>
        <w:spacing w:after="0" w:line="16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19"/>
          <w:szCs w:val="19"/>
          <w:b w:val="1"/>
          <w:bCs w:val="1"/>
          <w:color w:val="010000"/>
        </w:rPr>
        <w:t>16.18</w:t>
      </w:r>
      <w:r>
        <w:rPr>
          <w:sz w:val="20"/>
          <w:szCs w:val="20"/>
          <w:color w:val="auto"/>
        </w:rPr>
        <w:tab/>
      </w:r>
      <w:r>
        <w:rPr>
          <w:rFonts w:ascii="Arial" w:cs="Arial" w:eastAsia="Arial" w:hAnsi="Arial"/>
          <w:sz w:val="17"/>
          <w:szCs w:val="17"/>
          <w:b w:val="1"/>
          <w:bCs w:val="1"/>
          <w:color w:val="auto"/>
        </w:rPr>
        <w:t>Data Protection</w:t>
      </w:r>
    </w:p>
    <w:p>
      <w:pPr>
        <w:spacing w:after="0" w:line="220" w:lineRule="exact"/>
        <w:rPr>
          <w:sz w:val="20"/>
          <w:szCs w:val="20"/>
          <w:color w:val="auto"/>
        </w:rPr>
      </w:pPr>
    </w:p>
    <w:p>
      <w:pPr>
        <w:jc w:val="both"/>
        <w:ind w:firstLine="872"/>
        <w:spacing w:after="0" w:line="243" w:lineRule="auto"/>
        <w:tabs>
          <w:tab w:leader="none" w:pos="976" w:val="left"/>
        </w:tabs>
        <w:numPr>
          <w:ilvl w:val="0"/>
          <w:numId w:val="79"/>
        </w:numPr>
        <w:rPr>
          <w:rFonts w:ascii="Arial" w:cs="Arial" w:eastAsia="Arial" w:hAnsi="Arial"/>
          <w:sz w:val="19"/>
          <w:szCs w:val="19"/>
          <w:color w:val="auto"/>
        </w:rPr>
      </w:pPr>
      <w:r>
        <w:rPr>
          <w:rFonts w:ascii="Arial" w:cs="Arial" w:eastAsia="Arial" w:hAnsi="Arial"/>
          <w:sz w:val="19"/>
          <w:szCs w:val="19"/>
          <w:color w:val="auto"/>
        </w:rPr>
        <w:t>By participating in the Plan, the Participant consents to the collection, processing, transmission and storage by the Company in any form whatsoever, of any data of a professional or personal nature which is necessary for the purposes of introducing and administering the Plan. The Company may share such information with any Subsidiary or Affiliate, the trustee of any employee benefit trust, its registrars, trustees, brokers, other third-party administrator or any Person who obtains control of the Company or acquires the Company, undertaking or part-undertaking which employs the Participant, wherever situated.</w:t>
      </w:r>
    </w:p>
    <w:p>
      <w:pPr>
        <w:spacing w:after="0" w:line="18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19"/>
          <w:szCs w:val="19"/>
          <w:b w:val="1"/>
          <w:bCs w:val="1"/>
          <w:color w:val="010000"/>
        </w:rPr>
        <w:t>16.19</w:t>
      </w:r>
      <w:r>
        <w:rPr>
          <w:sz w:val="20"/>
          <w:szCs w:val="20"/>
          <w:color w:val="auto"/>
        </w:rPr>
        <w:tab/>
      </w:r>
      <w:r>
        <w:rPr>
          <w:rFonts w:ascii="Arial" w:cs="Arial" w:eastAsia="Arial" w:hAnsi="Arial"/>
          <w:sz w:val="17"/>
          <w:szCs w:val="17"/>
          <w:b w:val="1"/>
          <w:bCs w:val="1"/>
          <w:color w:val="auto"/>
        </w:rPr>
        <w:t>Effective Date</w:t>
      </w:r>
    </w:p>
    <w:p>
      <w:pPr>
        <w:spacing w:after="0" w:line="220" w:lineRule="exact"/>
        <w:rPr>
          <w:sz w:val="20"/>
          <w:szCs w:val="20"/>
          <w:color w:val="auto"/>
        </w:rPr>
      </w:pPr>
    </w:p>
    <w:p>
      <w:pPr>
        <w:jc w:val="both"/>
        <w:ind w:firstLine="872"/>
        <w:spacing w:after="0" w:line="243" w:lineRule="auto"/>
        <w:tabs>
          <w:tab w:leader="none" w:pos="965"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Plan originally became effective as of September 3, 2013; was amended to increase the maximum number of Shares available for grant to Participants pursuant to Awards under the Plan effective May 22, 2018; was amended to increase the limit on the number of Options or Stock Appreciation Rights that may be granted to an Employee in any calendar year under the Plan effective February 20, 2019; and was amended and restated to increase the maximum number of Shares available for grant to Participants pursuant to Awards under the Plan and to make certain other changes effective May 20, 2020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90" w:lineRule="exact"/>
        <w:rPr>
          <w:sz w:val="20"/>
          <w:szCs w:val="20"/>
          <w:color w:val="auto"/>
        </w:rPr>
      </w:pPr>
    </w:p>
    <w:p>
      <w:pPr>
        <w:ind w:left="5900" w:hanging="742"/>
        <w:spacing w:after="0"/>
        <w:tabs>
          <w:tab w:leader="none" w:pos="59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left="5460"/>
        <w:spacing w:after="0"/>
        <w:rPr>
          <w:rFonts w:ascii="Arial" w:cs="Arial" w:eastAsia="Arial" w:hAnsi="Arial"/>
          <w:sz w:val="19"/>
          <w:szCs w:val="19"/>
          <w:color w:val="auto"/>
        </w:rPr>
      </w:pPr>
      <w:r>
        <w:rPr>
          <w:rFonts w:ascii="Arial" w:cs="Arial" w:eastAsia="Arial" w:hAnsi="Arial"/>
          <w:sz w:val="19"/>
          <w:szCs w:val="19"/>
          <w:color w:val="auto"/>
        </w:rPr>
        <w:t>-19-</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9087562_1</w:t>
      </w:r>
    </w:p>
    <w:p>
      <w:pPr>
        <w:sectPr>
          <w:pgSz w:w="11900" w:h="16838" w:orient="portrait"/>
          <w:cols w:equalWidth="0" w:num="1">
            <w:col w:w="11240"/>
          </w:cols>
          <w:pgMar w:left="320" w:top="32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V. Continenza, certify that:</w:t>
      </w:r>
    </w:p>
    <w:p>
      <w:pPr>
        <w:spacing w:after="0" w:line="225"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20" w:hanging="452"/>
        <w:spacing w:after="0" w:line="263"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460" w:right="40" w:firstLine="6"/>
        <w:spacing w:after="0" w:line="263" w:lineRule="auto"/>
        <w:tabs>
          <w:tab w:leader="none" w:pos="6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60" w:right="260" w:firstLine="6"/>
        <w:spacing w:after="0" w:line="263"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60" w:right="860" w:firstLine="6"/>
        <w:spacing w:after="0" w:line="342" w:lineRule="auto"/>
        <w:tabs>
          <w:tab w:leader="none" w:pos="69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280" w:firstLine="6"/>
        <w:spacing w:after="0" w:line="263"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20" w:hanging="452"/>
        <w:spacing w:after="0" w:line="308"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240" w:firstLine="6"/>
        <w:spacing w:after="0" w:line="277" w:lineRule="auto"/>
        <w:tabs>
          <w:tab w:leader="none" w:pos="6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20" w:firstLine="6"/>
        <w:spacing w:after="0" w:line="277" w:lineRule="auto"/>
        <w:tabs>
          <w:tab w:leader="none" w:pos="6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52"/>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68" w:hanging="368"/>
        <w:spacing w:after="0"/>
        <w:tabs>
          <w:tab w:leader="none" w:pos="3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ind w:left="368" w:right="40" w:hanging="368"/>
        <w:spacing w:after="0" w:line="263" w:lineRule="auto"/>
        <w:tabs>
          <w:tab w:leader="none" w:pos="3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8" w:right="340" w:hanging="368"/>
        <w:spacing w:after="0" w:line="342" w:lineRule="auto"/>
        <w:tabs>
          <w:tab w:leader="none" w:pos="368"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68" w:right="200" w:hanging="368"/>
        <w:spacing w:after="0" w:line="291" w:lineRule="auto"/>
        <w:tabs>
          <w:tab w:leader="none" w:pos="368"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8"/>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388" w:right="200" w:hanging="3"/>
        <w:spacing w:after="0" w:line="263" w:lineRule="auto"/>
        <w:tabs>
          <w:tab w:leader="none" w:pos="617"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88" w:right="100" w:hanging="3"/>
        <w:spacing w:after="0" w:line="263" w:lineRule="auto"/>
        <w:tabs>
          <w:tab w:leader="none" w:pos="627"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88" w:right="120" w:hanging="3"/>
        <w:spacing w:after="0" w:line="342" w:lineRule="auto"/>
        <w:tabs>
          <w:tab w:leader="none" w:pos="617"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88" w:hanging="3"/>
        <w:spacing w:after="0" w:line="263" w:lineRule="auto"/>
        <w:tabs>
          <w:tab w:leader="none" w:pos="627"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68" w:right="280" w:hanging="368"/>
        <w:spacing w:after="0" w:line="263" w:lineRule="auto"/>
        <w:tabs>
          <w:tab w:leader="none" w:pos="3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88" w:right="280" w:hanging="3"/>
        <w:spacing w:after="0" w:line="308" w:lineRule="auto"/>
        <w:tabs>
          <w:tab w:leader="none" w:pos="607"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88" w:right="20" w:hanging="3"/>
        <w:spacing w:after="0" w:line="277" w:lineRule="auto"/>
        <w:tabs>
          <w:tab w:leader="none" w:pos="61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88"/>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ind w:left="388"/>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ind w:left="388"/>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388"/>
        <w:spacing w:after="0"/>
        <w:rPr>
          <w:sz w:val="20"/>
          <w:szCs w:val="20"/>
          <w:color w:val="auto"/>
        </w:rPr>
      </w:pPr>
      <w:r>
        <w:rPr>
          <w:rFonts w:ascii="Arial" w:cs="Arial" w:eastAsia="Arial" w:hAnsi="Arial"/>
          <w:sz w:val="18"/>
          <w:szCs w:val="18"/>
          <w:color w:val="auto"/>
        </w:rPr>
        <w:t>Date: August 11, 2020</w:t>
      </w:r>
    </w:p>
    <w:p>
      <w:pPr>
        <w:sectPr>
          <w:pgSz w:w="11900" w:h="16838" w:orient="portrait"/>
          <w:cols w:equalWidth="0" w:num="1">
            <w:col w:w="10408"/>
          </w:cols>
          <w:pgMar w:left="692" w:top="121" w:right="7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June 30, 2020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480" w:hanging="238"/>
        <w:spacing w:after="0"/>
        <w:tabs>
          <w:tab w:leader="none" w:pos="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520" w:firstLine="2"/>
        <w:spacing w:after="0" w:line="277" w:lineRule="auto"/>
        <w:tabs>
          <w:tab w:leader="none" w:pos="47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p>
      <w:pPr>
        <w:sectPr>
          <w:pgSz w:w="11900" w:h="16838" w:orient="portrait"/>
          <w:cols w:equalWidth="0" w:num="1">
            <w:col w:w="10660"/>
          </w:cols>
          <w:pgMar w:left="320" w:top="337" w:right="9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June 30, 2020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600" w:hanging="242"/>
        <w:spacing w:after="0"/>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400" w:hanging="2"/>
        <w:spacing w:after="0" w:line="277" w:lineRule="auto"/>
        <w:tabs>
          <w:tab w:leader="none" w:pos="59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sectPr>
      <w:pgSz w:w="11900" w:h="16838" w:orient="portrait"/>
      <w:cols w:equalWidth="0" w:num="1">
        <w:col w:w="10660"/>
      </w:cols>
      <w:pgMar w:left="320" w:top="337"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lowerRoman"/>
      <w:start w:val="2"/>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1)"/>
      <w:numFmt w:val="decimal"/>
      <w:start w:val="1"/>
    </w:lvl>
  </w:abstractNum>
  <w:abstractNum w:abstractNumId="10">
    <w:nsid w:val="7644A45C"/>
    <w:multiLevelType w:val="hybridMultilevel"/>
    <w:lvl w:ilvl="0">
      <w:lvlJc w:val="left"/>
      <w:lvlText w:val="(%1)"/>
      <w:numFmt w:val="lowerRoman"/>
      <w:start w:val="2"/>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decimal"/>
      <w:start w:val="1"/>
    </w:lvl>
    <w:lvl w:ilvl="1">
      <w:lvlJc w:val="left"/>
      <w:lvlText w:val="(%2)"/>
      <w:numFmt w:val="decimal"/>
      <w:start w:val="2"/>
    </w:lvl>
  </w:abstractNum>
  <w:abstractNum w:abstractNumId="13">
    <w:nsid w:val="579478FE"/>
    <w:multiLevelType w:val="hybridMultilevel"/>
    <w:lvl w:ilvl="0">
      <w:lvlJc w:val="left"/>
      <w:lvlText w:val="(%1)"/>
      <w:numFmt w:val="decimal"/>
      <w:start w:val="3"/>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lvl w:ilvl="1">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lvl w:ilvl="1">
      <w:lvlJc w:val="left"/>
      <w:lvlText w:val="•"/>
      <w:numFmt w:val="bullet"/>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lowerRoman"/>
      <w:start w:val="2"/>
    </w:lvl>
  </w:abstractNum>
  <w:abstractNum w:abstractNumId="30">
    <w:nsid w:val="235BA861"/>
    <w:multiLevelType w:val="hybridMultilevel"/>
    <w:lvl w:ilvl="0">
      <w:lvlJc w:val="left"/>
      <w:lvlText w:val="(%1)"/>
      <w:numFmt w:val="lowerLetter"/>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1)"/>
      <w:numFmt w:val="lowerLetter"/>
      <w:start w:val="1"/>
    </w:lvl>
  </w:abstractNum>
  <w:abstractNum w:abstractNumId="34">
    <w:nsid w:val="741226BB"/>
    <w:multiLevelType w:val="hybridMultilevel"/>
    <w:lvl w:ilvl="0">
      <w:lvlJc w:val="left"/>
      <w:lvlText w:val="(%1)"/>
      <w:numFmt w:val="lowerLetter"/>
      <w:start w:val="3"/>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1)"/>
      <w:numFmt w:val="lowerLetter"/>
      <w:start w:val="2"/>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1)"/>
      <w:numFmt w:val="lowerRoman"/>
      <w:start w:val="1"/>
    </w:lvl>
    <w:lvl w:ilvl="1">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lowerRoman"/>
      <w:start w:val="2"/>
    </w:lvl>
    <w:lvl w:ilvl="1">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1)"/>
      <w:numFmt w:val="lowerRoman"/>
      <w:start w:val="1"/>
    </w:lvl>
    <w:lvl w:ilvl="1">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lvl w:ilvl="1">
      <w:lvlJc w:val="left"/>
      <w:lvlText w:val="(%2)"/>
      <w:numFmt w:val="lowerLetter"/>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75" Type="http://schemas.openxmlformats.org/officeDocument/2006/relationships/hyperlink" Target="http://www.sec.gov/Archives/edgar/data/31235/000119312513354928/d591063dex41.htm" TargetMode="External"/><Relationship Id="rId76" Type="http://schemas.openxmlformats.org/officeDocument/2006/relationships/hyperlink" Target="http://www.sec.gov/Archives/edgar/data/31235/000156459016029358/kodk-ex31_26.htm" TargetMode="External"/><Relationship Id="rId77" Type="http://schemas.openxmlformats.org/officeDocument/2006/relationships/hyperlink" Target="http://www.sec.gov/Archives/edgar/data/31235/000119312519243935/d803063dex32.htm" TargetMode="External"/><Relationship Id="rId78" Type="http://schemas.openxmlformats.org/officeDocument/2006/relationships/hyperlink" Target="http://www.sec.gov/Archives/edgar/data/31235/000156459020024666/kodk-ex35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2020-08-11T15:18:43Z</dcterms:created>
  <dcterms:modified xsi:type="dcterms:W3CDTF">2020-08-11T15:18:43Z</dcterms:modified>
</cp:coreProperties>
</file>