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kodk-20250331.htm"/>
        <w:bookmarkStart w:id="1" w:name="kskodk20250331"/>
        <w:bookmarkEnd w:id="0"/>
        <w:bookmarkEnd w:id="1"/>
        <w:r>
          <w:rPr>
            <w:rStyle w:val="InternetLink"/>
            <w:rFonts w:ascii="sans-serif" w:hAnsi="sans-serif"/>
            <w:b/>
            <w:color w:val="0000FF"/>
            <w:sz w:val="20"/>
            <w:u w:val="single"/>
          </w:rPr>
          <w:t>Table of Contents</w:t>
        </w:r>
      </w:hyperlink>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6" w:space="1" w:color="000000"/>
        </w:pBdr>
        <w:bidi w:val="0"/>
        <w:jc w:val="center"/>
        <w:rPr/>
      </w:pPr>
      <w:r>
        <w:rPr/>
        <w:t> </w:t>
      </w:r>
    </w:p>
    <w:p>
      <w:pPr>
        <w:pStyle w:val="TextBody"/>
        <w:bidi w:val="0"/>
        <w:spacing w:before="120" w:after="120"/>
        <w:jc w:val="center"/>
        <w:rPr>
          <w:rFonts w:ascii="sans-serif" w:hAnsi="sans-serif"/>
          <w:b/>
          <w:color w:val="000000"/>
          <w:sz w:val="36"/>
        </w:rPr>
      </w:pPr>
      <w:r>
        <w:rPr>
          <w:rFonts w:ascii="sans-serif" w:hAnsi="sans-serif"/>
          <w:b/>
          <w:color w:val="000000"/>
          <w:sz w:val="36"/>
        </w:rPr>
        <w:t>FORM 10-Q</w:t>
      </w:r>
    </w:p>
    <w:p>
      <w:pPr>
        <w:pStyle w:val="TextBody"/>
        <w:pBdr>
          <w:top w:val="single" w:sz="6" w:space="1" w:color="000000"/>
        </w:pBdr>
        <w:bidi w:val="0"/>
        <w:jc w:val="center"/>
        <w:rPr/>
      </w:pPr>
      <w:r>
        <w:rPr/>
        <w:t> </w:t>
      </w:r>
    </w:p>
    <w:tbl>
      <w:tblPr>
        <w:tblW w:w="10127" w:type="dxa"/>
        <w:jc w:val="left"/>
        <w:tblInd w:w="0" w:type="dxa"/>
        <w:tblLayout w:type="fixed"/>
        <w:tblCellMar>
          <w:top w:w="28" w:type="dxa"/>
          <w:left w:w="28" w:type="dxa"/>
          <w:bottom w:w="28" w:type="dxa"/>
          <w:right w:w="28" w:type="dxa"/>
        </w:tblCellMar>
      </w:tblPr>
      <w:tblGrid>
        <w:gridCol w:w="331"/>
        <w:gridCol w:w="9796"/>
      </w:tblGrid>
      <w:tr>
        <w:trPr/>
        <w:tc>
          <w:tcPr>
            <w:tcW w:w="331" w:type="dxa"/>
            <w:tcBorders/>
            <w:vAlign w:val="center"/>
          </w:tcPr>
          <w:p>
            <w:pPr>
              <w:pStyle w:val="TableContents"/>
              <w:bidi w:val="0"/>
              <w:spacing w:before="0" w:after="283"/>
              <w:jc w:val="left"/>
              <w:rPr>
                <w:sz w:val="4"/>
                <w:szCs w:val="4"/>
              </w:rPr>
            </w:pPr>
            <w:r>
              <w:rPr>
                <w:sz w:val="4"/>
                <w:szCs w:val="4"/>
              </w:rPr>
            </w:r>
          </w:p>
        </w:tc>
        <w:tc>
          <w:tcPr>
            <w:tcW w:w="97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Quarterly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For the quarterly period ended: March 31, 2025</w:t>
      </w:r>
    </w:p>
    <w:p>
      <w:pPr>
        <w:pStyle w:val="TextBody"/>
        <w:bidi w:val="0"/>
        <w:spacing w:before="120" w:after="283"/>
        <w:jc w:val="center"/>
        <w:rPr>
          <w:rFonts w:ascii="sans-serif" w:hAnsi="sans-serif"/>
          <w:b/>
          <w:color w:val="000000"/>
          <w:sz w:val="20"/>
        </w:rPr>
      </w:pPr>
      <w:r>
        <w:rPr>
          <w:rFonts w:ascii="sans-serif" w:hAnsi="sans-serif"/>
          <w:b/>
          <w:color w:val="000000"/>
          <w:sz w:val="20"/>
        </w:rPr>
        <w:t>or</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331"/>
        <w:gridCol w:w="9871"/>
      </w:tblGrid>
      <w:tr>
        <w:trPr/>
        <w:tc>
          <w:tcPr>
            <w:tcW w:w="331" w:type="dxa"/>
            <w:tcBorders/>
            <w:vAlign w:val="center"/>
          </w:tcPr>
          <w:p>
            <w:pPr>
              <w:pStyle w:val="TableContents"/>
              <w:bidi w:val="0"/>
              <w:spacing w:before="0" w:after="283"/>
              <w:jc w:val="left"/>
              <w:rPr>
                <w:sz w:val="4"/>
                <w:szCs w:val="4"/>
              </w:rPr>
            </w:pPr>
            <w:r>
              <w:rPr>
                <w:sz w:val="4"/>
                <w:szCs w:val="4"/>
              </w:rPr>
            </w:r>
          </w:p>
        </w:tc>
        <w:tc>
          <w:tcPr>
            <w:tcW w:w="9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Transition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spacing w:before="120" w:after="283"/>
        <w:jc w:val="center"/>
        <w:rPr>
          <w:rFonts w:ascii="Times New Roman" w:hAnsi="Times New Roman"/>
          <w:sz w:val="20"/>
        </w:rPr>
      </w:pPr>
      <w:r>
        <w:rPr>
          <w:rFonts w:ascii="sans-serif" w:hAnsi="sans-serif"/>
          <w:b/>
          <w:color w:val="000000"/>
          <w:sz w:val="20"/>
        </w:rPr>
        <w:t>For the transition period from</w:t>
      </w:r>
      <w:r>
        <w:rPr>
          <w:rFonts w:ascii="Times New Roman" w:hAnsi="Times New Roman"/>
          <w:color w:val="000000"/>
          <w:sz w:val="20"/>
          <w:u w:val="single"/>
        </w:rPr>
        <w:t xml:space="preserve"> </w:t>
      </w:r>
      <w:r>
        <w:rPr>
          <w:rFonts w:ascii="sans-serif" w:hAnsi="sans-serif"/>
          <w:b/>
          <w:color w:val="000000"/>
          <w:sz w:val="20"/>
        </w:rPr>
        <w:t>to</w:t>
      </w:r>
      <w:r>
        <w:rPr>
          <w:rFonts w:ascii="Times New Roman" w:hAnsi="Times New Roman"/>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w:t>
      </w:r>
    </w:p>
    <w:p>
      <w:pPr>
        <w:pStyle w:val="TextBody"/>
        <w:bidi w:val="0"/>
        <w:jc w:val="center"/>
        <w:rPr>
          <w:rFonts w:ascii="sans-serif" w:hAnsi="sans-serif"/>
          <w:b/>
          <w:color w:val="000000"/>
          <w:sz w:val="20"/>
        </w:rPr>
      </w:pPr>
      <w:r>
        <w:rPr>
          <w:rFonts w:ascii="sans-serif" w:hAnsi="sans-serif"/>
          <w:b/>
          <w:color w:val="000000"/>
          <w:sz w:val="20"/>
        </w:rPr>
        <w:t>1-00087</w:t>
      </w:r>
    </w:p>
    <w:p>
      <w:pPr>
        <w:pStyle w:val="TextBody"/>
        <w:pBdr>
          <w:bottom w:val="single" w:sz="6" w:space="1" w:color="000000"/>
        </w:pBdr>
        <w:bidi w:val="0"/>
        <w:jc w:val="center"/>
        <w:rPr/>
      </w:pPr>
      <w:r>
        <w:rPr/>
        <w:t> </w:t>
      </w:r>
    </w:p>
    <w:p>
      <w:pPr>
        <w:pStyle w:val="TextBody"/>
        <w:bidi w:val="0"/>
        <w:spacing w:before="120" w:after="283"/>
        <w:jc w:val="center"/>
        <w:rPr>
          <w:rFonts w:ascii="sans-serif" w:hAnsi="sans-serif"/>
          <w:b/>
          <w:color w:val="000000"/>
          <w:sz w:val="40"/>
        </w:rPr>
      </w:pPr>
      <w:r>
        <w:rPr>
          <w:rFonts w:ascii="sans-serif" w:hAnsi="sans-serif"/>
          <w:b/>
          <w:color w:val="000000"/>
          <w:sz w:val="40"/>
        </w:rPr>
        <w:t>EASTMAN KODAK COMPANY</w:t>
      </w:r>
    </w:p>
    <w:p>
      <w:pPr>
        <w:pStyle w:val="TextBody"/>
        <w:bidi w:val="0"/>
        <w:spacing w:before="0" w:after="12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pBdr>
          <w:top w:val="single" w:sz="6" w:space="1" w:color="000000"/>
        </w:pBdr>
        <w:bidi w:val="0"/>
        <w:jc w:val="center"/>
        <w:rPr/>
      </w:pPr>
      <w:r>
        <w:rPr/>
        <w:t> </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5476"/>
        <w:gridCol w:w="3136"/>
      </w:tblGrid>
      <w:tr>
        <w:trPr/>
        <w:tc>
          <w:tcPr>
            <w:tcW w:w="547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b/>
                <w:caps/>
                <w:color w:val="000000"/>
                <w:sz w:val="18"/>
              </w:rPr>
            </w:pPr>
            <w:r>
              <w:rPr>
                <w:rFonts w:ascii="sans-serif" w:hAnsi="sans-serif"/>
                <w:b/>
                <w:caps/>
                <w:color w:val="000000"/>
                <w:sz w:val="18"/>
              </w:rPr>
              <w:t>New Jersey</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16-0417150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(State or other jurisdiction of incorporation or organization)</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(IRS Employer Identification No.)</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8"/>
              </w:rPr>
              <w:t xml:space="preserve">343 STATE STREET, ROCHESTER, </w:t>
            </w:r>
            <w:r>
              <w:rPr>
                <w:rFonts w:ascii="sans-serif" w:hAnsi="sans-serif"/>
                <w:b/>
                <w:caps/>
                <w:color w:val="000000"/>
                <w:sz w:val="18"/>
              </w:rPr>
              <w:t>New York</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14650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(Address of principal executive offices)</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(Zip Code)</w:t>
            </w:r>
          </w:p>
        </w:tc>
      </w:tr>
    </w:tbl>
    <w:p>
      <w:pPr>
        <w:pStyle w:val="TextBody"/>
        <w:bidi w:val="0"/>
        <w:jc w:val="left"/>
        <w:rPr/>
      </w:pPr>
      <w:r>
        <w:rPr/>
        <w:t> </w:t>
      </w:r>
    </w:p>
    <w:p>
      <w:pPr>
        <w:pStyle w:val="TextBody"/>
        <w:bidi w:val="0"/>
        <w:jc w:val="center"/>
        <w:rPr>
          <w:rFonts w:ascii="sans-serif" w:hAnsi="sans-serif"/>
          <w:b/>
          <w:color w:val="000000"/>
          <w:sz w:val="18"/>
        </w:rPr>
      </w:pPr>
      <w:r>
        <w:rPr>
          <w:rFonts w:ascii="sans-serif" w:hAnsi="sans-serif"/>
          <w:b/>
          <w:color w:val="000000"/>
          <w:sz w:val="18"/>
        </w:rPr>
        <w:t>(800) 356-3259</w:t>
      </w:r>
    </w:p>
    <w:p>
      <w:pPr>
        <w:pStyle w:val="TextBody"/>
        <w:bidi w:val="0"/>
        <w:spacing w:before="0" w:after="120"/>
        <w:jc w:val="center"/>
        <w:rPr>
          <w:rFonts w:ascii="sans-serif" w:hAnsi="sans-serif"/>
          <w:b/>
          <w:color w:val="000000"/>
          <w:sz w:val="18"/>
        </w:rPr>
      </w:pPr>
      <w:r>
        <w:rPr>
          <w:rFonts w:ascii="sans-serif" w:hAnsi="sans-serif"/>
          <w:b/>
          <w:color w:val="000000"/>
          <w:sz w:val="18"/>
        </w:rPr>
        <w:t>(Registrant’s telephone number, including area code)</w:t>
      </w:r>
    </w:p>
    <w:p>
      <w:pPr>
        <w:pStyle w:val="TextBody"/>
        <w:pBdr>
          <w:top w:val="single" w:sz="6" w:space="1" w:color="000000"/>
        </w:pBdr>
        <w:bidi w:val="0"/>
        <w:jc w:val="center"/>
        <w:rPr/>
      </w:pPr>
      <w:r>
        <w:rPr/>
        <w:t> </w:t>
      </w:r>
    </w:p>
    <w:p>
      <w:pPr>
        <w:pStyle w:val="TextBody"/>
        <w:bidi w:val="0"/>
        <w:jc w:val="left"/>
        <w:rPr>
          <w:rFonts w:ascii="sans-serif" w:hAnsi="sans-serif"/>
          <w:color w:val="000000"/>
          <w:sz w:val="18"/>
        </w:rPr>
      </w:pPr>
      <w:r>
        <w:rPr>
          <w:rFonts w:ascii="sans-serif" w:hAnsi="sans-serif"/>
          <w:color w:val="000000"/>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2"/>
        <w:gridCol w:w="146"/>
        <w:gridCol w:w="1884"/>
        <w:gridCol w:w="146"/>
        <w:gridCol w:w="4357"/>
      </w:tblGrid>
      <w:tr>
        <w:trPr/>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3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Title of each class Common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67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KODK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5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196" w:type="dxa"/>
        <w:jc w:val="left"/>
        <w:tblInd w:w="0" w:type="dxa"/>
        <w:tblLayout w:type="fixed"/>
        <w:tblCellMar>
          <w:top w:w="28" w:type="dxa"/>
          <w:left w:w="28" w:type="dxa"/>
          <w:bottom w:w="28" w:type="dxa"/>
          <w:right w:w="28" w:type="dxa"/>
        </w:tblCellMar>
      </w:tblPr>
      <w:tblGrid>
        <w:gridCol w:w="2611"/>
        <w:gridCol w:w="109"/>
        <w:gridCol w:w="316"/>
        <w:gridCol w:w="109"/>
        <w:gridCol w:w="2581"/>
        <w:gridCol w:w="316"/>
        <w:gridCol w:w="154"/>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bookmarkStart w:id="2" w:name="led293237f20229181666119829149"/>
      <w:bookmarkEnd w:id="2"/>
      <w:r>
        <w:rPr>
          <w:rFonts w:ascii="sans-serif" w:hAnsi="sans-serif"/>
          <w:color w:val="000000"/>
          <w:sz w:val="18"/>
        </w:rPr>
        <w:t>As of May 1, 2025, the Registrant had 80.8</w:t>
      </w:r>
      <w:r>
        <w:rPr>
          <w:rFonts w:ascii="Times New Roman" w:hAnsi="Times New Roman"/>
          <w:color w:val="000000"/>
          <w:sz w:val="20"/>
        </w:rPr>
        <w:t xml:space="preserve"> </w:t>
      </w:r>
      <w:r>
        <w:rPr>
          <w:rFonts w:ascii="sans-serif" w:hAnsi="sans-serif"/>
          <w:color w:val="000000"/>
          <w:sz w:val="18"/>
        </w:rPr>
        <w:t>million shares of common stock, par value $0.01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r>
        <w:rPr>
          <w:rFonts w:ascii="sans-serif" w:hAnsi="sans-serif"/>
          <w:b/>
          <w:color w:val="000000"/>
          <w:sz w:val="20"/>
        </w:rPr>
        <w:t>Form 10-Q</w:t>
      </w:r>
    </w:p>
    <w:p>
      <w:pPr>
        <w:pStyle w:val="TextBody"/>
        <w:bidi w:val="0"/>
        <w:spacing w:before="200" w:after="283"/>
        <w:jc w:val="center"/>
        <w:rPr>
          <w:rFonts w:ascii="sans-serif" w:hAnsi="sans-serif"/>
          <w:b/>
          <w:color w:val="000000"/>
          <w:sz w:val="20"/>
        </w:rPr>
      </w:pPr>
      <w:r>
        <w:rPr>
          <w:rFonts w:ascii="sans-serif" w:hAnsi="sans-serif"/>
          <w:b/>
          <w:color w:val="000000"/>
          <w:sz w:val="20"/>
        </w:rPr>
        <w:t>March 31, 2025</w:t>
      </w:r>
    </w:p>
    <w:p>
      <w:pPr>
        <w:pStyle w:val="TextBody"/>
        <w:bidi w:val="0"/>
        <w:spacing w:before="200" w:after="283"/>
        <w:jc w:val="center"/>
        <w:rPr>
          <w:rFonts w:ascii="sans-serif" w:hAnsi="sans-serif"/>
          <w:b/>
          <w:color w:val="000000"/>
          <w:sz w:val="20"/>
        </w:rPr>
      </w:pPr>
      <w:bookmarkStart w:id="3" w:name="toc_page"/>
      <w:bookmarkEnd w:id="3"/>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7"/>
        <w:gridCol w:w="8561"/>
        <w:gridCol w:w="707"/>
      </w:tblGrid>
      <w:tr>
        <w:trPr/>
        <w:tc>
          <w:tcPr>
            <w:tcW w:w="937" w:type="dxa"/>
            <w:tcBorders/>
            <w:vAlign w:val="center"/>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Page</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sans-serif" w:hAnsi="sans-serif"/>
                  <w:b/>
                  <w:color w:val="0000EE"/>
                  <w:sz w:val="20"/>
                  <w:u w:val="single"/>
                </w:rPr>
                <w:t>Part I.</w:t>
              </w:r>
            </w:hyperlink>
            <w:hyperlink w:anchor="part1">
              <w:r>
                <w:rPr>
                  <w:rStyle w:val="InternetLink"/>
                  <w:rFonts w:ascii="Times New Roman" w:hAnsi="Times New Roman"/>
                  <w:color w:val="0000EE"/>
                  <w:sz w:val="20"/>
                  <w:u w:val="single"/>
                </w:rPr>
                <w:t>—</w:t>
              </w:r>
            </w:hyperlink>
            <w:hyperlink w:anchor="part1">
              <w:r>
                <w:rPr>
                  <w:rStyle w:val="InternetLink"/>
                  <w:rFonts w:ascii="sans-serif" w:hAnsi="sans-serif"/>
                  <w:b/>
                  <w:color w:val="0000EE"/>
                  <w:sz w:val="20"/>
                  <w:u w:val="single"/>
                </w:rPr>
                <w:t>Financial Information</w:t>
              </w:r>
            </w:hyperlink>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s">
              <w:r>
                <w:rPr>
                  <w:rStyle w:val="InternetLink"/>
                  <w:rFonts w:ascii="sans-serif" w:hAnsi="sans-serif"/>
                  <w:color w:val="0000EE"/>
                  <w:sz w:val="20"/>
                  <w:u w:val="single"/>
                </w:rPr>
                <w:t>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sans-serif" w:hAnsi="sans-serif"/>
                  <w:color w:val="0000FF"/>
                  <w:sz w:val="20"/>
                  <w:u w:val="single"/>
                </w:rPr>
                <w:t>Consolidated Statement of Operations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sans-serif" w:hAnsi="sans-serif"/>
                  <w:color w:val="0000FF"/>
                  <w:sz w:val="20"/>
                  <w:u w:val="single"/>
                </w:rPr>
                <w:t>Consolidated Statement of Comprehensive (Loss) Income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inancial_position">
              <w:r>
                <w:rPr>
                  <w:rStyle w:val="InternetLink"/>
                  <w:rFonts w:ascii="sans-serif" w:hAnsi="sans-serif"/>
                  <w:color w:val="0000FF"/>
                  <w:sz w:val="20"/>
                  <w:u w:val="single"/>
                </w:rPr>
                <w:t>Consolidated Statement of Financial Position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sans-serif" w:hAnsi="sans-serif"/>
                  <w:color w:val="0000FF"/>
                  <w:sz w:val="20"/>
                  <w:u w:val="single"/>
                </w:rPr>
                <w:t>Consolidated Statement of Cash Flows (Unaudited)</w:t>
              </w:r>
            </w:hyperlink>
            <w:hyperlink w:anchor="cash_flows">
              <w:r>
                <w:rPr>
                  <w:rStyle w:val="InternetLink"/>
                  <w:rFonts w:ascii="Times New Roman" w:hAnsi="Times New Roman"/>
                  <w:color w:val="0000FF"/>
                  <w:sz w:val="20"/>
                </w:rPr>
                <w:t xml:space="preserve"> </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sans-serif" w:hAnsi="sans-serif"/>
                  <w:color w:val="0000FF"/>
                  <w:sz w:val="20"/>
                  <w:u w:val="single"/>
                </w:rPr>
                <w:t>Consolidated Statement of Equity (Deficit)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sans-serif" w:hAnsi="sans-serif"/>
                  <w:color w:val="0000FF"/>
                  <w:sz w:val="20"/>
                  <w:u w:val="single"/>
                </w:rPr>
                <w:t>Notes to Financial Statements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sans-serif" w:hAnsi="sans-serif"/>
                  <w:color w:val="0000EE"/>
                  <w:sz w:val="20"/>
                  <w:u w:val="single"/>
                </w:rPr>
                <w:t>Management’s Discussion and Analysis of Financial Condition and Results of Operations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iquid">
              <w:r>
                <w:rPr>
                  <w:rStyle w:val="InternetLink"/>
                  <w:rFonts w:ascii="sans-serif" w:hAnsi="sans-serif"/>
                  <w:color w:val="0000EE"/>
                  <w:sz w:val="20"/>
                  <w:u w:val="single"/>
                </w:rPr>
                <w:t>Liquidity and Capital Resources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34</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qqd">
              <w:r>
                <w:rPr>
                  <w:rStyle w:val="InternetLink"/>
                  <w:rFonts w:ascii="sans-serif" w:hAnsi="sans-serif"/>
                  <w:color w:val="0000EE"/>
                  <w:sz w:val="20"/>
                  <w:u w:val="single"/>
                </w:rPr>
                <w:t>Quantitative and Qualitative Disclosures About Market Risk</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39</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ntrols">
              <w:r>
                <w:rPr>
                  <w:rStyle w:val="InternetLink"/>
                  <w:rFonts w:ascii="sans-serif" w:hAnsi="sans-serif"/>
                  <w:color w:val="0000EE"/>
                  <w:sz w:val="20"/>
                  <w:u w:val="single"/>
                </w:rPr>
                <w:t>Controls and Procedures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39</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sans-serif" w:hAnsi="sans-serif"/>
                  <w:b/>
                  <w:color w:val="0000FF"/>
                  <w:sz w:val="20"/>
                  <w:u w:val="single"/>
                </w:rPr>
                <w:t xml:space="preserve">Part II. </w:t>
              </w:r>
            </w:hyperlink>
            <w:hyperlink w:anchor="part_ii_other_information">
              <w:r>
                <w:rPr>
                  <w:rStyle w:val="InternetLink"/>
                  <w:rFonts w:ascii="Times New Roman" w:hAnsi="Times New Roman"/>
                  <w:color w:val="0000FF"/>
                  <w:sz w:val="20"/>
                  <w:u w:val="single"/>
                </w:rPr>
                <w:t>—</w:t>
              </w:r>
            </w:hyperlink>
            <w:hyperlink w:anchor="part_ii_other_information">
              <w:r>
                <w:rPr>
                  <w:rStyle w:val="InternetLink"/>
                  <w:rFonts w:ascii="sans-serif" w:hAnsi="sans-serif"/>
                  <w:b/>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sans-serif" w:hAnsi="sans-serif"/>
                  <w:color w:val="0000FF"/>
                  <w:sz w:val="20"/>
                  <w:u w:val="single"/>
                </w:rPr>
                <w:t>Legal Proceedings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40</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sans-serif" w:hAnsi="sans-serif"/>
                  <w:color w:val="0000FF"/>
                  <w:sz w:val="20"/>
                  <w:u w:val="single"/>
                </w:rPr>
                <w:t>Risk Factors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40</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tem2unregistered">
              <w:r>
                <w:rPr>
                  <w:rStyle w:val="InternetLink"/>
                  <w:rFonts w:ascii="sans-serif" w:hAnsi="sans-serif"/>
                  <w:color w:val="0000EE"/>
                  <w:sz w:val="20"/>
                  <w:u w:val="single"/>
                </w:rPr>
                <w:t>Unregistered Sales of Equity Securities and Use of Proceeds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40</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bookmarkStart w:id="4" w:name="default"/>
              <w:bookmarkEnd w:id="4"/>
              <w:r>
                <w:rPr>
                  <w:rStyle w:val="InternetLink"/>
                  <w:rFonts w:ascii="sans-serif" w:hAnsi="sans-serif"/>
                  <w:color w:val="0000FF"/>
                  <w:sz w:val="20"/>
                  <w:u w:val="single"/>
                </w:rPr>
                <w:t>Defaults Upon Senior Securities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40</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sans-serif" w:hAnsi="sans-serif"/>
                  <w:color w:val="0000FF"/>
                  <w:sz w:val="20"/>
                  <w:u w:val="single"/>
                </w:rPr>
                <w:t>Mine Safety Disclosures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40</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sans-serif" w:hAnsi="sans-serif"/>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40</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sans-serif" w:hAnsi="sans-serif"/>
                  <w:color w:val="0000EE"/>
                  <w:sz w:val="20"/>
                  <w:u w:val="single"/>
                </w:rPr>
                <w:t>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41</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ndex_to_exhibits">
              <w:r>
                <w:rPr>
                  <w:rStyle w:val="InternetLink"/>
                  <w:rFonts w:ascii="sans-serif" w:hAnsi="sans-serif"/>
                  <w:color w:val="0000FF"/>
                  <w:sz w:val="20"/>
                  <w:u w:val="single"/>
                </w:rPr>
                <w:t>Index to 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41</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bl>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 w:name="part1"/>
      <w:bookmarkEnd w:id="5"/>
      <w:r>
        <w:rPr>
          <w:rFonts w:ascii="sans-serif" w:hAnsi="sans-serif"/>
          <w:b/>
          <w:color w:val="000000"/>
          <w:sz w:val="20"/>
        </w:rPr>
        <w:t>Part I. FINANCIAL INFORMATION</w:t>
      </w:r>
    </w:p>
    <w:p>
      <w:pPr>
        <w:pStyle w:val="TextBody"/>
        <w:bidi w:val="0"/>
        <w:jc w:val="left"/>
        <w:rPr>
          <w:rFonts w:ascii="Times New Roman" w:hAnsi="Times New Roman"/>
          <w:sz w:val="20"/>
        </w:rPr>
      </w:pPr>
      <w:bookmarkStart w:id="6" w:name="fs"/>
      <w:bookmarkEnd w:id="6"/>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1.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7" w:name="statement_of_operations"/>
      <w:bookmarkEnd w:id="7"/>
      <w:r>
        <w:rPr>
          <w:rFonts w:ascii="sans-serif" w:hAnsi="sans-serif"/>
          <w:b/>
          <w:color w:val="000000"/>
          <w:sz w:val="20"/>
        </w:rPr>
        <w:t>CONSOLIDATED STATEMENT OF OPERATIONS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2"/>
        <w:gridCol w:w="146"/>
        <w:gridCol w:w="277"/>
        <w:gridCol w:w="738"/>
        <w:gridCol w:w="222"/>
        <w:gridCol w:w="178"/>
        <w:gridCol w:w="277"/>
        <w:gridCol w:w="646"/>
        <w:gridCol w:w="329"/>
      </w:tblGrid>
      <w:tr>
        <w:trPr/>
        <w:tc>
          <w:tcPr>
            <w:tcW w:w="7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earnings from operations before interest expense, pension</w:t>
              <w:br/>
              <w:t xml:space="preserve">    income excluding service cost component, other income, net and </w:t>
              <w:br/>
              <w:t>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earnings from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Basic net (loss) earnings per share attributable to Eastman Kodak Company </w:t>
              <w:br/>
              <w:t>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0.31</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(loss) earnings per share attributable to Eastman Kodak Company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0.30</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(loss) earnings per </w:t>
              <w:br/>
              <w:t>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91.3</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8" w:name="comprehensive_income"/>
      <w:bookmarkEnd w:id="8"/>
      <w:r>
        <w:rPr>
          <w:rFonts w:ascii="sans-serif" w:hAnsi="sans-serif"/>
          <w:b/>
          <w:color w:val="000000"/>
          <w:sz w:val="20"/>
        </w:rPr>
        <w:t>CONSOLIDATED STATEMENT OF COMPREHENSIVE (LOSS) INCOME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0"/>
        <w:gridCol w:w="146"/>
        <w:gridCol w:w="329"/>
        <w:gridCol w:w="613"/>
        <w:gridCol w:w="263"/>
        <w:gridCol w:w="212"/>
        <w:gridCol w:w="329"/>
        <w:gridCol w:w="613"/>
        <w:gridCol w:w="230"/>
      </w:tblGrid>
      <w:tr>
        <w:trPr/>
        <w:tc>
          <w:tcPr>
            <w:tcW w:w="7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benefit plan obligation activity,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9" w:name="financial_position"/>
      <w:bookmarkEnd w:id="9"/>
      <w:r>
        <w:rPr>
          <w:rFonts w:ascii="sans-serif" w:hAnsi="sans-serif"/>
          <w:b/>
          <w:color w:val="000000"/>
          <w:sz w:val="20"/>
        </w:rPr>
        <w:t>CONSOLIDATED STATEMENT OF FINANCIAL POSITION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3"/>
        <w:gridCol w:w="146"/>
        <w:gridCol w:w="280"/>
        <w:gridCol w:w="839"/>
        <w:gridCol w:w="181"/>
        <w:gridCol w:w="146"/>
        <w:gridCol w:w="377"/>
        <w:gridCol w:w="1130"/>
        <w:gridCol w:w="593"/>
      </w:tblGrid>
      <w:tr>
        <w:trPr/>
        <w:tc>
          <w:tcPr>
            <w:tcW w:w="6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Trade receivables, net of allowances of $6</w:t>
            </w:r>
            <w:r>
              <w:rPr>
                <w:rFonts w:ascii="Times New Roman" w:hAnsi="Times New Roman"/>
                <w:color w:val="000000"/>
                <w:sz w:val="20"/>
              </w:rPr>
              <w:t> </w:t>
            </w:r>
            <w:r>
              <w:rPr>
                <w:rFonts w:ascii="sans-serif" w:hAnsi="sans-serif"/>
                <w:color w:val="000000"/>
                <w:sz w:val="20"/>
              </w:rPr>
              <w:t>and $7,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Property, plant and equipment, net of accumulated depreciation of $489</w:t>
            </w:r>
            <w:r>
              <w:rPr>
                <w:rFonts w:ascii="Times New Roman" w:hAnsi="Times New Roman"/>
                <w:color w:val="000000"/>
                <w:sz w:val="20"/>
              </w:rPr>
              <w:t> </w:t>
            </w:r>
            <w:r>
              <w:rPr>
                <w:rFonts w:ascii="sans-serif" w:hAnsi="sans-serif"/>
                <w:color w:val="000000"/>
                <w:sz w:val="20"/>
              </w:rPr>
              <w:t>and $482,</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20"/>
              </w:rPr>
            </w:pPr>
            <w:r>
              <w:rPr>
                <w:rFonts w:ascii="sans-serif" w:hAnsi="sans-serif"/>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Redeemable, convertible preferred stock, no</w:t>
            </w:r>
            <w:r>
              <w:rPr>
                <w:rFonts w:ascii="Times New Roman" w:hAnsi="Times New Roman"/>
                <w:color w:val="000000"/>
                <w:sz w:val="20"/>
              </w:rPr>
              <w:t> </w:t>
            </w:r>
            <w:r>
              <w:rPr>
                <w:rFonts w:ascii="sans-serif" w:hAnsi="sans-serif"/>
                <w:color w:val="000000"/>
                <w:sz w:val="20"/>
              </w:rPr>
              <w:t>par value, $100</w:t>
            </w:r>
            <w:r>
              <w:rPr>
                <w:rFonts w:ascii="Times New Roman" w:hAnsi="Times New Roman"/>
                <w:color w:val="000000"/>
                <w:sz w:val="20"/>
              </w:rPr>
              <w:t> </w:t>
            </w:r>
            <w:r>
              <w:rPr>
                <w:rFonts w:ascii="sans-serif" w:hAnsi="sans-serif"/>
                <w:color w:val="000000"/>
                <w:sz w:val="20"/>
              </w:rPr>
              <w:t>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Common stock, $0.01</w:t>
            </w:r>
            <w:r>
              <w:rPr>
                <w:rFonts w:ascii="Times New Roman" w:hAnsi="Times New Roman"/>
                <w:color w:val="000000"/>
                <w:sz w:val="20"/>
              </w:rPr>
              <w:t> </w:t>
            </w:r>
            <w:r>
              <w:rPr>
                <w:rFonts w:ascii="sans-serif" w:hAnsi="sans-serif"/>
                <w:color w:val="000000"/>
                <w:sz w:val="20"/>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0" w:name="cash_flows"/>
      <w:bookmarkEnd w:id="10"/>
      <w:r>
        <w:rPr>
          <w:rFonts w:ascii="sans-serif" w:hAnsi="sans-serif"/>
          <w:b/>
          <w:color w:val="000000"/>
          <w:sz w:val="20"/>
        </w:rPr>
        <w:t>CONSOLIDATED STATEMENT OF CASH FLOWS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9"/>
        <w:gridCol w:w="146"/>
        <w:gridCol w:w="303"/>
        <w:gridCol w:w="624"/>
        <w:gridCol w:w="242"/>
        <w:gridCol w:w="195"/>
        <w:gridCol w:w="303"/>
        <w:gridCol w:w="624"/>
        <w:gridCol w:w="629"/>
      </w:tblGrid>
      <w:tr>
        <w:trPr/>
        <w:tc>
          <w:tcPr>
            <w:tcW w:w="7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changes in workers' compensation and employee benefit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gain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decrease in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(increase) in miscellaneous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liabilities excluding borrowings and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 of Amended and Restated Term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cash dividend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380</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1" w:name="equity"/>
      <w:bookmarkEnd w:id="11"/>
      <w:r>
        <w:rPr>
          <w:rFonts w:ascii="sans-serif" w:hAnsi="sans-serif"/>
          <w:b/>
          <w:color w:val="000000"/>
          <w:sz w:val="20"/>
        </w:rPr>
        <w:t>CONSOLIDATED STATEMENT OF EQUITY (DEFICIT) (Unaudited)</w:t>
      </w:r>
    </w:p>
    <w:p>
      <w:pPr>
        <w:pStyle w:val="TextBody"/>
        <w:bidi w:val="0"/>
        <w:jc w:val="left"/>
        <w:rPr/>
      </w:pPr>
      <w:r>
        <w:rPr/>
        <w:t> </w:t>
      </w:r>
    </w:p>
    <w:p>
      <w:pPr>
        <w:pStyle w:val="TextBody"/>
        <w:bidi w:val="0"/>
        <w:jc w:val="left"/>
        <w:rPr/>
      </w:pPr>
      <w:r>
        <w:rPr/>
        <w:t> </w:t>
      </w:r>
    </w:p>
    <w:tbl>
      <w:tblPr>
        <w:tblW w:w="11158" w:type="dxa"/>
        <w:jc w:val="left"/>
        <w:tblInd w:w="0" w:type="dxa"/>
        <w:tblLayout w:type="fixed"/>
        <w:tblCellMar>
          <w:top w:w="28" w:type="dxa"/>
          <w:left w:w="28" w:type="dxa"/>
          <w:bottom w:w="28" w:type="dxa"/>
          <w:right w:w="28" w:type="dxa"/>
        </w:tblCellMar>
      </w:tblPr>
      <w:tblGrid>
        <w:gridCol w:w="1676"/>
        <w:gridCol w:w="146"/>
        <w:gridCol w:w="326"/>
        <w:gridCol w:w="500"/>
        <w:gridCol w:w="146"/>
        <w:gridCol w:w="146"/>
        <w:gridCol w:w="249"/>
        <w:gridCol w:w="712"/>
        <w:gridCol w:w="181"/>
        <w:gridCol w:w="146"/>
        <w:gridCol w:w="353"/>
        <w:gridCol w:w="848"/>
        <w:gridCol w:w="181"/>
        <w:gridCol w:w="146"/>
        <w:gridCol w:w="415"/>
        <w:gridCol w:w="996"/>
        <w:gridCol w:w="181"/>
        <w:gridCol w:w="146"/>
        <w:gridCol w:w="304"/>
        <w:gridCol w:w="567"/>
        <w:gridCol w:w="181"/>
        <w:gridCol w:w="146"/>
        <w:gridCol w:w="226"/>
        <w:gridCol w:w="466"/>
        <w:gridCol w:w="181"/>
        <w:gridCol w:w="146"/>
        <w:gridCol w:w="377"/>
        <w:gridCol w:w="779"/>
        <w:gridCol w:w="29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Three-Month Period Ending 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Redeemable</w:t>
              <w:br/>
              <w:t>Convertible</w:t>
              <w:br/>
              <w:t>Preferred Stock</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713" w:type="dxa"/>
        <w:jc w:val="left"/>
        <w:tblInd w:w="0" w:type="dxa"/>
        <w:tblLayout w:type="fixed"/>
        <w:tblCellMar>
          <w:top w:w="28" w:type="dxa"/>
          <w:left w:w="28" w:type="dxa"/>
          <w:bottom w:w="28" w:type="dxa"/>
          <w:right w:w="28" w:type="dxa"/>
        </w:tblCellMar>
      </w:tblPr>
      <w:tblGrid>
        <w:gridCol w:w="1676"/>
        <w:gridCol w:w="146"/>
        <w:gridCol w:w="361"/>
        <w:gridCol w:w="555"/>
        <w:gridCol w:w="146"/>
        <w:gridCol w:w="146"/>
        <w:gridCol w:w="280"/>
        <w:gridCol w:w="801"/>
        <w:gridCol w:w="181"/>
        <w:gridCol w:w="146"/>
        <w:gridCol w:w="389"/>
        <w:gridCol w:w="932"/>
        <w:gridCol w:w="181"/>
        <w:gridCol w:w="146"/>
        <w:gridCol w:w="500"/>
        <w:gridCol w:w="1031"/>
        <w:gridCol w:w="181"/>
        <w:gridCol w:w="146"/>
        <w:gridCol w:w="319"/>
        <w:gridCol w:w="597"/>
        <w:gridCol w:w="181"/>
        <w:gridCol w:w="146"/>
        <w:gridCol w:w="226"/>
        <w:gridCol w:w="466"/>
        <w:gridCol w:w="181"/>
        <w:gridCol w:w="146"/>
        <w:gridCol w:w="397"/>
        <w:gridCol w:w="819"/>
        <w:gridCol w:w="29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Three-Month Period Ending March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 xml:space="preserve">Comprehensive </w:t>
              <w:br/>
              <w:t>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Redeemable</w:t>
              <w:br/>
              <w:t>Convertible</w:t>
              <w:br/>
              <w:t>Preferred Stock</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2" w:name="notes_to_financial_statements"/>
      <w:bookmarkEnd w:id="12"/>
      <w:r>
        <w:rPr>
          <w:rFonts w:ascii="sans-serif" w:hAnsi="sans-serif"/>
          <w:b/>
          <w:color w:val="000000"/>
          <w:sz w:val="20"/>
        </w:rPr>
        <w:t>NOTES TO FINANCIAL STATEMENTS (Unaudited)</w:t>
      </w:r>
    </w:p>
    <w:p>
      <w:pPr>
        <w:pStyle w:val="TextBody"/>
        <w:bidi w:val="0"/>
        <w:spacing w:before="200" w:after="283"/>
        <w:jc w:val="left"/>
        <w:rPr>
          <w:rFonts w:ascii="sans-serif" w:hAnsi="sans-serif"/>
          <w:b/>
          <w:color w:val="000000"/>
          <w:sz w:val="20"/>
        </w:rPr>
      </w:pPr>
      <w:r>
        <w:rPr>
          <w:rFonts w:ascii="sans-serif" w:hAnsi="sans-serif"/>
          <w:b/>
          <w:color w:val="000000"/>
          <w:sz w:val="20"/>
        </w:rPr>
        <w:t>NOTE 1: BASIS OF PRESENTATION AND RECENT ACCOUNTING PRONOUNCEMENTS</w:t>
      </w:r>
    </w:p>
    <w:p>
      <w:pPr>
        <w:pStyle w:val="TextBody"/>
        <w:bidi w:val="0"/>
        <w:spacing w:before="200" w:after="283"/>
        <w:jc w:val="left"/>
        <w:rPr>
          <w:rFonts w:ascii="sans-serif" w:hAnsi="sans-serif"/>
          <w:b/>
          <w:color w:val="000000"/>
          <w:sz w:val="20"/>
        </w:rPr>
      </w:pPr>
      <w:r>
        <w:rPr>
          <w:rFonts w:ascii="sans-serif" w:hAnsi="sans-serif"/>
          <w:b/>
          <w:color w:val="000000"/>
          <w:sz w:val="20"/>
        </w:rPr>
        <w:t>BASIS OF PRESENTATION</w:t>
      </w:r>
    </w:p>
    <w:p>
      <w:pPr>
        <w:pStyle w:val="TextBody"/>
        <w:bidi w:val="0"/>
        <w:spacing w:before="200" w:after="283"/>
        <w:jc w:val="left"/>
        <w:rPr>
          <w:rFonts w:ascii="Times New Roman" w:hAnsi="Times New Roman"/>
          <w:sz w:val="20"/>
        </w:rPr>
      </w:pPr>
      <w:r>
        <w:rPr>
          <w:rFonts w:ascii="sans-serif" w:hAnsi="sans-serif"/>
          <w:color w:val="000000"/>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w:t>
      </w:r>
      <w:bookmarkStart w:id="13" w:name="led293237f20228201663700328457"/>
      <w:bookmarkEnd w:id="13"/>
      <w:r>
        <w:rPr>
          <w:rFonts w:ascii="sans-serif" w:hAnsi="sans-serif"/>
          <w:color w:val="000000"/>
          <w:sz w:val="20"/>
        </w:rPr>
        <w:t>December 31, 2024 (the “</w:t>
      </w:r>
      <w:bookmarkStart w:id="14" w:name="led293237f20228201663700343093"/>
      <w:bookmarkEnd w:id="14"/>
      <w:r>
        <w:rPr>
          <w:rFonts w:ascii="sans-serif" w:hAnsi="sans-serif"/>
          <w:color w:val="000000"/>
          <w:sz w:val="20"/>
        </w:rPr>
        <w:t>2024 Form 10-K”).</w:t>
      </w:r>
    </w:p>
    <w:p>
      <w:pPr>
        <w:pStyle w:val="TextBody"/>
        <w:bidi w:val="0"/>
        <w:spacing w:before="200" w:after="283"/>
        <w:jc w:val="left"/>
        <w:rPr>
          <w:rFonts w:ascii="sans-serif" w:hAnsi="sans-serif"/>
          <w:b/>
          <w:color w:val="000000"/>
          <w:sz w:val="20"/>
        </w:rPr>
      </w:pPr>
      <w:r>
        <w:rPr>
          <w:rFonts w:ascii="sans-serif" w:hAnsi="sans-serif"/>
          <w:b/>
          <w:color w:val="000000"/>
          <w:sz w:val="20"/>
        </w:rPr>
        <w:t>RISK AND UNCERTAINTIES:</w:t>
      </w:r>
    </w:p>
    <w:p>
      <w:pPr>
        <w:pStyle w:val="TextBody"/>
        <w:bidi w:val="0"/>
        <w:spacing w:before="200" w:after="283"/>
        <w:jc w:val="left"/>
        <w:rPr>
          <w:rFonts w:ascii="Times New Roman" w:hAnsi="Times New Roman"/>
          <w:sz w:val="20"/>
        </w:rPr>
      </w:pPr>
      <w:r>
        <w:rPr>
          <w:rFonts w:ascii="sans-serif" w:hAnsi="sans-serif"/>
          <w:color w:val="000000"/>
          <w:sz w:val="20"/>
        </w:rPr>
        <w:t>As of March 31, 2025 and December 31, 2024, Kodak had approximately $158</w:t>
      </w:r>
      <w:r>
        <w:rPr>
          <w:rFonts w:ascii="Times New Roman" w:hAnsi="Times New Roman"/>
          <w:color w:val="000000"/>
          <w:sz w:val="20"/>
        </w:rPr>
        <w:t xml:space="preserve"> </w:t>
      </w:r>
      <w:r>
        <w:rPr>
          <w:rFonts w:ascii="sans-serif" w:hAnsi="sans-serif"/>
          <w:color w:val="000000"/>
          <w:sz w:val="20"/>
        </w:rPr>
        <w:t>million and $201</w:t>
      </w:r>
      <w:r>
        <w:rPr>
          <w:rFonts w:ascii="Times New Roman" w:hAnsi="Times New Roman"/>
          <w:color w:val="000000"/>
          <w:sz w:val="20"/>
        </w:rPr>
        <w:t xml:space="preserve"> </w:t>
      </w:r>
      <w:r>
        <w:rPr>
          <w:rFonts w:ascii="sans-serif" w:hAnsi="sans-serif"/>
          <w:color w:val="000000"/>
          <w:sz w:val="20"/>
        </w:rPr>
        <w:t>million, respectively, of cash and cash equivalents. Of these amounts, $65</w:t>
      </w:r>
      <w:r>
        <w:rPr>
          <w:rFonts w:ascii="Times New Roman" w:hAnsi="Times New Roman"/>
          <w:color w:val="000000"/>
          <w:sz w:val="20"/>
        </w:rPr>
        <w:t xml:space="preserve"> </w:t>
      </w:r>
      <w:r>
        <w:rPr>
          <w:rFonts w:ascii="sans-serif" w:hAnsi="sans-serif"/>
          <w:color w:val="000000"/>
          <w:sz w:val="20"/>
        </w:rPr>
        <w:t>million and $118</w:t>
      </w:r>
      <w:r>
        <w:rPr>
          <w:rFonts w:ascii="Times New Roman" w:hAnsi="Times New Roman"/>
          <w:color w:val="000000"/>
          <w:sz w:val="20"/>
        </w:rPr>
        <w:t xml:space="preserve"> </w:t>
      </w:r>
      <w:r>
        <w:rPr>
          <w:rFonts w:ascii="sans-serif" w:hAnsi="sans-serif"/>
          <w:color w:val="000000"/>
          <w:sz w:val="20"/>
        </w:rPr>
        <w:t>million of cash and cash equivalents were held within the U.S. as of March 31, 2025 and December 31, 2024, respectively.</w:t>
      </w:r>
    </w:p>
    <w:p>
      <w:pPr>
        <w:pStyle w:val="TextBody"/>
        <w:bidi w:val="0"/>
        <w:jc w:val="left"/>
        <w:rPr>
          <w:rFonts w:ascii="Times New Roman" w:hAnsi="Times New Roman"/>
          <w:sz w:val="20"/>
        </w:rPr>
      </w:pPr>
      <w:r>
        <w:rPr>
          <w:rFonts w:ascii="sans-serif" w:hAnsi="sans-serif"/>
          <w:color w:val="000000"/>
          <w:sz w:val="20"/>
        </w:rPr>
        <w:t>Kodak has not extended or refinanced the existing Series B and Series C Preferred Stock past their current mandatory redemption date of May 28, 2026. Kodak has debt coming due on May 22, 2026 and does not have committed financing or available liquidity to meet such debt obligations if they were to become due in accordance with their current terms.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Kodak’s ability to adequately fund its existing preferred stock and debt obligations when they come due are dependent on obtaining sufficient proceeds from the expected reversion of cash to the Company upon settlement of obligations under the KRIP to reduce the amount of the Term Loans (as defined below) and to (i) convert, redeem, extend or refinance the existing Series B and Series C Preferred Stock past their current maturities of May 28, 2026, (ii) amend, extend or refinance the remaining outstanding Term Loans past the current maturity date of May 22, 2026, and (iii) replace collateral currently supporting the letters of credit issued under the L/C Facility Agreement (as defined below). These actions are dependent upon several external factors outside Kodak’s control. Kodak makes no assurances regarding the likelihood, certainty or timing of consummating any refinancing transaction, or the sufficiency of any such actions to meet Kodak’s preferred stock or debt obligations.</w:t>
      </w:r>
    </w:p>
    <w:p>
      <w:pPr>
        <w:pStyle w:val="TextBody"/>
        <w:bidi w:val="0"/>
        <w:spacing w:before="200" w:after="283"/>
        <w:jc w:val="left"/>
        <w:rPr>
          <w:rFonts w:ascii="sans-serif" w:hAnsi="sans-serif"/>
          <w:b/>
          <w:color w:val="000000"/>
          <w:sz w:val="20"/>
        </w:rPr>
      </w:pPr>
      <w:r>
        <w:rPr>
          <w:rFonts w:ascii="sans-serif" w:hAnsi="sans-serif"/>
          <w:b/>
          <w:color w:val="000000"/>
          <w:sz w:val="20"/>
        </w:rPr>
        <w:t>RECENTLY ADOPTED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No accounting pronouncements were recently adopted by Kodak.</w:t>
      </w:r>
    </w:p>
    <w:p>
      <w:pPr>
        <w:pStyle w:val="TextBody"/>
        <w:bidi w:val="0"/>
        <w:spacing w:before="20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In December 2023, the Financial Accounting Standards Board ("FASB") issued Accounting Standards Update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the fiscal year ending December 31, 2025, and the required disclosures will be included in Kodak's Form 10-K for the year ending December 31, 2025. As the requirements of this ASU relate to disclosure only, the adoption of this ASU will not have a material impact on Kodak’s consolidated financial statements.</w:t>
      </w:r>
    </w:p>
    <w:p>
      <w:pPr>
        <w:pStyle w:val="TextBody"/>
        <w:bidi w:val="0"/>
        <w:spacing w:before="200" w:after="283"/>
        <w:jc w:val="left"/>
        <w:rPr>
          <w:rFonts w:ascii="Times New Roman" w:hAnsi="Times New Roman"/>
          <w:sz w:val="20"/>
        </w:rPr>
      </w:pPr>
      <w:r>
        <w:rPr>
          <w:rFonts w:ascii="sans-serif" w:hAnsi="sans-serif"/>
          <w:color w:val="000000"/>
          <w:sz w:val="20"/>
        </w:rPr>
        <w:t>In November 2024, the FASB issued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interim reporting periods beginning after December 15, 2027 (January 1, 2028 for Kodak). The Company is currently evaluating the ASU to determine its impact on the Company's disclosures.</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2: CASH, CASH EQUIVALENTS AND RESTRICTED CASH</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0"/>
        <w:gridCol w:w="146"/>
        <w:gridCol w:w="360"/>
        <w:gridCol w:w="742"/>
        <w:gridCol w:w="146"/>
        <w:gridCol w:w="146"/>
        <w:gridCol w:w="507"/>
        <w:gridCol w:w="1045"/>
        <w:gridCol w:w="193"/>
      </w:tblGrid>
      <w:tr>
        <w:trPr/>
        <w:tc>
          <w:tcPr>
            <w:tcW w:w="6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reported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cash, cash equivalents and restricted cash shown in the Consolidated Statement </w:t>
              <w:br/>
              <w: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5" w:name="led293237f20228201663700467242"/>
      <w:bookmarkEnd w:id="15"/>
      <w:r>
        <w:rPr>
          <w:rFonts w:ascii="sans-serif" w:hAnsi="sans-serif"/>
          <w:color w:val="000000"/>
          <w:sz w:val="20"/>
        </w:rPr>
        <w:t>Restricted cash reported in Other current assets on the Consolidated Statement of Financial Position primarily represented amounts that support hedging activities as of March 31, 2025</w:t>
      </w:r>
      <w:r>
        <w:rPr>
          <w:rFonts w:ascii="Times New Roman" w:hAnsi="Times New Roman"/>
          <w:color w:val="000000"/>
          <w:sz w:val="20"/>
        </w:rPr>
        <w:t xml:space="preserve"> </w:t>
      </w:r>
      <w:r>
        <w:rPr>
          <w:rFonts w:ascii="sans-serif" w:hAnsi="sans-serif"/>
          <w:color w:val="000000"/>
          <w:sz w:val="20"/>
        </w:rPr>
        <w:t>and December 31, 2024.</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Restricted cash included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as of March 31, 2025 and December 31, 2024, respectively, representing the cash collateral required to be posted by the Company under the Amended and Restated L/C Facility Agreement, defined below. In addition, restricted cash as of March 31, 2025 and December 31, 2024</w:t>
      </w:r>
      <w:r>
        <w:rPr>
          <w:rFonts w:ascii="Times New Roman" w:hAnsi="Times New Roman"/>
          <w:color w:val="000000"/>
          <w:sz w:val="20"/>
        </w:rPr>
        <w:t xml:space="preserve"> </w:t>
      </w:r>
      <w:r>
        <w:rPr>
          <w:rFonts w:ascii="sans-serif" w:hAnsi="sans-serif"/>
          <w:color w:val="000000"/>
          <w:sz w:val="20"/>
        </w:rPr>
        <w:t>included $56</w:t>
      </w:r>
      <w:r>
        <w:rPr>
          <w:rFonts w:ascii="Times New Roman" w:hAnsi="Times New Roman"/>
          <w:color w:val="000000"/>
          <w:sz w:val="20"/>
        </w:rPr>
        <w:t xml:space="preserve"> </w:t>
      </w:r>
      <w:r>
        <w:rPr>
          <w:rFonts w:ascii="sans-serif" w:hAnsi="sans-serif"/>
          <w:color w:val="000000"/>
          <w:sz w:val="20"/>
        </w:rPr>
        <w:t>million and $55</w:t>
      </w:r>
      <w:r>
        <w:rPr>
          <w:rFonts w:ascii="Times New Roman" w:hAnsi="Times New Roman"/>
          <w:color w:val="000000"/>
          <w:sz w:val="20"/>
        </w:rPr>
        <w:t xml:space="preserve"> </w:t>
      </w:r>
      <w:r>
        <w:rPr>
          <w:rFonts w:ascii="sans-serif" w:hAnsi="sans-serif"/>
          <w:color w:val="000000"/>
          <w:sz w:val="20"/>
        </w:rPr>
        <w:t>million, respectively, representing cash collateral supporting the Company’s undiscounted actuarial workers’ compensation obligations with the New York State Workers’ Compensation Board ("NYS WCB"). Restricted cash also included $6</w:t>
      </w:r>
      <w:r>
        <w:rPr>
          <w:rFonts w:ascii="Times New Roman" w:hAnsi="Times New Roman"/>
          <w:color w:val="000000"/>
          <w:sz w:val="20"/>
        </w:rPr>
        <w:t xml:space="preserve"> </w:t>
      </w:r>
      <w:r>
        <w:rPr>
          <w:rFonts w:ascii="sans-serif" w:hAnsi="sans-serif"/>
          <w:color w:val="000000"/>
          <w:sz w:val="20"/>
        </w:rPr>
        <w:t>million of security posted related to Brazilian legal contingencies as of both March 31, 2025 and December 31, 2024.</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3: INVENTORIES, NET</w:t>
      </w:r>
    </w:p>
    <w:p>
      <w:pPr>
        <w:pStyle w:val="TextBody"/>
        <w:bidi w:val="0"/>
        <w:jc w:val="left"/>
        <w:rPr/>
      </w:pPr>
      <w:r>
        <w:rPr/>
        <w:t> </w:t>
      </w:r>
    </w:p>
    <w:tbl>
      <w:tblPr>
        <w:tblW w:w="5160" w:type="dxa"/>
        <w:jc w:val="left"/>
        <w:tblInd w:w="0" w:type="dxa"/>
        <w:tblLayout w:type="fixed"/>
        <w:tblCellMar>
          <w:top w:w="28" w:type="dxa"/>
          <w:left w:w="28" w:type="dxa"/>
          <w:bottom w:w="28" w:type="dxa"/>
          <w:right w:w="28" w:type="dxa"/>
        </w:tblCellMar>
      </w:tblPr>
      <w:tblGrid>
        <w:gridCol w:w="1681"/>
        <w:gridCol w:w="146"/>
        <w:gridCol w:w="392"/>
        <w:gridCol w:w="808"/>
        <w:gridCol w:w="146"/>
        <w:gridCol w:w="146"/>
        <w:gridCol w:w="539"/>
        <w:gridCol w:w="111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4: DEBT AND CREDIT FACILITIES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Term Loan Credit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certain of its subsidiaries (the "Subsidiary Guarantors") entered into a Credit Agreement (the “Original Term Loan Credit Agreement”) with certain funds affiliated with Kennedy Lewis Investment Management LLC (“KLIM”) as lenders (the “Original Term Loan Lenders”) and Alter Domus (US) LLC, as administrative agent (the “Term Loan Agent”). Pursuant to the Original Term Loan Credit Agreement, the Original Term Loan Lenders provided the Company with (i) an initial term loan in the amount of $225</w:t>
      </w:r>
      <w:r>
        <w:rPr>
          <w:rFonts w:ascii="Times New Roman" w:hAnsi="Times New Roman"/>
          <w:color w:val="000000"/>
          <w:sz w:val="20"/>
        </w:rPr>
        <w:t xml:space="preserve"> </w:t>
      </w:r>
      <w:r>
        <w:rPr>
          <w:rFonts w:ascii="sans-serif" w:hAnsi="sans-serif"/>
          <w:color w:val="000000"/>
          <w:sz w:val="20"/>
        </w:rPr>
        <w:t>million, which was drawn in full on the same date, and (ii) a commitment to provide delayed draw term loans in an aggregate principal amount of up to $50</w:t>
      </w:r>
      <w:r>
        <w:rPr>
          <w:rFonts w:ascii="Times New Roman" w:hAnsi="Times New Roman"/>
          <w:color w:val="000000"/>
          <w:sz w:val="20"/>
        </w:rPr>
        <w:t xml:space="preserve"> </w:t>
      </w:r>
      <w:r>
        <w:rPr>
          <w:rFonts w:ascii="sans-serif" w:hAnsi="sans-serif"/>
          <w:color w:val="000000"/>
          <w:sz w:val="20"/>
        </w:rPr>
        <w:t>million on or before February 26, 2023 (collectively, the “Original Term Loans”). The delayed draw term loans were drawn in full on June 15, 2022. The maturity date of the Original Term Loans was February 26, 2026, and the Original Term Loans were non-amortizing.</w:t>
      </w:r>
    </w:p>
    <w:p>
      <w:pPr>
        <w:pStyle w:val="TextBody"/>
        <w:bidi w:val="0"/>
        <w:spacing w:before="200" w:after="283"/>
        <w:jc w:val="left"/>
        <w:rPr>
          <w:rFonts w:ascii="Times New Roman" w:hAnsi="Times New Roman"/>
          <w:sz w:val="20"/>
        </w:rPr>
      </w:pPr>
      <w:r>
        <w:rPr>
          <w:rFonts w:ascii="sans-serif" w:hAnsi="sans-serif"/>
          <w:color w:val="000000"/>
          <w:sz w:val="20"/>
        </w:rPr>
        <w:t>On June 30, 2023, the Company and the Subsidiary Guarantors entered into an amendment (the “Term Loan Amendment”) to the Original Term Loan Credit Agreement (the Original Term Loan Credit Agreement, as amended and restated by the Term Loan Amendment, the “Amended and Restated Term Loan Credit Agreement”), with certain funds affiliated with KLIM as lenders (the “Term Loan Lenders”) and the Term Loan Agent. Subject to the terms and conditions of the Term Loan Amendment, the Term Loan Lenders provided the Company with a commitment to provide term loans in an aggregate principal amount of $450</w:t>
      </w:r>
      <w:r>
        <w:rPr>
          <w:rFonts w:ascii="Times New Roman" w:hAnsi="Times New Roman"/>
          <w:color w:val="000000"/>
          <w:sz w:val="20"/>
        </w:rPr>
        <w:t xml:space="preserve"> </w:t>
      </w:r>
      <w:r>
        <w:rPr>
          <w:rFonts w:ascii="sans-serif" w:hAnsi="sans-serif"/>
          <w:color w:val="000000"/>
          <w:sz w:val="20"/>
        </w:rPr>
        <w:t>million (the “Term Loans”).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On July 21, 2023, the Amended and Restated Term Loan Credit Agreement became effective and the Company completed its borrowing of the Term Loans. The Company received net proceeds of $435</w:t>
      </w:r>
      <w:r>
        <w:rPr>
          <w:rFonts w:ascii="Times New Roman" w:hAnsi="Times New Roman"/>
          <w:color w:val="000000"/>
          <w:sz w:val="20"/>
        </w:rPr>
        <w:t xml:space="preserve"> </w:t>
      </w:r>
      <w:r>
        <w:rPr>
          <w:rFonts w:ascii="sans-serif" w:hAnsi="sans-serif"/>
          <w:color w:val="000000"/>
          <w:sz w:val="20"/>
        </w:rPr>
        <w:t>million from the Term Loans which were used to (i) refinance the obligations under the Original Term Loan Credit Agreement, (ii) repay in full and terminate the commitments under the Company’s asset-based revolving credit facility made available pursuant to amendment No. 5 to the Amended and Restated Credit Agreement (the “2023 Amended ABL Credit Agreement") with the lenders party thereto, Bank of America, N.A., as administrative agent and collateral agent, (iii) repay in full the Company’s outstanding 5.0% unsecured convertible promissory notes due May 28, 2026 (the "Convertible Notes") held by the Original Term Loan Lenders, (iv) pay certain fees and expenses related to the foregoing and the amended 2023 Amended L/C Facility Agreement (as amended and restated, the “Amended and Restated L/C Facility Agreement”), (v) provide cash collateral in respect of the Amended and Restated L/C Facility Agreement, as described below, or other collateral obligations, and (vi) for general corporate purposes and working capital needs of the Company and its subsidiaries (a net amount of $29</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Term Loan Amendment also amended and restated the Original Term Loan Credit Agreement to, among other things, (i) extend the maturity date to the earlier of August 15, 2028 or the date that is 91 days prior to the maturity date or mandatory redemption date of any of the Company’s then-outstanding Series B Preferred Stock or Series C Preferred Stock ("Convertible Securities") or any extensions or refinancings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Term Loan Agent.</w:t>
      </w:r>
    </w:p>
    <w:p>
      <w:pPr>
        <w:pStyle w:val="TextBody"/>
        <w:bidi w:val="0"/>
        <w:spacing w:before="200" w:after="283"/>
        <w:jc w:val="left"/>
        <w:rPr>
          <w:rFonts w:ascii="sans-serif" w:hAnsi="sans-serif"/>
          <w:color w:val="000000"/>
          <w:sz w:val="20"/>
        </w:rPr>
      </w:pPr>
      <w:r>
        <w:rPr>
          <w:rFonts w:ascii="sans-serif" w:hAnsi="sans-serif"/>
          <w:color w:val="000000"/>
          <w:sz w:val="20"/>
        </w:rPr>
        <w:t>The Term Loans bear interest at a rate of 7.5% per annum payable in cash (the “Cash Interest Payment”) and 5.0% per annum payable “in-kind” ("PIK") or in cash at the Company’s option, for an aggregate interest rate of 12.5% per annum. Obligations under the Amended and Restated Term Loan Credit Agreement are secured by a first priority lien on substantially all assets of the Company and the Subsidiary Guarantors (subject to certain exceptions) not constituting L/C Cash Collateral, as defined below (collectively, the “Term Loan Priority Collateral”), and a second priority lien on the L/C Cash Collateral.</w:t>
      </w:r>
    </w:p>
    <w:p>
      <w:pPr>
        <w:pStyle w:val="TextBody"/>
        <w:bidi w:val="0"/>
        <w:spacing w:before="200" w:after="283"/>
        <w:jc w:val="left"/>
        <w:rPr>
          <w:rFonts w:ascii="Times New Roman" w:hAnsi="Times New Roman"/>
          <w:sz w:val="20"/>
        </w:rPr>
      </w:pPr>
      <w:r>
        <w:rPr>
          <w:rFonts w:ascii="sans-serif" w:hAnsi="sans-serif"/>
          <w:color w:val="000000"/>
          <w:sz w:val="20"/>
        </w:rPr>
        <w:t>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w:t>
      </w:r>
      <w:r>
        <w:rPr>
          <w:rFonts w:ascii="Times New Roman" w:hAnsi="Times New Roman"/>
          <w:color w:val="000000"/>
          <w:sz w:val="20"/>
        </w:rPr>
        <w:t xml:space="preserve"> </w:t>
      </w:r>
      <w:r>
        <w:rPr>
          <w:rFonts w:ascii="sans-serif" w:hAnsi="sans-serif"/>
          <w:color w:val="000000"/>
          <w:sz w:val="20"/>
        </w:rPr>
        <w:t>million (increasing to $25</w:t>
      </w:r>
      <w:r>
        <w:rPr>
          <w:rFonts w:ascii="Times New Roman" w:hAnsi="Times New Roman"/>
          <w:color w:val="000000"/>
          <w:sz w:val="20"/>
        </w:rPr>
        <w:t xml:space="preserve"> </w:t>
      </w:r>
      <w:r>
        <w:rPr>
          <w:rFonts w:ascii="sans-serif" w:hAnsi="sans-serif"/>
          <w:color w:val="000000"/>
          <w:sz w:val="20"/>
        </w:rPr>
        <w:t>million if the Term Loans are paid down to $200 million, which is referred to as the “Deleveraging Milestone Date”). The Amended and Restated Term Loan Credit Agreement does not include a financial maintenance covenant or any subjective acceleration clauses.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2025, the Company and the Subsidiary Guarantors entered into the First Amendment to the Amended and Restated Term Loan Credit Agreement (the “February 2025 Term Loan Credit Agreement Amendment”) with the Term Loan Lenders and the Term Loan Agent to modify the maturity date of the Term Loans to the earlier of August 15, 2028 or May 22, 2026, the date that is five days prior to the maturity date or mandatory redemption date of any of the Company’s then-outstanding Convertible Securities or any extensions or refinancings of any of the foregoing.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May 7, 2025, the Company and the Subsidiary Guarantors entered into the Second Amendment to the Amended and Restated Term Loan Credit Agreement (the “May 2025 Term Loan Credit Agreement Amendment”, together the February 2025 Term Loan Credit Agreement Amendment, the “2025 Term Loan Credit Agreement Amendments”). The May 2025 Term Loan Credit Agreement Amendment provides the Company the option to pay the Cash Interest Payment entirely in PIK for the next six quarterly interest payments. In addition, the May 2025 Term Loan Credit Agreement Amendment revises the mandatory prepayment provisions under the Amended and Restated Term Loan Credit Agreement requiring Kodak to use 100% of the net cash proceeds from certain transactions to prepay Term Loans until the amount of the Term Loans is reduced to $200</w:t>
      </w:r>
      <w:r>
        <w:rPr>
          <w:rFonts w:ascii="Times New Roman" w:hAnsi="Times New Roman"/>
          <w:color w:val="000000"/>
          <w:sz w:val="20"/>
        </w:rPr>
        <w:t xml:space="preserve"> </w:t>
      </w:r>
      <w:r>
        <w:rPr>
          <w:rFonts w:ascii="sans-serif" w:hAnsi="sans-serif"/>
          <w:color w:val="000000"/>
          <w:sz w:val="20"/>
        </w:rPr>
        <w:t>million and, thereafter, to use 50% of the net cash proceeds to prepay Term Loans until the amount of the Term Loans is reduced to $100</w:t>
      </w:r>
      <w:r>
        <w:rPr>
          <w:rFonts w:ascii="Times New Roman" w:hAnsi="Times New Roman"/>
          <w:color w:val="000000"/>
          <w:sz w:val="20"/>
        </w:rPr>
        <w:t xml:space="preserve"> </w:t>
      </w:r>
      <w:r>
        <w:rPr>
          <w:rFonts w:ascii="sans-serif" w:hAnsi="sans-serif"/>
          <w:color w:val="000000"/>
          <w:sz w:val="20"/>
        </w:rPr>
        <w:t>million, in each case plus a 1% prepayment fee.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Letter of Credit Facility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the Subsidiary Guarantors entered into a Letter of Credit Facility Agreement (the “L/C Facility Agreement”)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w:t>
      </w:r>
      <w:r>
        <w:rPr>
          <w:rFonts w:ascii="Times New Roman" w:hAnsi="Times New Roman"/>
          <w:color w:val="000000"/>
          <w:sz w:val="20"/>
        </w:rPr>
        <w:t xml:space="preserve"> </w:t>
      </w:r>
      <w:r>
        <w:rPr>
          <w:rFonts w:ascii="sans-serif" w:hAnsi="sans-serif"/>
          <w:color w:val="000000"/>
          <w:sz w:val="20"/>
        </w:rPr>
        <w:t>million, provided that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Company posts cash collateral in an amount greater than or equal to 103% of the aggregate amount of letters of credit issued and outstanding at any given time (the “L/C Cash Collateral”).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14, 2023, the Company entered into an amendment to the L/C Facility Agreement (the “2023 Amended L/C Facility Agreement”) to, among other things: (i) extend the maturity date of the L/C Facility Agreement from February 26, 2024 to the earliest of June 12, 2024, the termination of the 2023 Amended ABL Credit Agreement, as applicable, or the date that is 91 days prior to the earliest scheduled maturity date or mandatory redemption date of any of the Company’s Term Loans, Convertible Notes, Series B Preferred Stock, Series C Preferred Stock or any refinancing of any of the foregoing and (ii) require the Company to maintain daily Minimum Liquidity of $50</w:t>
      </w:r>
      <w:r>
        <w:rPr>
          <w:rFonts w:ascii="Times New Roman" w:hAnsi="Times New Roman"/>
          <w:color w:val="000000"/>
          <w:sz w:val="20"/>
        </w:rPr>
        <w:t xml:space="preserve"> </w:t>
      </w:r>
      <w:r>
        <w:rPr>
          <w:rFonts w:ascii="sans-serif" w:hAnsi="sans-serif"/>
          <w:color w:val="000000"/>
          <w:sz w:val="20"/>
        </w:rPr>
        <w:t>million, subject to certain cure rights, and to maintaining a quarterly Minimum Liquidity of $80</w:t>
      </w:r>
      <w:r>
        <w:rPr>
          <w:rFonts w:ascii="Times New Roman" w:hAnsi="Times New Roman"/>
          <w:color w:val="000000"/>
          <w:sz w:val="20"/>
        </w:rPr>
        <w:t xml:space="preserve"> </w:t>
      </w:r>
      <w:r>
        <w:rPr>
          <w:rFonts w:ascii="sans-serif" w:hAnsi="sans-serif"/>
          <w:color w:val="000000"/>
          <w:sz w:val="20"/>
        </w:rPr>
        <w:t>million. Each of the capitalized but undefined terms used in the context of describing the 2023 Amended L/C Facility Agreement has the meaning ascribed to such term in the 2023 Amended L/C Facility Agreement.</w:t>
      </w:r>
    </w:p>
    <w:p>
      <w:pPr>
        <w:pStyle w:val="TextBody"/>
        <w:bidi w:val="0"/>
        <w:spacing w:before="200" w:after="283"/>
        <w:jc w:val="left"/>
        <w:rPr>
          <w:rFonts w:ascii="Times New Roman" w:hAnsi="Times New Roman"/>
          <w:sz w:val="20"/>
        </w:rPr>
      </w:pPr>
      <w:r>
        <w:rPr>
          <w:rFonts w:ascii="sans-serif" w:hAnsi="sans-serif"/>
          <w:color w:val="000000"/>
          <w:sz w:val="20"/>
        </w:rPr>
        <w:t>The 2023 Amended L/C Facility Agreement required the Company to maintain Excess Availability above the greater of 12.5% of lender commitments or $11.25</w:t>
      </w:r>
      <w:r>
        <w:rPr>
          <w:rFonts w:ascii="Times New Roman" w:hAnsi="Times New Roman"/>
          <w:color w:val="000000"/>
          <w:sz w:val="20"/>
        </w:rPr>
        <w:t xml:space="preserve"> </w:t>
      </w:r>
      <w:r>
        <w:rPr>
          <w:rFonts w:ascii="sans-serif" w:hAnsi="sans-serif"/>
          <w:color w:val="000000"/>
          <w:sz w:val="20"/>
        </w:rPr>
        <w:t>million. If Excess Availability fell below the greater of 12.5% of lender commitments or $11.25</w:t>
      </w:r>
      <w:r>
        <w:rPr>
          <w:rFonts w:ascii="Times New Roman" w:hAnsi="Times New Roman"/>
          <w:color w:val="000000"/>
          <w:sz w:val="20"/>
        </w:rPr>
        <w:t xml:space="preserve"> </w:t>
      </w:r>
      <w:r>
        <w:rPr>
          <w:rFonts w:ascii="sans-serif" w:hAnsi="sans-serif"/>
          <w:color w:val="000000"/>
          <w:sz w:val="20"/>
        </w:rPr>
        <w:t>million, a Fixed Charge Coverage Ratio Trigger Event would have occurred under the 2023 Amended L/C Facility Agreement. During any Fixed Charge Coverage Ratio Trigger Event, the Company would have been required to maintain a Fixed Charge Coverage Ratio of greater than or equal to 1.0</w:t>
      </w:r>
      <w:r>
        <w:rPr>
          <w:rFonts w:ascii="Times New Roman" w:hAnsi="Times New Roman"/>
          <w:color w:val="000000"/>
          <w:sz w:val="20"/>
        </w:rPr>
        <w:t xml:space="preserve"> </w:t>
      </w:r>
      <w:r>
        <w:rPr>
          <w:rFonts w:ascii="sans-serif" w:hAnsi="sans-serif"/>
          <w:color w:val="000000"/>
          <w:sz w:val="20"/>
        </w:rPr>
        <w:t>to 1.0. Since Excess Availability was greater than 12.5% of lender commitments or $11.25</w:t>
      </w:r>
      <w:r>
        <w:rPr>
          <w:rFonts w:ascii="Times New Roman" w:hAnsi="Times New Roman"/>
          <w:color w:val="000000"/>
          <w:sz w:val="20"/>
        </w:rPr>
        <w:t xml:space="preserve"> </w:t>
      </w:r>
      <w:r>
        <w:rPr>
          <w:rFonts w:ascii="sans-serif" w:hAnsi="sans-serif"/>
          <w:color w:val="000000"/>
          <w:sz w:val="20"/>
        </w:rPr>
        <w:t>million throughout the term of the 2023 Amended L/C Facility Agreement, Kodak was not required to have a minimum Fixed Charge Coverage Ratio of greater than or equal to 1.0</w:t>
      </w:r>
      <w:r>
        <w:rPr>
          <w:rFonts w:ascii="Times New Roman" w:hAnsi="Times New Roman"/>
          <w:color w:val="000000"/>
          <w:sz w:val="20"/>
        </w:rPr>
        <w:t xml:space="preserve"> </w:t>
      </w:r>
      <w:r>
        <w:rPr>
          <w:rFonts w:ascii="sans-serif" w:hAnsi="sans-serif"/>
          <w:color w:val="000000"/>
          <w:sz w:val="20"/>
        </w:rPr>
        <w:t>to 1.0.</w:t>
      </w:r>
    </w:p>
    <w:p>
      <w:pPr>
        <w:pStyle w:val="TextBody"/>
        <w:bidi w:val="0"/>
        <w:spacing w:before="200" w:after="283"/>
        <w:jc w:val="left"/>
        <w:rPr>
          <w:rFonts w:ascii="Times New Roman" w:hAnsi="Times New Roman"/>
          <w:sz w:val="20"/>
        </w:rPr>
      </w:pPr>
      <w:r>
        <w:rPr>
          <w:rFonts w:ascii="sans-serif" w:hAnsi="sans-serif"/>
          <w:color w:val="000000"/>
          <w:sz w:val="20"/>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effective on July 21,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Under the terms and conditions of the June 2023 L/C Facility Amendment, the L/C Lender increased the commitment to issue letters of credit on the Company’s behalf from an aggregate amount of up to $50</w:t>
      </w:r>
      <w:r>
        <w:rPr>
          <w:rFonts w:ascii="Times New Roman" w:hAnsi="Times New Roman"/>
          <w:color w:val="000000"/>
          <w:sz w:val="20"/>
        </w:rPr>
        <w:t xml:space="preserve"> </w:t>
      </w:r>
      <w:r>
        <w:rPr>
          <w:rFonts w:ascii="sans-serif" w:hAnsi="sans-serif"/>
          <w:color w:val="000000"/>
          <w:sz w:val="20"/>
        </w:rPr>
        <w:t>million, to an aggregate amount of up to $100</w:t>
      </w:r>
      <w:r>
        <w:rPr>
          <w:rFonts w:ascii="Times New Roman" w:hAnsi="Times New Roman"/>
          <w:color w:val="000000"/>
          <w:sz w:val="20"/>
        </w:rPr>
        <w:t xml:space="preserve"> </w:t>
      </w:r>
      <w:r>
        <w:rPr>
          <w:rFonts w:ascii="sans-serif" w:hAnsi="sans-serif"/>
          <w:color w:val="000000"/>
          <w:sz w:val="20"/>
        </w:rPr>
        <w:t>million (the “L/C Facility Commitments”), until August 30, 2023; provided that, at all times, the Company posted cash collateral in an amount greater than or equal to 104% of the aggregate amount of letters of credit issued and outstanding at any given time (the “L/C Cash Collateral”).</w:t>
      </w:r>
    </w:p>
    <w:p>
      <w:pPr>
        <w:pStyle w:val="TextBody"/>
        <w:bidi w:val="0"/>
        <w:spacing w:before="200" w:after="283"/>
        <w:jc w:val="left"/>
        <w:rPr>
          <w:rFonts w:ascii="Times New Roman" w:hAnsi="Times New Roman"/>
          <w:sz w:val="20"/>
        </w:rPr>
      </w:pPr>
      <w:r>
        <w:rPr>
          <w:rFonts w:ascii="sans-serif" w:hAnsi="sans-serif"/>
          <w:color w:val="000000"/>
          <w:sz w:val="20"/>
        </w:rPr>
        <w:t>Upon the termination of the 2023 Amended ABL Credit Agreement on July 21, 2023, the letters of credit totaling $58</w:t>
      </w:r>
      <w:r>
        <w:rPr>
          <w:rFonts w:ascii="Times New Roman" w:hAnsi="Times New Roman"/>
          <w:color w:val="000000"/>
          <w:sz w:val="20"/>
        </w:rPr>
        <w:t xml:space="preserve"> </w:t>
      </w:r>
      <w:r>
        <w:rPr>
          <w:rFonts w:ascii="sans-serif" w:hAnsi="sans-serif"/>
          <w:color w:val="000000"/>
          <w:sz w:val="20"/>
        </w:rPr>
        <w:t>million issued under the 2023 Amended ABL Credit Agreement were transferred to the Amended and Restated L/C Facility Agreement. The Company used $59</w:t>
      </w:r>
      <w:r>
        <w:rPr>
          <w:rFonts w:ascii="Times New Roman" w:hAnsi="Times New Roman"/>
          <w:color w:val="000000"/>
          <w:sz w:val="20"/>
        </w:rPr>
        <w:t xml:space="preserve"> </w:t>
      </w:r>
      <w:r>
        <w:rPr>
          <w:rFonts w:ascii="sans-serif" w:hAnsi="sans-serif"/>
          <w:color w:val="000000"/>
          <w:sz w:val="20"/>
        </w:rPr>
        <w:t>million of the net proceeds from the Term Loans to cash collateralize the letters of credit transferred to the L/C Facility. In August 2023, the Company used $68</w:t>
      </w:r>
      <w:r>
        <w:rPr>
          <w:rFonts w:ascii="Times New Roman" w:hAnsi="Times New Roman"/>
          <w:color w:val="000000"/>
          <w:sz w:val="20"/>
        </w:rPr>
        <w:t xml:space="preserve"> </w:t>
      </w:r>
      <w:r>
        <w:rPr>
          <w:rFonts w:ascii="sans-serif" w:hAnsi="sans-serif"/>
          <w:color w:val="000000"/>
          <w:sz w:val="20"/>
        </w:rPr>
        <w:t>million of the funds in the L/C Cash Collateral account to cash collateralize the Company’s undiscounted actuarial workers’ compensation obligations directly with the NYS WCB, reducing the issued letters of credit to $31</w:t>
      </w:r>
      <w:r>
        <w:rPr>
          <w:rFonts w:ascii="Times New Roman" w:hAnsi="Times New Roman"/>
          <w:color w:val="000000"/>
          <w:sz w:val="20"/>
        </w:rPr>
        <w:t xml:space="preserve"> </w:t>
      </w:r>
      <w:r>
        <w:rPr>
          <w:rFonts w:ascii="sans-serif" w:hAnsi="sans-serif"/>
          <w:color w:val="000000"/>
          <w:sz w:val="20"/>
        </w:rPr>
        <w:t>million, and elected to reduce the L/C Facility Commitments to $50</w:t>
      </w:r>
      <w:r>
        <w:rPr>
          <w:rFonts w:ascii="Times New Roman" w:hAnsi="Times New Roman"/>
          <w:color w:val="000000"/>
          <w:sz w:val="20"/>
        </w:rPr>
        <w:t xml:space="preserve"> </w:t>
      </w:r>
      <w:r>
        <w:rPr>
          <w:rFonts w:ascii="sans-serif" w:hAnsi="sans-serif"/>
          <w:color w:val="000000"/>
          <w:sz w:val="20"/>
        </w:rPr>
        <w:t>million effective August 15,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June 2023 L/C Facility Amendment also amended and restated the 2023 Amended L/C Facility Agreement to, among other things, (i) extended the maturity date to the earliest of (x) the fifth anniversary of the Restatement Date (as defined therein), (y) the date that is 90 days prior to the maturity of the Amended and Restated Term Loan Credit Agreement, as such date may be extended pursuant to the terms thereof (or the maturity date of any refinancing thereof), or (z) the date that is 90 days prior to the earliest scheduled maturity date or mandatory redemption date of any of the Company’s then-outstanding Convertible Securities or any refinancings of any of the foregoing, (ii) eliminated the existing cash maintenance requirements, and (iii) made certain other changes to the terms of the 2023 Amended L/C Facility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Approximately $24</w:t>
      </w:r>
      <w:r>
        <w:rPr>
          <w:rFonts w:ascii="Times New Roman" w:hAnsi="Times New Roman"/>
          <w:color w:val="000000"/>
          <w:sz w:val="20"/>
        </w:rPr>
        <w:t xml:space="preserve"> </w:t>
      </w:r>
      <w:r>
        <w:rPr>
          <w:rFonts w:ascii="sans-serif" w:hAnsi="sans-serif"/>
          <w:color w:val="000000"/>
          <w:sz w:val="20"/>
        </w:rPr>
        <w:t>million and $27</w:t>
      </w:r>
      <w:r>
        <w:rPr>
          <w:rFonts w:ascii="Times New Roman" w:hAnsi="Times New Roman"/>
          <w:color w:val="000000"/>
          <w:sz w:val="20"/>
        </w:rPr>
        <w:t xml:space="preserve"> </w:t>
      </w:r>
      <w:r>
        <w:rPr>
          <w:rFonts w:ascii="sans-serif" w:hAnsi="sans-serif"/>
          <w:color w:val="000000"/>
          <w:sz w:val="20"/>
        </w:rPr>
        <w:t>million letters of credit were issued under the Amended and Restated L/C Facility Agreement as of March 31, 2025 and December 31, 2024, respectively. The balance on deposit in the L/C Cash Collateral account as of March 31, 2025 and December 31, 2024</w:t>
      </w:r>
      <w:r>
        <w:rPr>
          <w:rFonts w:ascii="Times New Roman" w:hAnsi="Times New Roman"/>
          <w:color w:val="000000"/>
          <w:sz w:val="20"/>
        </w:rPr>
        <w:t xml:space="preserve"> </w:t>
      </w:r>
      <w:r>
        <w:rPr>
          <w:rFonts w:ascii="sans-serif" w:hAnsi="sans-serif"/>
          <w:color w:val="000000"/>
          <w:sz w:val="20"/>
        </w:rPr>
        <w:t>was approximately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200" w:after="283"/>
        <w:jc w:val="left"/>
        <w:rPr>
          <w:rFonts w:ascii="Times New Roman" w:hAnsi="Times New Roman"/>
          <w:sz w:val="20"/>
        </w:rPr>
      </w:pPr>
      <w:r>
        <w:rPr>
          <w:rFonts w:ascii="sans-serif" w:hAnsi="sans-serif"/>
          <w:color w:val="000000"/>
          <w:sz w:val="20"/>
        </w:rPr>
        <w:t>The Company’s obligations under the Amended and Restated L/C Facility Agreement are guaranteed by the Subsidiary Guarantors and are secured by (i) a first priority lien on the L/C Cash Collateral and (ii) a second priority lien on certain Term Loan Priority Collateral of the Company and U.S. subsidiary guarantors.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Amended and Restated L/C Facility Agreement contains certain affirmative and negative covenants similar to the affirmative and negative covenants contained in the Amended and Restated Term Loan Credit Agreement. The Amended and Restated L/C Facility Agreement does not include a minimum liquidity or financial maintenance covenant.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The Company will pay an unused line fee of 37.5-50</w:t>
      </w:r>
      <w:r>
        <w:rPr>
          <w:rFonts w:ascii="Times New Roman" w:hAnsi="Times New Roman"/>
          <w:color w:val="000000"/>
          <w:sz w:val="20"/>
        </w:rPr>
        <w:t xml:space="preserve"> </w:t>
      </w:r>
      <w:r>
        <w:rPr>
          <w:rFonts w:ascii="sans-serif" w:hAnsi="sans-serif"/>
          <w:color w:val="000000"/>
          <w:sz w:val="20"/>
        </w:rPr>
        <w:t>basis points per annum, depending on whether the unused portion of the maximum commitments is less than or equal to 50% or greater than 50% of such commitments, respectively. The Company will pay a letter of credit fee of 3.75% per annum on issued and outstanding letters of credit, in addition to a fronting fee of 25</w:t>
      </w:r>
      <w:r>
        <w:rPr>
          <w:rFonts w:ascii="Times New Roman" w:hAnsi="Times New Roman"/>
          <w:color w:val="000000"/>
          <w:sz w:val="20"/>
        </w:rPr>
        <w:t xml:space="preserve"> </w:t>
      </w:r>
      <w:r>
        <w:rPr>
          <w:rFonts w:ascii="sans-serif" w:hAnsi="sans-serif"/>
          <w:color w:val="000000"/>
          <w:sz w:val="20"/>
        </w:rPr>
        <w:t>basis points on such letters of credit. Amounts drawn under any letter of credit will be reimbursed from the L/C Cash Collateral. If not so reimbursed, and not otherwise repaid by the Company to the L/C Lender, such amounts will accrue interest, to be paid monthly, at a floating Base Rate (as defined in the Amended and Restated L/C Facility Agreement) plus 2.75% per annum until repaid.</w:t>
      </w:r>
    </w:p>
    <w:p>
      <w:pPr>
        <w:pStyle w:val="TextBody"/>
        <w:bidi w:val="0"/>
        <w:spacing w:before="200" w:after="283"/>
        <w:jc w:val="left"/>
        <w:rPr>
          <w:rFonts w:ascii="Times New Roman" w:hAnsi="Times New Roman"/>
          <w:sz w:val="20"/>
        </w:rPr>
      </w:pPr>
      <w:r>
        <w:rPr>
          <w:rFonts w:ascii="sans-serif" w:hAnsi="sans-serif"/>
          <w:color w:val="000000"/>
          <w:sz w:val="20"/>
        </w:rPr>
        <w:t>On February 26, 2025, the Company and the Subsidiary Guarantors entered into an amendment to the Amended and Restated L/C Facility Agreement (the “2025 L/C Facility Agreement Amendment”) with the L/C Lenders and Bank of America, N.A. to modify the maturity date of the facility to the earliest of (x) the fifth anniversary of the Restatement Date, (y) May 12, 2026, the date that is 10 days prior to the maturity of the Amended and Restated Term Loan Credit Agreement, as such date may be extended pursuant to the terms thereof, or (z) May 13, 2026, the date that is 15 days prior to the earliest scheduled maturity date or mandatory redemption date of any of the Company’s then-outstanding Convertible Securities. Upon a Permitted Refinancing (as defined therein) of any of the foregoing, the springing maturity date will be 30 days prior to the maturity date or redemption date of the refinancing.</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5: REDEEMABLE, CONVERTIBLE PREFERRED STOCK</w:t>
      </w:r>
    </w:p>
    <w:p>
      <w:pPr>
        <w:pStyle w:val="TextBody"/>
        <w:bidi w:val="0"/>
        <w:spacing w:before="200" w:after="283"/>
        <w:jc w:val="left"/>
        <w:rPr>
          <w:rFonts w:ascii="sans-serif" w:hAnsi="sans-serif"/>
          <w:color w:val="000000"/>
          <w:sz w:val="20"/>
        </w:rPr>
      </w:pPr>
      <w:r>
        <w:rPr>
          <w:rFonts w:ascii="sans-serif" w:hAnsi="sans-serif"/>
          <w:color w:val="000000"/>
          <w:sz w:val="20"/>
        </w:rPr>
        <w:t>Redeemable convertible preferred stock was as follows:</w:t>
      </w:r>
    </w:p>
    <w:p>
      <w:pPr>
        <w:pStyle w:val="TextBody"/>
        <w:bidi w:val="0"/>
        <w:jc w:val="left"/>
        <w:rPr/>
      </w:pPr>
      <w:r>
        <w:rPr/>
        <w:t> </w:t>
      </w:r>
    </w:p>
    <w:tbl>
      <w:tblPr>
        <w:tblW w:w="5940" w:type="dxa"/>
        <w:jc w:val="left"/>
        <w:tblInd w:w="0" w:type="dxa"/>
        <w:tblLayout w:type="fixed"/>
        <w:tblCellMar>
          <w:top w:w="28" w:type="dxa"/>
          <w:left w:w="28" w:type="dxa"/>
          <w:bottom w:w="28" w:type="dxa"/>
          <w:right w:w="28" w:type="dxa"/>
        </w:tblCellMar>
      </w:tblPr>
      <w:tblGrid>
        <w:gridCol w:w="2461"/>
        <w:gridCol w:w="146"/>
        <w:gridCol w:w="392"/>
        <w:gridCol w:w="808"/>
        <w:gridCol w:w="146"/>
        <w:gridCol w:w="146"/>
        <w:gridCol w:w="539"/>
        <w:gridCol w:w="111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Series B Preferred Stock</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agreed to exchange one</w:t>
      </w:r>
      <w:r>
        <w:rPr>
          <w:rFonts w:ascii="Times New Roman" w:hAnsi="Times New Roman"/>
          <w:color w:val="000000"/>
          <w:sz w:val="20"/>
        </w:rPr>
        <w:t xml:space="preserve"> </w:t>
      </w:r>
      <w:r>
        <w:rPr>
          <w:rFonts w:ascii="sans-serif" w:hAnsi="sans-serif"/>
          <w:color w:val="000000"/>
          <w:sz w:val="20"/>
        </w:rPr>
        <w:t>million shares of Series A Preferred Stock held by Southeastern Asset Management, Inc. (“Southeastern”) and Longleaf Partners Small-Cap Fund, C2W Partners Master Fund Limited and Deseret Mutual Pension Trust, which were investment funds managed by Southeastern at the time (such investment funds, collectively, the “Purchasers”), for shares of the Company’s newly created 4.0% Series B Convertible Preferred Stock, no</w:t>
      </w:r>
      <w:r>
        <w:rPr>
          <w:rFonts w:ascii="Times New Roman" w:hAnsi="Times New Roman"/>
          <w:color w:val="000000"/>
          <w:sz w:val="20"/>
        </w:rPr>
        <w:t xml:space="preserve"> </w:t>
      </w:r>
      <w:r>
        <w:rPr>
          <w:rFonts w:ascii="sans-serif" w:hAnsi="sans-serif"/>
          <w:color w:val="000000"/>
          <w:sz w:val="20"/>
        </w:rPr>
        <w:t>par value (the “Series B Preferred Stock”), on a one-for-one basis plus accrued and unpaid dividends. The fair value of the Series B Preferred Stock at the time of issuance approximated $95</w:t>
      </w:r>
      <w:r>
        <w:rPr>
          <w:rFonts w:ascii="Times New Roman" w:hAnsi="Times New Roman"/>
          <w:color w:val="000000"/>
          <w:sz w:val="20"/>
        </w:rPr>
        <w:t xml:space="preserve"> </w:t>
      </w:r>
      <w:r>
        <w:rPr>
          <w:rFonts w:ascii="sans-serif" w:hAnsi="sans-serif"/>
          <w:color w:val="000000"/>
          <w:sz w:val="20"/>
        </w:rPr>
        <w:t>million. The Company has classified the Series B Preferred Stock as temporary equity in the Consolidated Statement of Financial Position. If any shares of Series B Preferred Stock have not been converted prior to May 28, 2026, the Company is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Series B Preferred Stock has a liquidation preference of $100</w:t>
      </w:r>
      <w:r>
        <w:rPr>
          <w:rFonts w:ascii="Times New Roman" w:hAnsi="Times New Roman"/>
          <w:color w:val="000000"/>
          <w:sz w:val="20"/>
        </w:rPr>
        <w:t xml:space="preserve"> </w:t>
      </w:r>
      <w:r>
        <w:rPr>
          <w:rFonts w:ascii="sans-serif" w:hAnsi="sans-serif"/>
          <w:color w:val="000000"/>
          <w:sz w:val="20"/>
        </w:rPr>
        <w:t>per share, and the holders of Series B Preferred Stock are entitled to cumulative dividends payable quarterly in cash at a rate of 4.0% per annum. Dividends owed on the Series B Preferred Stock have been declared and paid when due.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Series B Preferred Stock is convertible, at the option of each holder at any time, into shares of Common Stock at the initial conversion rate of 9.5238</w:t>
      </w:r>
      <w:r>
        <w:rPr>
          <w:rFonts w:ascii="Times New Roman" w:hAnsi="Times New Roman"/>
          <w:color w:val="000000"/>
          <w:sz w:val="20"/>
        </w:rPr>
        <w:t xml:space="preserve"> </w:t>
      </w:r>
      <w:r>
        <w:rPr>
          <w:rFonts w:ascii="sans-serif" w:hAnsi="sans-serif"/>
          <w:color w:val="000000"/>
          <w:sz w:val="20"/>
        </w:rPr>
        <w:t>shares of Common Stock for each share of Series B Preferred Stock (equivalent to an initial conversion price of $10.50</w:t>
      </w:r>
      <w:r>
        <w:rPr>
          <w:rFonts w:ascii="Times New Roman" w:hAnsi="Times New Roman"/>
          <w:color w:val="000000"/>
          <w:sz w:val="20"/>
        </w:rPr>
        <w:t xml:space="preserve"> </w:t>
      </w:r>
      <w:r>
        <w:rPr>
          <w:rFonts w:ascii="sans-serif" w:hAnsi="sans-serif"/>
          <w:color w:val="000000"/>
          <w:sz w:val="20"/>
        </w:rPr>
        <w:t>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will have the right to cause the mandatory conversion of the Series B Preferred Stock into shares of Common Stock at any time after the initial issuance of the Series B Preferred Stock if the closing price of the Common Stock has equaled or exceeded $14.50</w:t>
      </w:r>
      <w:r>
        <w:rPr>
          <w:rFonts w:ascii="Times New Roman" w:hAnsi="Times New Roman"/>
          <w:color w:val="000000"/>
          <w:sz w:val="20"/>
        </w:rPr>
        <w:t xml:space="preserve"> </w:t>
      </w:r>
      <w:r>
        <w:rPr>
          <w:rFonts w:ascii="sans-serif" w:hAnsi="sans-serif"/>
          <w:color w:val="000000"/>
          <w:sz w:val="20"/>
        </w:rPr>
        <w:t>(subject to adjustment in the same manner as the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that the Series B Preferred Stock is more akin to a debt-type instrument and that the economic characteristics and risks of the conversion option upon a fundamental change by the holder is not considered clearly and closely related to the Series B Preferred Stock. Accordingly, this embedded conversion feature was bifurcated from the Series B Preferred Stock and separately accounted for as a derivative. The Company allocated $1</w:t>
      </w:r>
      <w:r>
        <w:rPr>
          <w:rFonts w:ascii="Times New Roman" w:hAnsi="Times New Roman"/>
          <w:color w:val="000000"/>
          <w:sz w:val="20"/>
        </w:rPr>
        <w:t xml:space="preserve"> </w:t>
      </w:r>
      <w:r>
        <w:rPr>
          <w:rFonts w:ascii="sans-serif" w:hAnsi="sans-serif"/>
          <w:color w:val="000000"/>
          <w:sz w:val="20"/>
        </w:rPr>
        <w:t>million of the net proceeds received to the derivative liability based on the aggregate fair value of the embedded conversion features on the dates of issuance which reduced the original carrying value of the Series B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conversion option upon a fundamental change embedded derivative value at issuance was calculated as the difference between the total value of the Series B Preferred Stock and the sum of the net present value of the cash flows if the Series B Preferred Stock is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is reported in Other income, net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carrying value of the Series B Preferred Stock embedded derivative as of both March 31, 2025 and December 31, 2024</w:t>
      </w:r>
      <w:r>
        <w:rPr>
          <w:rFonts w:ascii="Times New Roman" w:hAnsi="Times New Roman"/>
          <w:color w:val="000000"/>
          <w:sz w:val="20"/>
        </w:rPr>
        <w:t xml:space="preserve"> </w:t>
      </w:r>
      <w:r>
        <w:rPr>
          <w:rFonts w:ascii="sans-serif" w:hAnsi="sans-serif"/>
          <w:color w:val="000000"/>
          <w:sz w:val="20"/>
        </w:rPr>
        <w:t>was a liability of less than $1</w:t>
      </w:r>
      <w:r>
        <w:rPr>
          <w:rFonts w:ascii="Times New Roman" w:hAnsi="Times New Roman"/>
          <w:color w:val="000000"/>
          <w:sz w:val="20"/>
        </w:rPr>
        <w:t xml:space="preserve"> </w:t>
      </w:r>
      <w:r>
        <w:rPr>
          <w:rFonts w:ascii="sans-serif" w:hAnsi="sans-serif"/>
          <w:color w:val="000000"/>
          <w:sz w:val="20"/>
        </w:rPr>
        <w:t>million and is included in Other long-term liabilities in the accompanying Consolidated Statement of Financial Position.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00" w:after="283"/>
        <w:jc w:val="left"/>
        <w:rPr>
          <w:rFonts w:ascii="sans-serif" w:hAnsi="sans-serif"/>
          <w:b/>
          <w:color w:val="000000"/>
          <w:sz w:val="20"/>
        </w:rPr>
      </w:pPr>
      <w:r>
        <w:rPr>
          <w:rFonts w:ascii="sans-serif" w:hAnsi="sans-serif"/>
          <w:b/>
          <w:color w:val="000000"/>
          <w:sz w:val="20"/>
        </w:rPr>
        <w:t>Series C Preferred Stock</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w:t>
      </w:r>
      <w:r>
        <w:rPr>
          <w:rFonts w:ascii="Times New Roman" w:hAnsi="Times New Roman"/>
          <w:color w:val="000000"/>
          <w:sz w:val="20"/>
        </w:rPr>
        <w:t xml:space="preserve"> </w:t>
      </w:r>
      <w:r>
        <w:rPr>
          <w:rFonts w:ascii="sans-serif" w:hAnsi="sans-serif"/>
          <w:color w:val="000000"/>
          <w:sz w:val="20"/>
        </w:rPr>
        <w:t>shares of the Company’s newly created 5.0% Series C Convertible Preferred Stock, no</w:t>
      </w:r>
      <w:r>
        <w:rPr>
          <w:rFonts w:ascii="Times New Roman" w:hAnsi="Times New Roman"/>
          <w:color w:val="000000"/>
          <w:sz w:val="20"/>
        </w:rPr>
        <w:t xml:space="preserve"> </w:t>
      </w:r>
      <w:r>
        <w:rPr>
          <w:rFonts w:ascii="sans-serif" w:hAnsi="sans-serif"/>
          <w:color w:val="000000"/>
          <w:sz w:val="20"/>
        </w:rPr>
        <w:t>par value per share (the “Series C Preferred Stock”), for a purchase price of $100</w:t>
      </w:r>
      <w:r>
        <w:rPr>
          <w:rFonts w:ascii="Times New Roman" w:hAnsi="Times New Roman"/>
          <w:color w:val="000000"/>
          <w:sz w:val="20"/>
        </w:rPr>
        <w:t xml:space="preserve"> </w:t>
      </w:r>
      <w:r>
        <w:rPr>
          <w:rFonts w:ascii="sans-serif" w:hAnsi="sans-serif"/>
          <w:color w:val="000000"/>
          <w:sz w:val="20"/>
        </w:rPr>
        <w:t>per share, representing $100</w:t>
      </w:r>
      <w:r>
        <w:rPr>
          <w:rFonts w:ascii="Times New Roman" w:hAnsi="Times New Roman"/>
          <w:color w:val="000000"/>
          <w:sz w:val="20"/>
        </w:rPr>
        <w:t xml:space="preserve"> </w:t>
      </w:r>
      <w:r>
        <w:rPr>
          <w:rFonts w:ascii="sans-serif" w:hAnsi="sans-serif"/>
          <w:color w:val="000000"/>
          <w:sz w:val="20"/>
        </w:rPr>
        <w:t>million of gross proceeds to the Company. The Investor is a fund managed by Grand Oaks Capital. The Company has classified the Series C Preferred Stock as temporary equity in the Consolidated Statement of Financial Position. If any shares of Series C Preferred Stock have not been converted prior to May 28, 2026, the Company is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 thereon; provided that the holders of the Series C Preferred Stock have the right to extend such redemption date by up to two years.</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Series C Preferred Stock has a liquidation preference of $100</w:t>
      </w:r>
      <w:r>
        <w:rPr>
          <w:rFonts w:ascii="Times New Roman" w:hAnsi="Times New Roman"/>
          <w:color w:val="000000"/>
          <w:sz w:val="20"/>
        </w:rPr>
        <w:t xml:space="preserve"> </w:t>
      </w:r>
      <w:r>
        <w:rPr>
          <w:rFonts w:ascii="sans-serif" w:hAnsi="sans-serif"/>
          <w:color w:val="000000"/>
          <w:sz w:val="20"/>
        </w:rPr>
        <w:t>per share, and the holders of Series C Preferred Stock are entitled to cumulative dividends payable quarterly “in‐kind”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dividends) on an as-converted basis, with such dividends on any shares of the Series C Preferred Stock being payable upon conversion of such shares of Series C Preferred Stock to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Series C Preferred Stock is convertible, at the option of each holder at any time, into shares of Common Stock at the initial conversion price of $10</w:t>
      </w:r>
      <w:r>
        <w:rPr>
          <w:rFonts w:ascii="Times New Roman" w:hAnsi="Times New Roman"/>
          <w:color w:val="000000"/>
          <w:sz w:val="20"/>
        </w:rPr>
        <w:t xml:space="preserve"> </w:t>
      </w:r>
      <w:r>
        <w:rPr>
          <w:rFonts w:ascii="sans-serif" w:hAnsi="sans-serif"/>
          <w:color w:val="000000"/>
          <w:sz w:val="20"/>
        </w:rPr>
        <w:t>per share of Common Stock. The initial conversion price and the corresponding conversion rate are subject to certain customary anti-dilution adjustments and to proportional increase in the event the liquidation preference of the Series C Preferred Stock is automatically increased.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has the right to cause the mandatory conversion of the Series C Preferred Stock into shares of Common Stock (i) at any time after February 26, 2023 if the closing price of the Common Stock has equaled or exceeded 200% of the then-effective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 or (ii) at any time after February 26, 2024 if the closing price of the Common Stock has equaled or exceeded 150% of the then-effective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that the Series C Preferred Stock is more akin to a debt-type instrument and that the economic characteristics and risks of the conversion option upon a fundamental change by the holder is not considered clearly and closely related to the Series C Preferred Stock. Accordingly, this embedded conversion feature was bifurcated from the Series C Preferred Stock and separately accounted for as a derivative. The Company allocated $2</w:t>
      </w:r>
      <w:r>
        <w:rPr>
          <w:rFonts w:ascii="Times New Roman" w:hAnsi="Times New Roman"/>
          <w:color w:val="000000"/>
          <w:sz w:val="20"/>
        </w:rPr>
        <w:t xml:space="preserve"> </w:t>
      </w:r>
      <w:r>
        <w:rPr>
          <w:rFonts w:ascii="sans-serif" w:hAnsi="sans-serif"/>
          <w:color w:val="000000"/>
          <w:sz w:val="20"/>
        </w:rPr>
        <w:t>million of the net proceeds received to the derivative liability based on the aggregate fair value of the embedded conversion features on the dates of issuance which reduced the original carrying value of the Series C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conversion option upon a fundamental change embedded derivative value at issuance was calculated as the difference between the total value of the Series C Preferred Stock and the sum of the net present value of the cash flows if the Series C Preferred Stock is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is reported in Other income, net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carrying value of the Series C Preferred Stock embedded derivative as of both March 31, 2025 and December 31, 2024</w:t>
      </w:r>
      <w:r>
        <w:rPr>
          <w:rFonts w:ascii="Times New Roman" w:hAnsi="Times New Roman"/>
          <w:color w:val="000000"/>
          <w:sz w:val="20"/>
        </w:rPr>
        <w:t xml:space="preserve"> </w:t>
      </w:r>
      <w:r>
        <w:rPr>
          <w:rFonts w:ascii="sans-serif" w:hAnsi="sans-serif"/>
          <w:color w:val="000000"/>
          <w:sz w:val="20"/>
        </w:rPr>
        <w:t>was a liability of less than $1</w:t>
      </w:r>
      <w:r>
        <w:rPr>
          <w:rFonts w:ascii="Times New Roman" w:hAnsi="Times New Roman"/>
          <w:color w:val="000000"/>
          <w:sz w:val="20"/>
        </w:rPr>
        <w:t xml:space="preserve"> </w:t>
      </w:r>
      <w:r>
        <w:rPr>
          <w:rFonts w:ascii="sans-serif" w:hAnsi="sans-serif"/>
          <w:color w:val="000000"/>
          <w:sz w:val="20"/>
        </w:rPr>
        <w:t>million and is included in Other long-term liabilities in the accompanying Consolidated Statement of Financial Position.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6: LEASES</w:t>
      </w:r>
    </w:p>
    <w:p>
      <w:pPr>
        <w:pStyle w:val="TextBody"/>
        <w:bidi w:val="0"/>
        <w:spacing w:before="200" w:after="283"/>
        <w:jc w:val="left"/>
        <w:rPr>
          <w:rFonts w:ascii="Times New Roman" w:hAnsi="Times New Roman"/>
          <w:sz w:val="20"/>
        </w:rPr>
      </w:pPr>
      <w:bookmarkStart w:id="16" w:name="led293237f20228201663700835225"/>
      <w:bookmarkEnd w:id="16"/>
      <w:r>
        <w:rPr>
          <w:rFonts w:ascii="sans-serif" w:hAnsi="sans-serif"/>
          <w:color w:val="000000"/>
          <w:sz w:val="20"/>
        </w:rPr>
        <w:t xml:space="preserve">Income recognized on operating lease arrangements for the three months ended March 31, 2025 and 2024 is presented below. Income recognized for sales-type lease arrangements for the three months ended </w:t>
      </w:r>
      <w:bookmarkStart w:id="17" w:name="led293237f20247221724358253665"/>
      <w:bookmarkEnd w:id="17"/>
      <w:r>
        <w:rPr>
          <w:rFonts w:ascii="sans-serif" w:hAnsi="sans-serif"/>
          <w:color w:val="000000"/>
          <w:sz w:val="20"/>
        </w:rPr>
        <w:t>March 31, 2025</w:t>
      </w:r>
      <w:r>
        <w:rPr>
          <w:rFonts w:ascii="Times New Roman" w:hAnsi="Times New Roman"/>
          <w:color w:val="000000"/>
          <w:sz w:val="20"/>
        </w:rPr>
        <w:t xml:space="preserve"> </w:t>
      </w:r>
      <w:r>
        <w:rPr>
          <w:rFonts w:ascii="sans-serif" w:hAnsi="sans-serif"/>
          <w:color w:val="000000"/>
          <w:sz w:val="20"/>
        </w:rPr>
        <w:t>and 2024</w:t>
      </w:r>
      <w:r>
        <w:rPr>
          <w:rFonts w:ascii="Times New Roman" w:hAnsi="Times New Roman"/>
          <w:color w:val="000000"/>
          <w:sz w:val="20"/>
        </w:rPr>
        <w:t xml:space="preserve"> </w:t>
      </w:r>
      <w:r>
        <w:rPr>
          <w:rFonts w:ascii="sans-serif" w:hAnsi="sans-serif"/>
          <w:color w:val="000000"/>
          <w:sz w:val="20"/>
        </w:rPr>
        <w:t>was less than $1</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left"/>
        <w:rPr/>
      </w:pPr>
      <w:r>
        <w:rPr/>
        <w:t> </w:t>
      </w:r>
    </w:p>
    <w:tbl>
      <w:tblPr>
        <w:tblW w:w="6153" w:type="dxa"/>
        <w:jc w:val="left"/>
        <w:tblInd w:w="0" w:type="dxa"/>
        <w:tblLayout w:type="fixed"/>
        <w:tblCellMar>
          <w:top w:w="28" w:type="dxa"/>
          <w:left w:w="28" w:type="dxa"/>
          <w:bottom w:w="28" w:type="dxa"/>
          <w:right w:w="28" w:type="dxa"/>
        </w:tblCellMar>
      </w:tblPr>
      <w:tblGrid>
        <w:gridCol w:w="3346"/>
        <w:gridCol w:w="146"/>
        <w:gridCol w:w="448"/>
        <w:gridCol w:w="448"/>
        <w:gridCol w:w="289"/>
        <w:gridCol w:w="289"/>
        <w:gridCol w:w="448"/>
        <w:gridCol w:w="448"/>
        <w:gridCol w:w="2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income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Variable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Total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7: COMMITMENTS AND CONTINGENCIES</w:t>
      </w:r>
    </w:p>
    <w:p>
      <w:pPr>
        <w:pStyle w:val="TextBody"/>
        <w:bidi w:val="0"/>
        <w:jc w:val="left"/>
        <w:rPr/>
      </w:pPr>
      <w:r>
        <w:rPr/>
        <w:t> </w:t>
      </w:r>
    </w:p>
    <w:p>
      <w:pPr>
        <w:pStyle w:val="TextBody"/>
        <w:bidi w:val="0"/>
        <w:jc w:val="left"/>
        <w:rPr>
          <w:rFonts w:ascii="Times New Roman" w:hAnsi="Times New Roman"/>
          <w:sz w:val="20"/>
        </w:rPr>
      </w:pPr>
      <w:bookmarkStart w:id="18" w:name="led293237f20232271679935024973"/>
      <w:bookmarkEnd w:id="18"/>
      <w:r>
        <w:rPr>
          <w:rFonts w:ascii="sans-serif" w:hAnsi="sans-serif"/>
          <w:color w:val="000000"/>
          <w:sz w:val="20"/>
        </w:rPr>
        <w:t>As of March 31, 2025, the Company had outstanding letters of credit of $24</w:t>
      </w:r>
      <w:r>
        <w:rPr>
          <w:rFonts w:ascii="Times New Roman" w:hAnsi="Times New Roman"/>
          <w:color w:val="000000"/>
          <w:sz w:val="20"/>
        </w:rPr>
        <w:t xml:space="preserve"> </w:t>
      </w:r>
      <w:r>
        <w:rPr>
          <w:rFonts w:ascii="sans-serif" w:hAnsi="sans-serif"/>
          <w:color w:val="000000"/>
          <w:sz w:val="20"/>
        </w:rPr>
        <w:t>million issued under the Amended and Restated L/C Facility Agreement as well as bank guarantees and letters of credit of $2</w:t>
      </w:r>
      <w:r>
        <w:rPr>
          <w:rFonts w:ascii="Times New Roman" w:hAnsi="Times New Roman"/>
          <w:color w:val="000000"/>
          <w:sz w:val="20"/>
        </w:rPr>
        <w:t xml:space="preserve"> </w:t>
      </w:r>
      <w:r>
        <w:rPr>
          <w:rFonts w:ascii="sans-serif" w:hAnsi="sans-serif"/>
          <w:color w:val="000000"/>
          <w:sz w:val="20"/>
        </w:rPr>
        <w:t>million, surety bonds in the amount of $47</w:t>
      </w:r>
      <w:r>
        <w:rPr>
          <w:rFonts w:ascii="Times New Roman" w:hAnsi="Times New Roman"/>
          <w:color w:val="000000"/>
          <w:sz w:val="20"/>
        </w:rPr>
        <w:t xml:space="preserve"> </w:t>
      </w:r>
      <w:r>
        <w:rPr>
          <w:rFonts w:ascii="sans-serif" w:hAnsi="sans-serif"/>
          <w:color w:val="000000"/>
          <w:sz w:val="20"/>
        </w:rPr>
        <w:t>million, and restricted cash of $98</w:t>
      </w:r>
      <w:r>
        <w:rPr>
          <w:rFonts w:ascii="Times New Roman" w:hAnsi="Times New Roman"/>
          <w:color w:val="000000"/>
          <w:sz w:val="20"/>
        </w:rPr>
        <w:t xml:space="preserve"> </w:t>
      </w:r>
      <w:r>
        <w:rPr>
          <w:rFonts w:ascii="sans-serif" w:hAnsi="sans-serif"/>
          <w:color w:val="000000"/>
          <w:sz w:val="20"/>
        </w:rPr>
        <w:t>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Current assets and Restricted cash in the Consolidated Statement of Financial Position.</w:t>
      </w:r>
    </w:p>
    <w:p>
      <w:pPr>
        <w:pStyle w:val="TextBody"/>
        <w:bidi w:val="0"/>
        <w:jc w:val="left"/>
        <w:rPr/>
      </w:pPr>
      <w:r>
        <w:rPr/>
        <w:t> </w:t>
      </w:r>
    </w:p>
    <w:p>
      <w:pPr>
        <w:pStyle w:val="TextBody"/>
        <w:bidi w:val="0"/>
        <w:jc w:val="left"/>
        <w:rPr>
          <w:rFonts w:ascii="Times New Roman" w:hAnsi="Times New Roman"/>
          <w:sz w:val="20"/>
        </w:rPr>
      </w:pPr>
      <w:bookmarkStart w:id="19" w:name="led293237f20232271679935289080"/>
      <w:bookmarkEnd w:id="19"/>
      <w:r>
        <w:rPr>
          <w:rFonts w:ascii="sans-serif" w:hAnsi="sans-serif"/>
          <w:color w:val="000000"/>
          <w:sz w:val="20"/>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2025, Kodak’s Brazilian operations maintained accruals of approximately $5</w:t>
      </w:r>
      <w:r>
        <w:rPr>
          <w:rFonts w:ascii="Times New Roman" w:hAnsi="Times New Roman"/>
          <w:color w:val="000000"/>
          <w:sz w:val="20"/>
        </w:rPr>
        <w:t xml:space="preserve"> </w:t>
      </w:r>
      <w:r>
        <w:rPr>
          <w:rFonts w:ascii="sans-serif" w:hAnsi="sans-serif"/>
          <w:color w:val="000000"/>
          <w:sz w:val="20"/>
        </w:rPr>
        <w:t>million for claims aggregating approximately $85</w:t>
      </w:r>
      <w:r>
        <w:rPr>
          <w:rFonts w:ascii="Times New Roman" w:hAnsi="Times New Roman"/>
          <w:color w:val="000000"/>
          <w:sz w:val="20"/>
        </w:rPr>
        <w:t xml:space="preserve"> </w:t>
      </w:r>
      <w:r>
        <w:rPr>
          <w:rFonts w:ascii="sans-serif" w:hAnsi="sans-serif"/>
          <w:color w:val="000000"/>
          <w:sz w:val="20"/>
        </w:rPr>
        <w:t>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$5</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connection with assessments in Brazil, local regulations may require Kodak’s Brazilian operations to post security for a portion of the amounts in dispute. As of March 31, 2025, Kodak’s Brazilian operations have posted security composed of $6</w:t>
      </w:r>
      <w:r>
        <w:rPr>
          <w:rFonts w:ascii="Times New Roman" w:hAnsi="Times New Roman"/>
          <w:color w:val="000000"/>
          <w:sz w:val="20"/>
        </w:rPr>
        <w:t xml:space="preserve"> </w:t>
      </w:r>
      <w:r>
        <w:rPr>
          <w:rFonts w:ascii="sans-serif" w:hAnsi="sans-serif"/>
          <w:color w:val="000000"/>
          <w:sz w:val="20"/>
        </w:rPr>
        <w:t>million of pledged cash reported within Restricted cash in the Consolidated Statement of Financial Position and liens on certain Brazilian assets with a net book value of approximately $38</w:t>
      </w:r>
      <w:r>
        <w:rPr>
          <w:rFonts w:ascii="Times New Roman" w:hAnsi="Times New Roman"/>
          <w:color w:val="000000"/>
          <w:sz w:val="20"/>
        </w:rPr>
        <w:t xml:space="preserve"> </w:t>
      </w:r>
      <w:r>
        <w:rPr>
          <w:rFonts w:ascii="sans-serif" w:hAnsi="sans-serif"/>
          <w:color w:val="000000"/>
          <w:sz w:val="20"/>
        </w:rPr>
        <w:t>million. Generally, any encumbrances on the Brazilian assets would be removed to the extent the matter is resolved in favor of Kodak’s Brazilian operations. The matter securing the lien on the non-cash assets was resolved in favor of Kodak’s Brazilian operations on March 12, 2024 and those operations are in the process of having the lien on those assets removed.</w:t>
      </w:r>
    </w:p>
    <w:p>
      <w:pPr>
        <w:pStyle w:val="TextBody"/>
        <w:bidi w:val="0"/>
        <w:spacing w:before="200" w:after="283"/>
        <w:jc w:val="left"/>
        <w:rPr>
          <w:rFonts w:ascii="Times New Roman" w:hAnsi="Times New Roman"/>
          <w:sz w:val="20"/>
        </w:rPr>
      </w:pPr>
      <w:r>
        <w:rPr>
          <w:rFonts w:ascii="sans-serif" w:hAnsi="sans-serif"/>
          <w:color w:val="000000"/>
          <w:sz w:val="20"/>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on-going patent infringement claims brought by FUJIFILM Corporation against Eastman Kodak Company (in the US) and its German subsidiaries (in Germany) alleging that certain of Kodak’s SONORA process free plates infringe four of its patents in each jurisdiction.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probability of ultimately incurring a liability and records its best estimate of the ultimate loss in situations where it assesses the likelihood of loss as probable.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8: GUARANTEES</w:t>
      </w:r>
    </w:p>
    <w:p>
      <w:pPr>
        <w:pStyle w:val="TextBody"/>
        <w:bidi w:val="0"/>
        <w:spacing w:before="200" w:after="283"/>
        <w:jc w:val="left"/>
        <w:rPr>
          <w:rFonts w:ascii="Times New Roman" w:hAnsi="Times New Roman"/>
          <w:sz w:val="20"/>
        </w:rPr>
      </w:pPr>
      <w:r>
        <w:rPr>
          <w:rFonts w:ascii="sans-serif" w:hAnsi="sans-serif"/>
          <w:color w:val="000000"/>
          <w:sz w:val="20"/>
        </w:rPr>
        <w:t>In accordance with the terms of a settlement agreement concerning certain of the Company’s historical environmental liabilities at Eastman Business Park, a more than 1,200-acre technology center and industrial complex in Rochester, New York, in the event the historical liabilities exceed $99</w:t>
      </w:r>
      <w:r>
        <w:rPr>
          <w:rFonts w:ascii="Times New Roman" w:hAnsi="Times New Roman"/>
          <w:color w:val="000000"/>
          <w:sz w:val="20"/>
        </w:rPr>
        <w:t xml:space="preserve"> </w:t>
      </w:r>
      <w:r>
        <w:rPr>
          <w:rFonts w:ascii="sans-serif" w:hAnsi="sans-serif"/>
          <w:color w:val="000000"/>
          <w:sz w:val="20"/>
        </w:rPr>
        <w:t>million, the Company will become liable for 50% of the portion above $99</w:t>
      </w:r>
      <w:r>
        <w:rPr>
          <w:rFonts w:ascii="Times New Roman" w:hAnsi="Times New Roman"/>
          <w:color w:val="000000"/>
          <w:sz w:val="20"/>
        </w:rPr>
        <w:t xml:space="preserve"> </w:t>
      </w:r>
      <w:r>
        <w:rPr>
          <w:rFonts w:ascii="sans-serif" w:hAnsi="sans-serif"/>
          <w:color w:val="000000"/>
          <w:sz w:val="20"/>
        </w:rPr>
        <w:t>million with no limitation to the maximum potential future payments. There is no liability recorded for this guarantee.</w:t>
      </w:r>
    </w:p>
    <w:p>
      <w:pPr>
        <w:pStyle w:val="TextBody"/>
        <w:bidi w:val="0"/>
        <w:spacing w:before="200" w:after="283"/>
        <w:jc w:val="left"/>
        <w:rPr>
          <w:rFonts w:ascii="sans-serif" w:hAnsi="sans-serif"/>
          <w:b/>
          <w:i/>
          <w:color w:val="000000"/>
          <w:sz w:val="20"/>
        </w:rPr>
      </w:pPr>
      <w:r>
        <w:rPr>
          <w:rFonts w:ascii="sans-serif" w:hAnsi="sans-serif"/>
          <w:b/>
          <w:i/>
          <w:color w:val="000000"/>
          <w:sz w:val="20"/>
        </w:rPr>
        <w:t>Extended Warranty Arrangements</w:t>
      </w:r>
    </w:p>
    <w:p>
      <w:pPr>
        <w:pStyle w:val="TextBody"/>
        <w:bidi w:val="0"/>
        <w:spacing w:before="200" w:after="283"/>
        <w:jc w:val="left"/>
        <w:rPr>
          <w:rFonts w:ascii="Times New Roman" w:hAnsi="Times New Roman"/>
          <w:sz w:val="20"/>
        </w:rPr>
      </w:pPr>
      <w:r>
        <w:rPr>
          <w:rFonts w:ascii="sans-serif" w:hAnsi="sans-serif"/>
          <w:color w:val="000000"/>
          <w:sz w:val="20"/>
        </w:rPr>
        <w:t>Kodak offers its customers extended warranty arrangements that are generally</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but may range from three months</w:t>
      </w:r>
      <w:r>
        <w:rPr>
          <w:rFonts w:ascii="Times New Roman" w:hAnsi="Times New Roman"/>
          <w:color w:val="000000"/>
          <w:sz w:val="20"/>
        </w:rPr>
        <w:t xml:space="preserve"> </w:t>
      </w:r>
      <w:r>
        <w:rPr>
          <w:rFonts w:ascii="sans-serif" w:hAnsi="sans-serif"/>
          <w:color w:val="000000"/>
          <w:sz w:val="20"/>
        </w:rPr>
        <w:t>to six years</w:t>
      </w:r>
      <w:r>
        <w:rPr>
          <w:rFonts w:ascii="Times New Roman" w:hAnsi="Times New Roman"/>
          <w:color w:val="000000"/>
          <w:sz w:val="20"/>
        </w:rPr>
        <w:t xml:space="preserve"> </w:t>
      </w:r>
      <w:r>
        <w:rPr>
          <w:rFonts w:ascii="sans-serif" w:hAnsi="sans-serif"/>
          <w:color w:val="000000"/>
          <w:sz w:val="20"/>
        </w:rPr>
        <w:t>after the original warranty period. The change in Kodak’s deferred revenue balance in relation to these extended warranty and maintenance arrangements from December 31, 2024 to March 31, 2025, which is reflected in Other current liabilities in the accompanying Consolidated Statement of Financial Position, was as follows:</w:t>
      </w:r>
    </w:p>
    <w:p>
      <w:pPr>
        <w:pStyle w:val="TextBody"/>
        <w:bidi w:val="0"/>
        <w:jc w:val="left"/>
        <w:rPr/>
      </w:pPr>
      <w:r>
        <w:rPr/>
        <w:t> </w:t>
      </w:r>
    </w:p>
    <w:tbl>
      <w:tblPr>
        <w:tblW w:w="8385" w:type="dxa"/>
        <w:jc w:val="left"/>
        <w:tblInd w:w="0" w:type="dxa"/>
        <w:tblLayout w:type="fixed"/>
        <w:tblCellMar>
          <w:top w:w="28" w:type="dxa"/>
          <w:left w:w="28" w:type="dxa"/>
          <w:bottom w:w="28" w:type="dxa"/>
          <w:right w:w="28" w:type="dxa"/>
        </w:tblCellMar>
      </w:tblPr>
      <w:tblGrid>
        <w:gridCol w:w="7366"/>
        <w:gridCol w:w="146"/>
        <w:gridCol w:w="226"/>
        <w:gridCol w:w="421"/>
        <w:gridCol w:w="226"/>
      </w:tblGrid>
      <w:tr>
        <w:trPr/>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extended warranty and maintenance arrangements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Recognition of extended warranty and maintenance arrangement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9: REVENUE</w:t>
      </w:r>
    </w:p>
    <w:p>
      <w:pPr>
        <w:pStyle w:val="TextBody"/>
        <w:bidi w:val="0"/>
        <w:spacing w:before="200" w:after="283"/>
        <w:jc w:val="left"/>
        <w:rPr>
          <w:rFonts w:ascii="sans-serif" w:hAnsi="sans-serif"/>
          <w:b/>
          <w:i/>
          <w:color w:val="000000"/>
          <w:sz w:val="20"/>
        </w:rPr>
      </w:pPr>
      <w:r>
        <w:rPr>
          <w:rFonts w:ascii="sans-serif" w:hAnsi="sans-serif"/>
          <w:b/>
          <w:i/>
          <w:color w:val="000000"/>
          <w:sz w:val="20"/>
        </w:rPr>
        <w:t>Disaggregation of Revenue</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tables present revenue disaggregated by major product and geography:</w:t>
      </w:r>
    </w:p>
    <w:p>
      <w:pPr>
        <w:pStyle w:val="TextBody"/>
        <w:bidi w:val="0"/>
        <w:spacing w:before="200" w:after="283"/>
        <w:jc w:val="left"/>
        <w:rPr>
          <w:rFonts w:ascii="sans-serif" w:hAnsi="sans-serif"/>
          <w:b/>
          <w:color w:val="000000"/>
          <w:sz w:val="20"/>
        </w:rPr>
      </w:pPr>
      <w:r>
        <w:rPr>
          <w:rFonts w:ascii="sans-serif" w:hAnsi="sans-serif"/>
          <w:b/>
          <w:color w:val="000000"/>
          <w:sz w:val="20"/>
        </w:rPr>
        <w:t>Major Product:</w:t>
      </w:r>
    </w:p>
    <w:p>
      <w:pPr>
        <w:pStyle w:val="TextBody"/>
        <w:bidi w:val="0"/>
        <w:jc w:val="left"/>
        <w:rPr/>
      </w:pPr>
      <w:r>
        <w:rPr/>
        <w:t> </w:t>
      </w:r>
    </w:p>
    <w:tbl>
      <w:tblPr>
        <w:tblW w:w="10022" w:type="dxa"/>
        <w:jc w:val="left"/>
        <w:tblInd w:w="0" w:type="dxa"/>
        <w:tblLayout w:type="fixed"/>
        <w:tblCellMar>
          <w:top w:w="28" w:type="dxa"/>
          <w:left w:w="28" w:type="dxa"/>
          <w:bottom w:w="28" w:type="dxa"/>
          <w:right w:w="28" w:type="dxa"/>
        </w:tblCellMar>
      </w:tblPr>
      <w:tblGrid>
        <w:gridCol w:w="3686"/>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591"/>
      </w:tblGrid>
      <w:tr>
        <w:trPr/>
        <w:tc>
          <w:tcPr>
            <w:tcW w:w="3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85"/>
        <w:gridCol w:w="746"/>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Core products</w:t>
            </w:r>
            <w:r>
              <w:rPr>
                <w:rFonts w:ascii="Times New Roman" w:hAnsi="Times New Roman"/>
                <w:color w:val="000000"/>
                <w:sz w:val="20"/>
              </w:rPr>
              <w: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Core includes the Print segment and the Motion Picture and Industrial Film and Chemicals businesses within the Advanced Materials and Chemicals segment, excluding coating and product commercialization services (“Coating Services”).</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Growth consists of Coating Services, Analytical Services and Advanced Materials and Functional Printing within the Advanced Materials and Chemicals segment.</w:t>
      </w:r>
    </w:p>
    <w:p>
      <w:pPr>
        <w:pStyle w:val="TextBody"/>
        <w:bidi w:val="0"/>
        <w:spacing w:before="0" w:after="0"/>
        <w:jc w:val="left"/>
        <w:rPr>
          <w:rFonts w:ascii="Calibri" w:hAnsi="Calibri"/>
          <w:color w:val="000000"/>
          <w:sz w:val="20"/>
        </w:rPr>
      </w:pPr>
      <w:r>
        <w:rPr>
          <w:rFonts w:ascii="Calibri" w:hAnsi="Calibri"/>
          <w:color w:val="000000"/>
          <w:sz w:val="20"/>
        </w:rPr>
        <w:t>(3)</w:t>
      </w:r>
    </w:p>
    <w:p>
      <w:pPr>
        <w:pStyle w:val="TextBody"/>
        <w:bidi w:val="0"/>
        <w:jc w:val="left"/>
        <w:rPr/>
      </w:pPr>
      <w:r>
        <w:rPr>
          <w:rFonts w:ascii="sans-serif" w:hAnsi="sans-serif"/>
          <w:color w:val="000000"/>
          <w:sz w:val="20"/>
        </w:rPr>
        <w:t>Other consists of Intellectual Property Licensing ("IP Licensing") within the Advanced Materials and Chemicals segment, Brand Licensing and Eastman Business Park.</w:t>
      </w:r>
      <w:r>
        <w:rPr>
          <w:color w:val="00000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 xml:space="preserve">Geography </w:t>
      </w:r>
      <w:r>
        <w:rPr>
          <w:rFonts w:ascii="sans-serif" w:hAnsi="sans-serif"/>
          <w:b/>
          <w:color w:val="000000"/>
          <w:sz w:val="13"/>
        </w:rPr>
        <w:t>(1):</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Sales are reported in the geographic area in which they originate.</w:t>
      </w:r>
    </w:p>
    <w:p>
      <w:pPr>
        <w:pStyle w:val="TextBody"/>
        <w:bidi w:val="0"/>
        <w:spacing w:before="200" w:after="283"/>
        <w:jc w:val="left"/>
        <w:rPr>
          <w:rFonts w:ascii="sans-serif" w:hAnsi="sans-serif"/>
          <w:b/>
          <w:i/>
          <w:color w:val="000000"/>
          <w:sz w:val="20"/>
        </w:rPr>
      </w:pPr>
      <w:r>
        <w:rPr>
          <w:rFonts w:ascii="sans-serif" w:hAnsi="sans-serif"/>
          <w:b/>
          <w:i/>
          <w:color w:val="000000"/>
          <w:sz w:val="20"/>
        </w:rPr>
        <w:t>Contract Balances</w:t>
      </w:r>
    </w:p>
    <w:p>
      <w:pPr>
        <w:pStyle w:val="TextBody"/>
        <w:bidi w:val="0"/>
        <w:spacing w:before="200" w:after="283"/>
        <w:jc w:val="left"/>
        <w:rPr>
          <w:rFonts w:ascii="Times New Roman" w:hAnsi="Times New Roman"/>
          <w:sz w:val="20"/>
        </w:rPr>
      </w:pPr>
      <w:r>
        <w:rPr>
          <w:rFonts w:ascii="sans-serif" w:hAnsi="sans-serif"/>
          <w:color w:val="000000"/>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both March 31, 2025 and December 31, 2024</w:t>
      </w:r>
      <w:r>
        <w:rPr>
          <w:rFonts w:ascii="Times New Roman" w:hAnsi="Times New Roman"/>
          <w:color w:val="000000"/>
          <w:sz w:val="20"/>
        </w:rPr>
        <w:t xml:space="preserve"> </w:t>
      </w:r>
      <w:r>
        <w:rPr>
          <w:rFonts w:ascii="sans-serif" w:hAnsi="sans-serif"/>
          <w:color w:val="000000"/>
          <w:sz w:val="20"/>
        </w:rPr>
        <w:t>was $5</w:t>
      </w:r>
      <w:r>
        <w:rPr>
          <w:rFonts w:ascii="Times New Roman" w:hAnsi="Times New Roman"/>
          <w:color w:val="000000"/>
          <w:sz w:val="20"/>
        </w:rPr>
        <w:t xml:space="preserve"> </w:t>
      </w:r>
      <w:r>
        <w:rPr>
          <w:rFonts w:ascii="sans-serif" w:hAnsi="sans-serif"/>
          <w:color w:val="000000"/>
          <w:sz w:val="20"/>
        </w:rPr>
        <w:t>million and is reported in Other current assets in the Consolidated Statement of Financial Position. The contract liabilities primarily relate to brand licensing agreements, prepaid service contracts or upfront payments for certain equipment purchases. The amount recorded for contract liabilities in the Consolidated Statement of Financial Position at March 31, 2025 and December 31, 2024</w:t>
      </w:r>
      <w:r>
        <w:rPr>
          <w:rFonts w:ascii="Times New Roman" w:hAnsi="Times New Roman"/>
          <w:color w:val="000000"/>
          <w:sz w:val="20"/>
        </w:rPr>
        <w:t xml:space="preserve"> </w:t>
      </w:r>
      <w:r>
        <w:rPr>
          <w:rFonts w:ascii="sans-serif" w:hAnsi="sans-serif"/>
          <w:color w:val="000000"/>
          <w:sz w:val="20"/>
        </w:rPr>
        <w:t>was $91</w:t>
      </w:r>
      <w:r>
        <w:rPr>
          <w:rFonts w:ascii="Times New Roman" w:hAnsi="Times New Roman"/>
          <w:color w:val="000000"/>
          <w:sz w:val="20"/>
        </w:rPr>
        <w:t xml:space="preserve"> </w:t>
      </w:r>
      <w:r>
        <w:rPr>
          <w:rFonts w:ascii="sans-serif" w:hAnsi="sans-serif"/>
          <w:color w:val="000000"/>
          <w:sz w:val="20"/>
        </w:rPr>
        <w:t>million and $92</w:t>
      </w:r>
      <w:r>
        <w:rPr>
          <w:rFonts w:ascii="Times New Roman" w:hAnsi="Times New Roman"/>
          <w:color w:val="000000"/>
          <w:sz w:val="20"/>
        </w:rPr>
        <w:t xml:space="preserve"> </w:t>
      </w:r>
      <w:r>
        <w:rPr>
          <w:rFonts w:ascii="sans-serif" w:hAnsi="sans-serif"/>
          <w:color w:val="000000"/>
          <w:sz w:val="20"/>
        </w:rPr>
        <w:t>million, respectively, of which $35</w:t>
      </w:r>
      <w:r>
        <w:rPr>
          <w:rFonts w:ascii="Times New Roman" w:hAnsi="Times New Roman"/>
          <w:color w:val="000000"/>
          <w:sz w:val="20"/>
        </w:rPr>
        <w:t xml:space="preserve"> </w:t>
      </w:r>
      <w:r>
        <w:rPr>
          <w:rFonts w:ascii="sans-serif" w:hAnsi="sans-serif"/>
          <w:color w:val="000000"/>
          <w:sz w:val="20"/>
        </w:rPr>
        <w:t>million for both periods, was reported in Other current liabilities and $56</w:t>
      </w:r>
      <w:r>
        <w:rPr>
          <w:rFonts w:ascii="Times New Roman" w:hAnsi="Times New Roman"/>
          <w:color w:val="000000"/>
          <w:sz w:val="20"/>
        </w:rPr>
        <w:t xml:space="preserve"> </w:t>
      </w:r>
      <w:r>
        <w:rPr>
          <w:rFonts w:ascii="sans-serif" w:hAnsi="sans-serif"/>
          <w:color w:val="000000"/>
          <w:sz w:val="20"/>
        </w:rPr>
        <w:t>million and $57</w:t>
      </w:r>
      <w:r>
        <w:rPr>
          <w:rFonts w:ascii="Times New Roman" w:hAnsi="Times New Roman"/>
          <w:color w:val="000000"/>
          <w:sz w:val="20"/>
        </w:rPr>
        <w:t xml:space="preserve"> </w:t>
      </w:r>
      <w:r>
        <w:rPr>
          <w:rFonts w:ascii="sans-serif" w:hAnsi="sans-serif"/>
          <w:color w:val="000000"/>
          <w:sz w:val="20"/>
        </w:rPr>
        <w:t>million, respectively, was reported in Other long-term liabilities.</w:t>
      </w:r>
    </w:p>
    <w:p>
      <w:pPr>
        <w:pStyle w:val="TextBody"/>
        <w:bidi w:val="0"/>
        <w:spacing w:before="200" w:after="283"/>
        <w:jc w:val="left"/>
        <w:rPr>
          <w:rFonts w:ascii="Times New Roman" w:hAnsi="Times New Roman"/>
          <w:sz w:val="20"/>
        </w:rPr>
      </w:pPr>
      <w:bookmarkStart w:id="20" w:name="led293237f20245141718396997424"/>
      <w:bookmarkEnd w:id="20"/>
      <w:r>
        <w:rPr>
          <w:rFonts w:ascii="sans-serif" w:hAnsi="sans-serif"/>
          <w:color w:val="000000"/>
          <w:sz w:val="20"/>
        </w:rPr>
        <w:t>Revenue recognized for the three months ended March 31, 2025 and 2024</w:t>
      </w:r>
      <w:r>
        <w:rPr>
          <w:rFonts w:ascii="Times New Roman" w:hAnsi="Times New Roman"/>
          <w:color w:val="000000"/>
          <w:sz w:val="20"/>
        </w:rPr>
        <w:t xml:space="preserve"> </w:t>
      </w:r>
      <w:r>
        <w:rPr>
          <w:rFonts w:ascii="sans-serif" w:hAnsi="sans-serif"/>
          <w:color w:val="000000"/>
          <w:sz w:val="20"/>
        </w:rPr>
        <w:t>that was included in the contract liability balance at the beginning of the respective fiscal years was $19</w:t>
      </w:r>
      <w:r>
        <w:rPr>
          <w:rFonts w:ascii="Times New Roman" w:hAnsi="Times New Roman"/>
          <w:color w:val="000000"/>
          <w:sz w:val="20"/>
        </w:rPr>
        <w:t xml:space="preserve"> </w:t>
      </w:r>
      <w:r>
        <w:rPr>
          <w:rFonts w:ascii="sans-serif" w:hAnsi="sans-serif"/>
          <w:color w:val="000000"/>
          <w:sz w:val="20"/>
        </w:rPr>
        <w:t>million and $21</w:t>
      </w:r>
      <w:r>
        <w:rPr>
          <w:rFonts w:ascii="Times New Roman" w:hAnsi="Times New Roman"/>
          <w:color w:val="000000"/>
          <w:sz w:val="20"/>
        </w:rPr>
        <w:t xml:space="preserve"> </w:t>
      </w:r>
      <w:r>
        <w:rPr>
          <w:rFonts w:ascii="sans-serif" w:hAnsi="sans-serif"/>
          <w:color w:val="000000"/>
          <w:sz w:val="20"/>
        </w:rPr>
        <w:t>million, respectively, and primarily represented revenue from prepaid service contracts and equipment sales. Contract liabilities included $18</w:t>
      </w:r>
      <w:r>
        <w:rPr>
          <w:rFonts w:ascii="Times New Roman" w:hAnsi="Times New Roman"/>
          <w:color w:val="000000"/>
          <w:sz w:val="20"/>
        </w:rPr>
        <w:t xml:space="preserve"> </w:t>
      </w:r>
      <w:r>
        <w:rPr>
          <w:rFonts w:ascii="sans-serif" w:hAnsi="sans-serif"/>
          <w:color w:val="000000"/>
          <w:sz w:val="20"/>
        </w:rPr>
        <w:t>million of cash payments received during both the three months ended March 31, 2025 and 2024.</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does not disclose the value of unsatisfied performance obligations for contracts with an original expected length of one year or less or for which revenue is recognized at the amount to which Kodak has the right to invoice for services performed.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Performance obligations with an original expected length of greater than</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generally consist of deferred service contracts, operating leases and licensing arrangements. As of March 31, 2025, there was approximately $91</w:t>
      </w:r>
      <w:r>
        <w:rPr>
          <w:rFonts w:ascii="Times New Roman" w:hAnsi="Times New Roman"/>
          <w:color w:val="000000"/>
          <w:sz w:val="20"/>
        </w:rPr>
        <w:t xml:space="preserve"> </w:t>
      </w:r>
      <w:r>
        <w:rPr>
          <w:rFonts w:ascii="sans-serif" w:hAnsi="sans-serif"/>
          <w:color w:val="000000"/>
          <w:sz w:val="20"/>
        </w:rPr>
        <w:t>million of unrecognized revenue from unsatisfied performance obligations. Approximately 15% of the revenue from unsatisfied performance obligations is expected to be recognized in the remainder of 2025,</w:t>
      </w:r>
      <w:r>
        <w:rPr>
          <w:rFonts w:ascii="Times New Roman" w:hAnsi="Times New Roman"/>
          <w:color w:val="000000"/>
          <w:sz w:val="20"/>
        </w:rPr>
        <w:t xml:space="preserve"> </w:t>
      </w:r>
      <w:r>
        <w:rPr>
          <w:rFonts w:ascii="sans-serif" w:hAnsi="sans-serif"/>
          <w:color w:val="000000"/>
          <w:sz w:val="20"/>
        </w:rPr>
        <w:t>15% in 2026, 10% in each of 2027</w:t>
      </w:r>
      <w:r>
        <w:rPr>
          <w:rFonts w:ascii="Times New Roman" w:hAnsi="Times New Roman"/>
          <w:color w:val="000000"/>
          <w:sz w:val="20"/>
        </w:rPr>
        <w:t xml:space="preserve"> </w:t>
      </w:r>
      <w:r>
        <w:rPr>
          <w:rFonts w:ascii="sans-serif" w:hAnsi="sans-serif"/>
          <w:color w:val="000000"/>
          <w:sz w:val="20"/>
        </w:rPr>
        <w:t>and 2028</w:t>
      </w:r>
      <w:r>
        <w:rPr>
          <w:rFonts w:ascii="Times New Roman" w:hAnsi="Times New Roman"/>
          <w:color w:val="000000"/>
          <w:sz w:val="20"/>
        </w:rPr>
        <w:t xml:space="preserve"> </w:t>
      </w:r>
      <w:r>
        <w:rPr>
          <w:rFonts w:ascii="sans-serif" w:hAnsi="sans-serif"/>
          <w:color w:val="000000"/>
          <w:sz w:val="20"/>
        </w:rPr>
        <w:t>and 50% thereafter.</w:t>
      </w:r>
    </w:p>
    <w:p>
      <w:pPr>
        <w:pStyle w:val="TextBody"/>
        <w:bidi w:val="0"/>
        <w:spacing w:before="200" w:after="283"/>
        <w:jc w:val="both"/>
        <w:rPr>
          <w:rFonts w:ascii="sans-serif" w:hAnsi="sans-serif"/>
          <w:b/>
          <w:color w:val="000000"/>
          <w:sz w:val="20"/>
        </w:rPr>
      </w:pPr>
      <w:r>
        <w:rPr>
          <w:rFonts w:ascii="sans-serif" w:hAnsi="sans-serif"/>
          <w:b/>
          <w:color w:val="000000"/>
          <w:sz w:val="20"/>
        </w:rPr>
        <w:t>NOTE 10: OTHER OPERATING INCOME, NET</w:t>
      </w:r>
    </w:p>
    <w:p>
      <w:pPr>
        <w:pStyle w:val="TextBody"/>
        <w:bidi w:val="0"/>
        <w:jc w:val="both"/>
        <w:rPr/>
      </w:pPr>
      <w:r>
        <w:rPr/>
        <w:t> </w:t>
      </w:r>
    </w:p>
    <w:tbl>
      <w:tblPr>
        <w:tblW w:w="5291" w:type="dxa"/>
        <w:jc w:val="left"/>
        <w:tblInd w:w="0" w:type="dxa"/>
        <w:tblLayout w:type="fixed"/>
        <w:tblCellMar>
          <w:top w:w="28" w:type="dxa"/>
          <w:left w:w="28" w:type="dxa"/>
          <w:bottom w:w="28" w:type="dxa"/>
          <w:right w:w="28" w:type="dxa"/>
        </w:tblCellMar>
      </w:tblPr>
      <w:tblGrid>
        <w:gridCol w:w="2551"/>
        <w:gridCol w:w="146"/>
        <w:gridCol w:w="354"/>
        <w:gridCol w:w="542"/>
        <w:gridCol w:w="229"/>
        <w:gridCol w:w="229"/>
        <w:gridCol w:w="354"/>
        <w:gridCol w:w="660"/>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Gain on sale of assets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In the first quarter of 2024, Kodak sold certain assets in the U.S. and recognized a gain of $17</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11: OTHER INCOME, NET</w:t>
      </w:r>
    </w:p>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3871"/>
        <w:gridCol w:w="146"/>
        <w:gridCol w:w="364"/>
        <w:gridCol w:w="557"/>
        <w:gridCol w:w="291"/>
        <w:gridCol w:w="235"/>
        <w:gridCol w:w="364"/>
        <w:gridCol w:w="557"/>
        <w:gridCol w:w="2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foreign exchange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12: INCOME TAXES</w:t>
      </w:r>
    </w:p>
    <w:p>
      <w:pPr>
        <w:pStyle w:val="TextBody"/>
        <w:bidi w:val="0"/>
        <w:spacing w:before="200" w:after="283"/>
        <w:jc w:val="left"/>
        <w:rPr>
          <w:rFonts w:ascii="sans-serif" w:hAnsi="sans-serif"/>
          <w:color w:val="000000"/>
          <w:sz w:val="20"/>
        </w:rPr>
      </w:pPr>
      <w:r>
        <w:rPr>
          <w:rFonts w:ascii="sans-serif" w:hAnsi="sans-serif"/>
          <w:color w:val="000000"/>
          <w:sz w:val="20"/>
        </w:rPr>
        <w:t>Kodak’s income tax provision and effective tax rate were as follows:</w:t>
      </w:r>
    </w:p>
    <w:p>
      <w:pPr>
        <w:pStyle w:val="TextBody"/>
        <w:bidi w:val="0"/>
        <w:jc w:val="left"/>
        <w:rPr/>
      </w:pPr>
      <w:r>
        <w:rPr/>
        <w:t> </w:t>
      </w:r>
    </w:p>
    <w:tbl>
      <w:tblPr>
        <w:tblW w:w="9051" w:type="dxa"/>
        <w:jc w:val="left"/>
        <w:tblInd w:w="0" w:type="dxa"/>
        <w:tblLayout w:type="fixed"/>
        <w:tblCellMar>
          <w:top w:w="28" w:type="dxa"/>
          <w:left w:w="28" w:type="dxa"/>
          <w:bottom w:w="28" w:type="dxa"/>
          <w:right w:w="28" w:type="dxa"/>
        </w:tblCellMar>
      </w:tblPr>
      <w:tblGrid>
        <w:gridCol w:w="6106"/>
        <w:gridCol w:w="146"/>
        <w:gridCol w:w="272"/>
        <w:gridCol w:w="724"/>
        <w:gridCol w:w="435"/>
        <w:gridCol w:w="176"/>
        <w:gridCol w:w="272"/>
        <w:gridCol w:w="489"/>
        <w:gridCol w:w="43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earnings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 provision for income taxes at U.S.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Difference between tax at effective vs.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sans-serif" w:hAnsi="sans-serif"/>
          <w:color w:val="000000"/>
          <w:sz w:val="20"/>
        </w:rPr>
      </w:pPr>
      <w:bookmarkStart w:id="21" w:name="led293237f20247221724359167812"/>
      <w:bookmarkEnd w:id="21"/>
      <w:r>
        <w:rPr>
          <w:rFonts w:ascii="sans-serif" w:hAnsi="sans-serif"/>
          <w:color w:val="000000"/>
          <w:sz w:val="20"/>
        </w:rPr>
        <w:t>For the three months ended March 31, 2025, the difference between Kodak’s effective tax rate and the U.S. statutory rate of 21.0% was primarily attributable to: (1) the movement of valuation allowances associated with changes in net deferred tax assets from current losses and earnings and (2) a provision associated with foreign withholding taxes on undistributed earnings.</w:t>
      </w:r>
    </w:p>
    <w:p>
      <w:pPr>
        <w:pStyle w:val="TextBody"/>
        <w:bidi w:val="0"/>
        <w:spacing w:before="200" w:after="283"/>
        <w:jc w:val="left"/>
        <w:rPr>
          <w:rFonts w:ascii="Times New Roman" w:hAnsi="Times New Roman"/>
          <w:sz w:val="20"/>
        </w:rPr>
      </w:pPr>
      <w:r>
        <w:rPr>
          <w:rFonts w:ascii="sans-serif" w:hAnsi="sans-serif"/>
          <w:color w:val="000000"/>
          <w:sz w:val="20"/>
        </w:rPr>
        <w:t>For the three months ended March 31, 2024, the difference between Kodak’s effective tax rate and the U.S. statutory rate of 21.0% was primarily attributable to: (1) the movement of valuation allowances associated with changes in net deferred tax assets from current earnings and losses, and (2) the results from operations in jurisdictions outside the U.S.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In December 2021, the Organisation for Economic Cooperation and Development (“OECD”) introduced Base Erosion and Profit Shifting (“BEPS”) Pillar 2 rules that impose a global minimum tax rate of 15%. Many participating countries enacted changes which took effect in 2024. After considering the applicable tax law changes in the Pillar 2 implementation, Kodak determined there was no material impact to its tax provision for the three months ended March 31, 2025</w:t>
      </w:r>
      <w:r>
        <w:rPr>
          <w:rFonts w:ascii="Times New Roman" w:hAnsi="Times New Roman"/>
          <w:color w:val="000000"/>
          <w:sz w:val="20"/>
        </w:rPr>
        <w:t xml:space="preserve"> </w:t>
      </w:r>
      <w:r>
        <w:rPr>
          <w:rFonts w:ascii="sans-serif" w:hAnsi="sans-serif"/>
          <w:color w:val="000000"/>
          <w:sz w:val="20"/>
        </w:rPr>
        <w:t>and 2024.</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13: RETIREMENT PLANS AND OTHER POSTRETIREMENT BENEFITS</w:t>
      </w:r>
    </w:p>
    <w:p>
      <w:pPr>
        <w:pStyle w:val="TextBody"/>
        <w:bidi w:val="0"/>
        <w:spacing w:before="200" w:after="283"/>
        <w:jc w:val="left"/>
        <w:rPr>
          <w:rFonts w:ascii="sans-serif" w:hAnsi="sans-serif"/>
          <w:color w:val="000000"/>
          <w:sz w:val="20"/>
        </w:rPr>
      </w:pPr>
      <w:r>
        <w:rPr>
          <w:rFonts w:ascii="sans-serif" w:hAnsi="sans-serif"/>
          <w:color w:val="000000"/>
          <w:sz w:val="20"/>
        </w:rPr>
        <w:t>Components of the net periodic benefit cost for all major U.S. and non-U.S. defined benefit plans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61"/>
        <w:gridCol w:w="146"/>
        <w:gridCol w:w="226"/>
        <w:gridCol w:w="421"/>
        <w:gridCol w:w="181"/>
        <w:gridCol w:w="146"/>
        <w:gridCol w:w="421"/>
        <w:gridCol w:w="645"/>
        <w:gridCol w:w="181"/>
        <w:gridCol w:w="146"/>
        <w:gridCol w:w="226"/>
        <w:gridCol w:w="421"/>
        <w:gridCol w:w="181"/>
        <w:gridCol w:w="146"/>
        <w:gridCol w:w="421"/>
        <w:gridCol w:w="645"/>
        <w:gridCol w:w="291"/>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Major defined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pension (income) expense before special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Special termination benefits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net pension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The special termination benefits were incurred as a result of Kodak’s restructuring actions and have been included in</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Restructuring costs and other in the Consolidated Statement of Operations for that period.</w:t>
      </w:r>
    </w:p>
    <w:p>
      <w:pPr>
        <w:pStyle w:val="TextBody"/>
        <w:bidi w:val="0"/>
        <w:spacing w:before="200" w:after="160"/>
        <w:jc w:val="left"/>
        <w:rPr>
          <w:rFonts w:ascii="sans-serif" w:hAnsi="sans-serif"/>
          <w:color w:val="000000"/>
          <w:sz w:val="20"/>
        </w:rPr>
      </w:pPr>
      <w:r>
        <w:rPr>
          <w:rFonts w:ascii="sans-serif" w:hAnsi="sans-serif"/>
          <w:color w:val="000000"/>
          <w:sz w:val="20"/>
        </w:rPr>
        <w:t>On January 21, 2025, the Board of Directors of Kodak approved the termination of the Kodak Retirement Income Plan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current employees. The benefits under the Kodak Cash Balance Plan are substantially the same as those under the cash balance feature of KRIP. During the three months ended March 31, 2025, Kodak concluded that it was probable that the criteria for settlement accounting for KRIP would be met in 2025 as the projected cost of all settlements would exceed the sum of the service cost and interest cost components of net periodic pension cost for the year. Accordingly, KRIP was remeasured as of March 31, 2025, and Kodak applied settlement accounting effective in the first quarter of 2025.</w:t>
      </w:r>
    </w:p>
    <w:p>
      <w:pPr>
        <w:pStyle w:val="TextBody"/>
        <w:bidi w:val="0"/>
        <w:spacing w:before="40" w:after="160"/>
        <w:jc w:val="left"/>
        <w:rPr>
          <w:rFonts w:ascii="Times New Roman" w:hAnsi="Times New Roman"/>
          <w:sz w:val="20"/>
        </w:rPr>
      </w:pPr>
      <w:r>
        <w:rPr>
          <w:rFonts w:ascii="sans-serif" w:hAnsi="sans-serif"/>
          <w:color w:val="000000"/>
          <w:sz w:val="20"/>
        </w:rPr>
        <w:t>As a result of this remeasurement, an actuarial loss of $90</w:t>
      </w:r>
      <w:r>
        <w:rPr>
          <w:rFonts w:ascii="Times New Roman" w:hAnsi="Times New Roman"/>
          <w:color w:val="000000"/>
          <w:sz w:val="20"/>
        </w:rPr>
        <w:t xml:space="preserve"> </w:t>
      </w:r>
      <w:r>
        <w:rPr>
          <w:rFonts w:ascii="sans-serif" w:hAnsi="sans-serif"/>
          <w:color w:val="000000"/>
          <w:sz w:val="20"/>
        </w:rPr>
        <w:t>million related to the KRIP’s projected benefit obligation ("PBO") was recognized. The actuarial loss was due in part to an increase in discount rates, partially offset by a reduction in the 30-year Treasury rate (total net impact of $22</w:t>
      </w:r>
      <w:r>
        <w:rPr>
          <w:rFonts w:ascii="Times New Roman" w:hAnsi="Times New Roman"/>
          <w:color w:val="000000"/>
          <w:sz w:val="20"/>
        </w:rPr>
        <w:t xml:space="preserve"> </w:t>
      </w:r>
      <w:r>
        <w:rPr>
          <w:rFonts w:ascii="sans-serif" w:hAnsi="sans-serif"/>
          <w:color w:val="000000"/>
          <w:sz w:val="20"/>
        </w:rPr>
        <w:t>million). The discount rate assumption used in the March 31, 2025 remeasurement was 5.26% compared to 5.45% used at December 31, 2024, and the 30-year Treasury rate used in the March 31, 2025 remeasurement was 4.59% compared to 4.75% used at December 31, 2024. The remaining actuarial loss of $68</w:t>
      </w:r>
      <w:r>
        <w:rPr>
          <w:rFonts w:ascii="Times New Roman" w:hAnsi="Times New Roman"/>
          <w:color w:val="000000"/>
          <w:sz w:val="20"/>
        </w:rPr>
        <w:t xml:space="preserve"> </w:t>
      </w:r>
      <w:r>
        <w:rPr>
          <w:rFonts w:ascii="sans-serif" w:hAnsi="sans-serif"/>
          <w:color w:val="000000"/>
          <w:sz w:val="20"/>
        </w:rPr>
        <w:t>million was due to assumption changes related to measuring the plan on a termination basis, including assumed premiums for purchasing annuities to settle obligations and the timing of lump sum payments. The expected rate of return on plan assets assumption used in the March 31, 2025 remeasurement was unchanged from the rate used at December 31, 2024 (5.20%). An asset actuarial gain of $22</w:t>
      </w:r>
      <w:r>
        <w:rPr>
          <w:rFonts w:ascii="Times New Roman" w:hAnsi="Times New Roman"/>
          <w:color w:val="000000"/>
          <w:sz w:val="20"/>
        </w:rPr>
        <w:t xml:space="preserve"> </w:t>
      </w:r>
      <w:r>
        <w:rPr>
          <w:rFonts w:ascii="sans-serif" w:hAnsi="sans-serif"/>
          <w:color w:val="000000"/>
          <w:sz w:val="20"/>
        </w:rPr>
        <w:t>million was recognized as a result of the remeasurement, as actual asset returns were higher than expected returns. The impacts from settlement accounting during the first quarter of 2025 were immaterial.</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14: EARNINGS PER SHARE</w:t>
      </w:r>
    </w:p>
    <w:p>
      <w:pPr>
        <w:pStyle w:val="TextBody"/>
        <w:bidi w:val="0"/>
        <w:spacing w:before="200" w:after="283"/>
        <w:jc w:val="left"/>
        <w:rPr>
          <w:rFonts w:ascii="sans-serif" w:hAnsi="sans-serif"/>
          <w:color w:val="000000"/>
          <w:sz w:val="20"/>
        </w:rPr>
      </w:pPr>
      <w:r>
        <w:rPr>
          <w:rFonts w:ascii="sans-serif" w:hAnsi="sans-serif"/>
          <w:color w:val="000000"/>
          <w:sz w:val="20"/>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200" w:after="283"/>
        <w:jc w:val="left"/>
        <w:rPr>
          <w:rFonts w:ascii="sans-serif" w:hAnsi="sans-serif"/>
          <w:color w:val="000000"/>
          <w:sz w:val="20"/>
        </w:rPr>
      </w:pPr>
      <w:bookmarkStart w:id="22" w:name="led293237f20228201663700819811"/>
      <w:bookmarkEnd w:id="22"/>
      <w:r>
        <w:rPr>
          <w:rFonts w:ascii="sans-serif" w:hAnsi="sans-serif"/>
          <w:color w:val="000000"/>
          <w:sz w:val="20"/>
        </w:rPr>
        <w:t>A reconciliation of the amounts used to calculate basic and diluted (loss) earnings per share for the three months ended March 31, 2025 and 2024 follows:</w:t>
      </w:r>
    </w:p>
    <w:p>
      <w:pPr>
        <w:pStyle w:val="TextBody"/>
        <w:bidi w:val="0"/>
        <w:jc w:val="left"/>
        <w:rPr/>
      </w:pPr>
      <w:r>
        <w:rPr/>
        <w:t> </w:t>
      </w:r>
    </w:p>
    <w:tbl>
      <w:tblPr>
        <w:tblW w:w="9210" w:type="dxa"/>
        <w:jc w:val="left"/>
        <w:tblInd w:w="0" w:type="dxa"/>
        <w:tblLayout w:type="fixed"/>
        <w:tblCellMar>
          <w:top w:w="28" w:type="dxa"/>
          <w:left w:w="28" w:type="dxa"/>
          <w:bottom w:w="28" w:type="dxa"/>
          <w:right w:w="28" w:type="dxa"/>
        </w:tblCellMar>
      </w:tblPr>
      <w:tblGrid>
        <w:gridCol w:w="6371"/>
        <w:gridCol w:w="146"/>
        <w:gridCol w:w="346"/>
        <w:gridCol w:w="645"/>
        <w:gridCol w:w="277"/>
        <w:gridCol w:w="223"/>
        <w:gridCol w:w="346"/>
        <w:gridCol w:w="530"/>
        <w:gridCol w:w="326"/>
      </w:tblGrid>
      <w:tr>
        <w:trPr/>
        <w:tc>
          <w:tcPr>
            <w:tcW w:w="6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B 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C 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Earnings attributable to Series C Preferred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 available to common shareholders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Add back: Series B preferred stock cash and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available to common shareholders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06" w:type="dxa"/>
        <w:jc w:val="left"/>
        <w:tblInd w:w="0" w:type="dxa"/>
        <w:tblLayout w:type="fixed"/>
        <w:tblCellMar>
          <w:top w:w="28" w:type="dxa"/>
          <w:left w:w="28" w:type="dxa"/>
          <w:bottom w:w="28" w:type="dxa"/>
          <w:right w:w="28" w:type="dxa"/>
        </w:tblCellMar>
      </w:tblPr>
      <w:tblGrid>
        <w:gridCol w:w="3601"/>
        <w:gridCol w:w="146"/>
        <w:gridCol w:w="211"/>
        <w:gridCol w:w="762"/>
        <w:gridCol w:w="211"/>
        <w:gridCol w:w="211"/>
        <w:gridCol w:w="211"/>
        <w:gridCol w:w="762"/>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a result of the net loss available to common shareholders for the three months ended March 31, 2025, Kodak calculated diluted earnings per share using weighted-average basic shares outstanding. If Kodak had reported earnings available to common shareholders for the three months ended March 31, 2025, the calculation of diluted earnings per share would have included the assumed vesting of 1.8</w:t>
      </w:r>
      <w:r>
        <w:rPr>
          <w:rFonts w:ascii="Times New Roman" w:hAnsi="Times New Roman"/>
          <w:color w:val="000000"/>
          <w:sz w:val="20"/>
        </w:rPr>
        <w:t xml:space="preserve"> </w:t>
      </w:r>
      <w:r>
        <w:rPr>
          <w:rFonts w:ascii="sans-serif" w:hAnsi="sans-serif"/>
          <w:color w:val="000000"/>
          <w:sz w:val="20"/>
        </w:rPr>
        <w:t>million unvested restricted stock units and the assumed exercise of 1.6</w:t>
      </w:r>
      <w:r>
        <w:rPr>
          <w:rFonts w:ascii="Times New Roman" w:hAnsi="Times New Roman"/>
          <w:color w:val="000000"/>
          <w:sz w:val="20"/>
        </w:rPr>
        <w:t xml:space="preserve"> </w:t>
      </w:r>
      <w:r>
        <w:rPr>
          <w:rFonts w:ascii="sans-serif" w:hAnsi="sans-serif"/>
          <w:color w:val="000000"/>
          <w:sz w:val="20"/>
        </w:rPr>
        <w:t>million stock options.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months ended March 31, 2025</w:t>
      </w:r>
      <w:r>
        <w:rPr>
          <w:rFonts w:ascii="Times New Roman" w:hAnsi="Times New Roman"/>
          <w:color w:val="000000"/>
          <w:sz w:val="20"/>
        </w:rPr>
        <w:t xml:space="preserve"> </w:t>
      </w:r>
      <w:r>
        <w:rPr>
          <w:rFonts w:ascii="sans-serif" w:hAnsi="sans-serif"/>
          <w:color w:val="000000"/>
          <w:sz w:val="20"/>
        </w:rPr>
        <w:t>excluded the impact of (1) the assumed conversion of 1.0</w:t>
      </w:r>
      <w:r>
        <w:rPr>
          <w:rFonts w:ascii="Times New Roman" w:hAnsi="Times New Roman"/>
          <w:color w:val="000000"/>
          <w:sz w:val="20"/>
        </w:rPr>
        <w:t xml:space="preserve"> </w:t>
      </w:r>
      <w:r>
        <w:rPr>
          <w:rFonts w:ascii="sans-serif" w:hAnsi="sans-serif"/>
          <w:color w:val="000000"/>
          <w:sz w:val="20"/>
        </w:rPr>
        <w:t>million shares of Series B Preferred Stock, (2) the assumed conversion of 1.2</w:t>
      </w:r>
      <w:r>
        <w:rPr>
          <w:rFonts w:ascii="Times New Roman" w:hAnsi="Times New Roman"/>
          <w:color w:val="000000"/>
          <w:sz w:val="20"/>
        </w:rPr>
        <w:t xml:space="preserve"> </w:t>
      </w:r>
      <w:r>
        <w:rPr>
          <w:rFonts w:ascii="sans-serif" w:hAnsi="sans-serif"/>
          <w:color w:val="000000"/>
          <w:sz w:val="20"/>
        </w:rPr>
        <w:t>million shares of Series C Preferred Stock and (3) the assumed exercise of 1.7</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months ended March 31, 2024</w:t>
      </w:r>
      <w:r>
        <w:rPr>
          <w:rFonts w:ascii="Times New Roman" w:hAnsi="Times New Roman"/>
          <w:color w:val="000000"/>
          <w:sz w:val="20"/>
        </w:rPr>
        <w:t xml:space="preserve"> </w:t>
      </w:r>
      <w:r>
        <w:rPr>
          <w:rFonts w:ascii="sans-serif" w:hAnsi="sans-serif"/>
          <w:color w:val="000000"/>
          <w:sz w:val="20"/>
        </w:rPr>
        <w:t>excluded the impact of (1) the assumed conversion of 1.2</w:t>
      </w:r>
      <w:r>
        <w:rPr>
          <w:rFonts w:ascii="Times New Roman" w:hAnsi="Times New Roman"/>
          <w:color w:val="000000"/>
          <w:sz w:val="20"/>
        </w:rPr>
        <w:t xml:space="preserve"> </w:t>
      </w:r>
      <w:r>
        <w:rPr>
          <w:rFonts w:ascii="sans-serif" w:hAnsi="sans-serif"/>
          <w:color w:val="000000"/>
          <w:sz w:val="20"/>
        </w:rPr>
        <w:t>million shares of Series C Preferred Stock, (2) the assumed exercise of 3.9</w:t>
      </w:r>
      <w:r>
        <w:rPr>
          <w:rFonts w:ascii="Times New Roman" w:hAnsi="Times New Roman"/>
          <w:color w:val="000000"/>
          <w:sz w:val="20"/>
        </w:rPr>
        <w:t xml:space="preserve"> </w:t>
      </w:r>
      <w:r>
        <w:rPr>
          <w:rFonts w:ascii="sans-serif" w:hAnsi="sans-serif"/>
          <w:color w:val="000000"/>
          <w:sz w:val="20"/>
        </w:rPr>
        <w:t>million outstanding employee stock options and (3) the assumed vesting of 0.1</w:t>
      </w:r>
      <w:r>
        <w:rPr>
          <w:rFonts w:ascii="Times New Roman" w:hAnsi="Times New Roman"/>
          <w:color w:val="000000"/>
          <w:sz w:val="20"/>
        </w:rPr>
        <w:t xml:space="preserve"> </w:t>
      </w:r>
      <w:r>
        <w:rPr>
          <w:rFonts w:ascii="sans-serif" w:hAnsi="sans-serif"/>
          <w:color w:val="000000"/>
          <w:sz w:val="20"/>
        </w:rPr>
        <w:t>million unvested restricted stock units because the effects would have been anti-dilutive.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NOTE 15: SHAREHOLDERS</w:t>
      </w:r>
      <w:r>
        <w:rPr>
          <w:rFonts w:ascii="Times New Roman" w:hAnsi="Times New Roman"/>
          <w:color w:val="000000"/>
          <w:sz w:val="20"/>
        </w:rPr>
        <w:t xml:space="preserve">’ </w:t>
      </w:r>
      <w:r>
        <w:rPr>
          <w:rFonts w:ascii="sans-serif" w:hAnsi="sans-serif"/>
          <w:b/>
          <w:color w:val="000000"/>
          <w:sz w:val="20"/>
        </w:rPr>
        <w:t>EQUITY</w:t>
      </w:r>
    </w:p>
    <w:p>
      <w:pPr>
        <w:pStyle w:val="TextBody"/>
        <w:bidi w:val="0"/>
        <w:spacing w:before="200" w:after="283"/>
        <w:jc w:val="left"/>
        <w:rPr>
          <w:rFonts w:ascii="Times New Roman" w:hAnsi="Times New Roman"/>
          <w:sz w:val="20"/>
        </w:rPr>
      </w:pPr>
      <w:r>
        <w:rPr>
          <w:rFonts w:ascii="sans-serif" w:hAnsi="sans-serif"/>
          <w:color w:val="000000"/>
          <w:sz w:val="20"/>
        </w:rPr>
        <w:t>The Company has 560</w:t>
      </w:r>
      <w:r>
        <w:rPr>
          <w:rFonts w:ascii="Times New Roman" w:hAnsi="Times New Roman"/>
          <w:color w:val="000000"/>
          <w:sz w:val="20"/>
        </w:rPr>
        <w:t xml:space="preserve"> </w:t>
      </w:r>
      <w:r>
        <w:rPr>
          <w:rFonts w:ascii="sans-serif" w:hAnsi="sans-serif"/>
          <w:color w:val="000000"/>
          <w:sz w:val="20"/>
        </w:rPr>
        <w:t>million shares of authorized stock, consisting of: (i) 500</w:t>
      </w:r>
      <w:r>
        <w:rPr>
          <w:rFonts w:ascii="Times New Roman" w:hAnsi="Times New Roman"/>
          <w:color w:val="000000"/>
          <w:sz w:val="20"/>
        </w:rPr>
        <w:t xml:space="preserve"> </w:t>
      </w:r>
      <w:r>
        <w:rPr>
          <w:rFonts w:ascii="sans-serif" w:hAnsi="sans-serif"/>
          <w:color w:val="000000"/>
          <w:sz w:val="20"/>
        </w:rPr>
        <w:t>million shares of common stock, par value $0.01</w:t>
      </w:r>
      <w:r>
        <w:rPr>
          <w:rFonts w:ascii="Times New Roman" w:hAnsi="Times New Roman"/>
          <w:color w:val="000000"/>
          <w:sz w:val="20"/>
        </w:rPr>
        <w:t xml:space="preserve"> </w:t>
      </w:r>
      <w:r>
        <w:rPr>
          <w:rFonts w:ascii="sans-serif" w:hAnsi="sans-serif"/>
          <w:color w:val="000000"/>
          <w:sz w:val="20"/>
        </w:rPr>
        <w:t>per share and (ii) 60</w:t>
      </w:r>
      <w:r>
        <w:rPr>
          <w:rFonts w:ascii="Times New Roman" w:hAnsi="Times New Roman"/>
          <w:color w:val="000000"/>
          <w:sz w:val="20"/>
        </w:rPr>
        <w:t xml:space="preserve"> </w:t>
      </w:r>
      <w:r>
        <w:rPr>
          <w:rFonts w:ascii="sans-serif" w:hAnsi="sans-serif"/>
          <w:color w:val="000000"/>
          <w:sz w:val="20"/>
        </w:rPr>
        <w:t>million shares of preferred stock, no</w:t>
      </w:r>
      <w:r>
        <w:rPr>
          <w:rFonts w:ascii="Times New Roman" w:hAnsi="Times New Roman"/>
          <w:color w:val="000000"/>
          <w:sz w:val="20"/>
        </w:rPr>
        <w:t xml:space="preserve"> </w:t>
      </w:r>
      <w:r>
        <w:rPr>
          <w:rFonts w:ascii="sans-serif" w:hAnsi="sans-serif"/>
          <w:color w:val="000000"/>
          <w:sz w:val="20"/>
        </w:rPr>
        <w:t>par value, issuable in one or more series.</w:t>
      </w:r>
    </w:p>
    <w:p>
      <w:pPr>
        <w:pStyle w:val="TextBody"/>
        <w:bidi w:val="0"/>
        <w:spacing w:before="200" w:after="283"/>
        <w:jc w:val="left"/>
        <w:rPr>
          <w:rFonts w:ascii="sans-serif" w:hAnsi="sans-serif"/>
          <w:b/>
          <w:color w:val="000000"/>
          <w:sz w:val="20"/>
        </w:rPr>
      </w:pPr>
      <w:r>
        <w:rPr>
          <w:rFonts w:ascii="sans-serif" w:hAnsi="sans-serif"/>
          <w:b/>
          <w:color w:val="000000"/>
          <w:sz w:val="20"/>
        </w:rPr>
        <w:t>Common Stock</w:t>
      </w:r>
    </w:p>
    <w:p>
      <w:pPr>
        <w:pStyle w:val="TextBody"/>
        <w:bidi w:val="0"/>
        <w:spacing w:before="200" w:after="283"/>
        <w:jc w:val="left"/>
        <w:rPr>
          <w:rFonts w:ascii="Times New Roman" w:hAnsi="Times New Roman"/>
          <w:sz w:val="20"/>
        </w:rPr>
      </w:pPr>
      <w:r>
        <w:rPr>
          <w:rFonts w:ascii="sans-serif" w:hAnsi="sans-serif"/>
          <w:color w:val="000000"/>
          <w:sz w:val="20"/>
        </w:rPr>
        <w:t>As of March 31, 2025 and December 31, 2024, there were 80.8</w:t>
      </w:r>
      <w:r>
        <w:rPr>
          <w:rFonts w:ascii="Times New Roman" w:hAnsi="Times New Roman"/>
          <w:color w:val="000000"/>
          <w:sz w:val="20"/>
        </w:rPr>
        <w:t xml:space="preserve"> </w:t>
      </w:r>
      <w:r>
        <w:rPr>
          <w:rFonts w:ascii="sans-serif" w:hAnsi="sans-serif"/>
          <w:color w:val="000000"/>
          <w:sz w:val="20"/>
        </w:rPr>
        <w:t>million and 80.5</w:t>
      </w:r>
      <w:r>
        <w:rPr>
          <w:rFonts w:ascii="Times New Roman" w:hAnsi="Times New Roman"/>
          <w:color w:val="000000"/>
          <w:sz w:val="20"/>
        </w:rPr>
        <w:t xml:space="preserve"> </w:t>
      </w:r>
      <w:r>
        <w:rPr>
          <w:rFonts w:ascii="sans-serif" w:hAnsi="sans-serif"/>
          <w:color w:val="000000"/>
          <w:sz w:val="20"/>
        </w:rPr>
        <w:t>million shares of common stock outstanding,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Preferred Stock</w:t>
      </w:r>
    </w:p>
    <w:p>
      <w:pPr>
        <w:pStyle w:val="TextBody"/>
        <w:bidi w:val="0"/>
        <w:spacing w:before="200" w:after="283"/>
        <w:jc w:val="left"/>
        <w:rPr>
          <w:rFonts w:ascii="Times New Roman" w:hAnsi="Times New Roman"/>
          <w:sz w:val="20"/>
        </w:rPr>
      </w:pPr>
      <w:r>
        <w:rPr>
          <w:rFonts w:ascii="sans-serif" w:hAnsi="sans-serif"/>
          <w:color w:val="000000"/>
          <w:sz w:val="20"/>
        </w:rPr>
        <w:t>Series B Preferred stock issued and outstanding as of both March 31, 2025 and December 31, 2024</w:t>
      </w:r>
      <w:r>
        <w:rPr>
          <w:rFonts w:ascii="Times New Roman" w:hAnsi="Times New Roman"/>
          <w:color w:val="000000"/>
          <w:sz w:val="20"/>
        </w:rPr>
        <w:t xml:space="preserve"> </w:t>
      </w:r>
      <w:r>
        <w:rPr>
          <w:rFonts w:ascii="sans-serif" w:hAnsi="sans-serif"/>
          <w:color w:val="000000"/>
          <w:sz w:val="20"/>
        </w:rPr>
        <w:t>consisted of 1.0</w:t>
      </w:r>
      <w:r>
        <w:rPr>
          <w:rFonts w:ascii="Times New Roman" w:hAnsi="Times New Roman"/>
          <w:color w:val="000000"/>
          <w:sz w:val="20"/>
        </w:rPr>
        <w:t xml:space="preserve"> </w:t>
      </w:r>
      <w:r>
        <w:rPr>
          <w:rFonts w:ascii="sans-serif" w:hAnsi="sans-serif"/>
          <w:color w:val="000000"/>
          <w:sz w:val="20"/>
        </w:rPr>
        <w:t>million shares.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Series C Preferred stock issued and outstanding as of both March 31, 2025 and December 31, 2024</w:t>
      </w:r>
      <w:r>
        <w:rPr>
          <w:rFonts w:ascii="Times New Roman" w:hAnsi="Times New Roman"/>
          <w:color w:val="000000"/>
          <w:sz w:val="20"/>
        </w:rPr>
        <w:t xml:space="preserve"> </w:t>
      </w:r>
      <w:r>
        <w:rPr>
          <w:rFonts w:ascii="sans-serif" w:hAnsi="sans-serif"/>
          <w:color w:val="000000"/>
          <w:sz w:val="20"/>
        </w:rPr>
        <w:t>consisted of 1.2</w:t>
      </w:r>
      <w:r>
        <w:rPr>
          <w:rFonts w:ascii="Times New Roman" w:hAnsi="Times New Roman"/>
          <w:color w:val="000000"/>
          <w:sz w:val="20"/>
        </w:rPr>
        <w:t xml:space="preserve"> </w:t>
      </w:r>
      <w:r>
        <w:rPr>
          <w:rFonts w:ascii="sans-serif" w:hAnsi="sans-serif"/>
          <w:color w:val="000000"/>
          <w:sz w:val="20"/>
        </w:rPr>
        <w:t>million shares.</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Treasury Stock</w:t>
      </w:r>
    </w:p>
    <w:p>
      <w:pPr>
        <w:pStyle w:val="TextBody"/>
        <w:bidi w:val="0"/>
        <w:spacing w:before="200" w:after="283"/>
        <w:jc w:val="left"/>
        <w:rPr>
          <w:rFonts w:ascii="Times New Roman" w:hAnsi="Times New Roman"/>
          <w:sz w:val="20"/>
        </w:rPr>
      </w:pPr>
      <w:r>
        <w:rPr>
          <w:rFonts w:ascii="sans-serif" w:hAnsi="sans-serif"/>
          <w:color w:val="000000"/>
          <w:sz w:val="20"/>
        </w:rPr>
        <w:t>Treasury stock consisted of approximately 1.4</w:t>
      </w:r>
      <w:r>
        <w:rPr>
          <w:rFonts w:ascii="Times New Roman" w:hAnsi="Times New Roman"/>
          <w:color w:val="000000"/>
          <w:sz w:val="20"/>
        </w:rPr>
        <w:t xml:space="preserve"> </w:t>
      </w:r>
      <w:r>
        <w:rPr>
          <w:rFonts w:ascii="sans-serif" w:hAnsi="sans-serif"/>
          <w:color w:val="000000"/>
          <w:sz w:val="20"/>
        </w:rPr>
        <w:t>million and 1.3</w:t>
      </w:r>
      <w:r>
        <w:rPr>
          <w:rFonts w:ascii="Times New Roman" w:hAnsi="Times New Roman"/>
          <w:color w:val="000000"/>
          <w:sz w:val="20"/>
        </w:rPr>
        <w:t xml:space="preserve"> </w:t>
      </w:r>
      <w:r>
        <w:rPr>
          <w:rFonts w:ascii="sans-serif" w:hAnsi="sans-serif"/>
          <w:color w:val="000000"/>
          <w:sz w:val="20"/>
        </w:rPr>
        <w:t>million shares as of March 31, 2025 and December 31, 2024,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NOTE 16: OTHER COMPREHENSIVE LOSS</w:t>
      </w:r>
    </w:p>
    <w:p>
      <w:pPr>
        <w:pStyle w:val="TextBody"/>
        <w:bidi w:val="0"/>
        <w:spacing w:before="200" w:after="283"/>
        <w:jc w:val="left"/>
        <w:rPr>
          <w:rFonts w:ascii="sans-serif" w:hAnsi="sans-serif"/>
          <w:color w:val="000000"/>
          <w:sz w:val="20"/>
        </w:rPr>
      </w:pPr>
      <w:r>
        <w:rPr>
          <w:rFonts w:ascii="sans-serif" w:hAnsi="sans-serif"/>
          <w:color w:val="000000"/>
          <w:sz w:val="20"/>
        </w:rPr>
        <w:t>The changes in Other comprehensive loss by component were as follows:</w:t>
      </w:r>
    </w:p>
    <w:p>
      <w:pPr>
        <w:pStyle w:val="TextBody"/>
        <w:bidi w:val="0"/>
        <w:jc w:val="left"/>
        <w:rPr/>
      </w:pPr>
      <w:r>
        <w:rPr/>
        <w:t> </w:t>
      </w:r>
    </w:p>
    <w:tbl>
      <w:tblPr>
        <w:tblW w:w="9645" w:type="dxa"/>
        <w:jc w:val="left"/>
        <w:tblInd w:w="0" w:type="dxa"/>
        <w:tblLayout w:type="fixed"/>
        <w:tblCellMar>
          <w:top w:w="28" w:type="dxa"/>
          <w:left w:w="28" w:type="dxa"/>
          <w:bottom w:w="28" w:type="dxa"/>
          <w:right w:w="28" w:type="dxa"/>
        </w:tblCellMar>
      </w:tblPr>
      <w:tblGrid>
        <w:gridCol w:w="6541"/>
        <w:gridCol w:w="146"/>
        <w:gridCol w:w="330"/>
        <w:gridCol w:w="615"/>
        <w:gridCol w:w="264"/>
        <w:gridCol w:w="213"/>
        <w:gridCol w:w="330"/>
        <w:gridCol w:w="615"/>
        <w:gridCol w:w="591"/>
      </w:tblGrid>
      <w:tr>
        <w:trPr/>
        <w:tc>
          <w:tcPr>
            <w:tcW w:w="6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Pension and other postretirement benefit plan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prior service cost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actuarial gains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reclassification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benefit plan changes,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Reclassified to Total Net Periodic Benefit Cost - refer to Note 13, "Retirement Plans and Other Postretirement Benefits".</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17: SEGMENT INFORMATION</w:t>
      </w:r>
    </w:p>
    <w:p>
      <w:pPr>
        <w:pStyle w:val="TextBody"/>
        <w:bidi w:val="0"/>
        <w:spacing w:before="200" w:after="283"/>
        <w:jc w:val="left"/>
        <w:rPr>
          <w:rFonts w:ascii="Times New Roman" w:hAnsi="Times New Roman"/>
          <w:sz w:val="20"/>
        </w:rPr>
      </w:pPr>
      <w:r>
        <w:rPr>
          <w:rFonts w:ascii="sans-serif" w:hAnsi="sans-serif"/>
          <w:color w:val="000000"/>
          <w:sz w:val="20"/>
        </w:rPr>
        <w:t>Kodak has three</w:t>
      </w:r>
      <w:r>
        <w:rPr>
          <w:rFonts w:ascii="Times New Roman" w:hAnsi="Times New Roman"/>
          <w:color w:val="000000"/>
          <w:sz w:val="20"/>
        </w:rPr>
        <w:t xml:space="preserve"> </w:t>
      </w:r>
      <w:r>
        <w:rPr>
          <w:rFonts w:ascii="sans-serif" w:hAnsi="sans-serif"/>
          <w:color w:val="000000"/>
          <w:sz w:val="20"/>
        </w:rPr>
        <w:t>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w:t>
      </w:r>
      <w:r>
        <w:rPr>
          <w:rFonts w:ascii="Times New Roman" w:hAnsi="Times New Roman"/>
          <w:color w:val="000000"/>
          <w:sz w:val="20"/>
        </w:rPr>
        <w:t xml:space="preserve"> </w:t>
      </w:r>
      <w:r>
        <w:rPr>
          <w:rFonts w:ascii="sans-serif" w:hAnsi="sans-serif"/>
          <w:color w:val="000000"/>
          <w:sz w:val="20"/>
        </w:rPr>
        <w:t>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Advanced Materials and Chemicals:</w:t>
      </w:r>
      <w:r>
        <w:rPr>
          <w:rFonts w:ascii="Times New Roman" w:hAnsi="Times New Roman"/>
          <w:color w:val="000000"/>
          <w:sz w:val="20"/>
        </w:rPr>
        <w:t xml:space="preserve"> </w:t>
      </w:r>
      <w:r>
        <w:rPr>
          <w:rFonts w:ascii="sans-serif" w:hAnsi="sans-serif"/>
          <w:color w:val="000000"/>
          <w:sz w:val="20"/>
        </w:rPr>
        <w:t>The Advanced Materials and Chemicals segment is comprised of four</w:t>
      </w:r>
      <w:r>
        <w:rPr>
          <w:rFonts w:ascii="Times New Roman" w:hAnsi="Times New Roman"/>
          <w:color w:val="000000"/>
          <w:sz w:val="20"/>
        </w:rPr>
        <w:t xml:space="preserve"> </w:t>
      </w:r>
      <w:r>
        <w:rPr>
          <w:rFonts w:ascii="sans-serif" w:hAnsi="sans-serif"/>
          <w:color w:val="000000"/>
          <w:sz w:val="20"/>
        </w:rPr>
        <w:t>lines of business: the Industrial Film and Chemicals business, the Motion Picture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do not meet the criteria of a reportable segment, are reported in All Other revenues and All Other Operational EBITDA, and primarily represent the operations of the Eastman Business Park.</w:t>
      </w:r>
    </w:p>
    <w:p>
      <w:pPr>
        <w:pStyle w:val="TextBody"/>
        <w:bidi w:val="0"/>
        <w:spacing w:before="200" w:after="283"/>
        <w:jc w:val="left"/>
        <w:rPr>
          <w:rFonts w:ascii="Times New Roman" w:hAnsi="Times New Roman"/>
          <w:sz w:val="20"/>
        </w:rPr>
      </w:pPr>
      <w:r>
        <w:rPr>
          <w:rFonts w:ascii="sans-serif" w:hAnsi="sans-serif"/>
          <w:color w:val="000000"/>
          <w:sz w:val="20"/>
        </w:rPr>
        <w:t>The accounting policies of the segments are the same as those described in the summary of significant accounting policies in Note 1 included in the 2024 Form 10-K. There are no intersegment sales between the segments.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Kodak’s CODM is the Executive Chairman and Chief Executive Officer. Kodak’s segment measure of profit and loss is an adjusted earnings before interest, taxes, depreciation and amortization (“Operational EBITDA”).</w:t>
      </w:r>
      <w:r>
        <w:rPr>
          <w:rFonts w:ascii="Times New Roman" w:hAnsi="Times New Roman"/>
          <w:color w:val="000000"/>
          <w:sz w:val="20"/>
        </w:rPr>
        <w:t xml:space="preserve"> </w:t>
      </w:r>
      <w:r>
        <w:rPr>
          <w:rFonts w:ascii="sans-serif" w:hAnsi="sans-serif"/>
          <w:color w:val="000000"/>
          <w:sz w:val="20"/>
        </w:rPr>
        <w:t>Operational EBITDA represents the (loss) earnings from operations excluding the provision for income taxes; non-service cost components of pension and other postemployment benefits (“OPEB”) income; depreciation and amortization expense; restructuring costs and other; stock-based compensation expense; interest expense; other operating income, net and other income, net.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CODM uses Operational EBITDA in assessing segment performance and deciding how to allocate resources for each segment predominantly through the annual budget and forecasting process. The CODM evaluates Operational EBITDA budget-to-actual variances, changes in Operational EBITDA from prior periods and when comparing the results of each segment with one another.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Segment financial information is shown below. Asset information by reportable segment is not disclosed below as this information is not regularly provided to or used by the CODM in assessing performance and allocating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Segment Revenues, Operational EBITDA and Consolidated (Loss) Earnings from Continuing Operations Before Income Taxes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16"/>
        <w:gridCol w:w="312"/>
        <w:gridCol w:w="643"/>
        <w:gridCol w:w="249"/>
        <w:gridCol w:w="201"/>
        <w:gridCol w:w="312"/>
        <w:gridCol w:w="643"/>
        <w:gridCol w:w="229"/>
      </w:tblGrid>
      <w:tr>
        <w:trPr/>
        <w:tc>
          <w:tcPr>
            <w:tcW w:w="76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Print:</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Advanced Materials and Chemicals:</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Brand:</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Operational EBITDA for Reportable Segments</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All Other Operational EBITDA</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and amortization</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Restructuring costs and other</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Idle costs </w:t>
            </w:r>
            <w:r>
              <w:rPr>
                <w:rFonts w:ascii="sans-serif" w:hAnsi="sans-serif"/>
                <w:color w:val="000000"/>
                <w:sz w:val="13"/>
              </w:rPr>
              <w:t>(1)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operating income, net </w:t>
            </w:r>
            <w:r>
              <w:rPr>
                <w:rFonts w:ascii="sans-serif" w:hAnsi="sans-serif"/>
                <w:color w:val="000000"/>
                <w:sz w:val="13"/>
              </w:rPr>
              <w:t>(2)</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Interest expense </w:t>
            </w:r>
            <w:r>
              <w:rPr>
                <w:rFonts w:ascii="sans-serif" w:hAnsi="sans-serif"/>
                <w:color w:val="000000"/>
                <w:sz w:val="13"/>
              </w:rPr>
              <w:t>(2)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Pension income excluding service cost component </w:t>
            </w:r>
            <w:r>
              <w:rPr>
                <w:rFonts w:ascii="sans-serif" w:hAnsi="sans-serif"/>
                <w:color w:val="000000"/>
                <w:sz w:val="13"/>
              </w:rPr>
              <w:t>(2)</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1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income, net </w:t>
            </w:r>
            <w:r>
              <w:rPr>
                <w:rFonts w:ascii="sans-serif" w:hAnsi="sans-serif"/>
                <w:color w:val="000000"/>
                <w:sz w:val="13"/>
              </w:rPr>
              <w:t>(2)</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Consolidated (loss) earnings from continuing operations before income taxes</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 reconciliation of reportable segment revenues to consolidated revenues follows:</w:t>
      </w:r>
    </w:p>
    <w:p>
      <w:pPr>
        <w:pStyle w:val="TextBody"/>
        <w:bidi w:val="0"/>
        <w:jc w:val="left"/>
        <w:rPr/>
      </w:pPr>
      <w:r>
        <w:rPr/>
        <w:t> </w:t>
      </w:r>
    </w:p>
    <w:tbl>
      <w:tblPr>
        <w:tblW w:w="6250" w:type="dxa"/>
        <w:jc w:val="left"/>
        <w:tblInd w:w="0" w:type="dxa"/>
        <w:tblLayout w:type="fixed"/>
        <w:tblCellMar>
          <w:top w:w="28" w:type="dxa"/>
          <w:left w:w="28" w:type="dxa"/>
          <w:bottom w:w="28" w:type="dxa"/>
          <w:right w:w="28" w:type="dxa"/>
        </w:tblCellMar>
      </w:tblPr>
      <w:tblGrid>
        <w:gridCol w:w="3691"/>
        <w:gridCol w:w="319"/>
        <w:gridCol w:w="659"/>
        <w:gridCol w:w="206"/>
        <w:gridCol w:w="206"/>
        <w:gridCol w:w="319"/>
        <w:gridCol w:w="659"/>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Reportable Segment Revenues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Consolidated Revenues</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Kodak increased employee benefit reserves by approximately $1</w:t>
      </w:r>
      <w:r>
        <w:rPr>
          <w:rFonts w:ascii="Times New Roman" w:hAnsi="Times New Roman"/>
          <w:color w:val="000000"/>
          <w:sz w:val="20"/>
        </w:rPr>
        <w:t xml:space="preserve"> </w:t>
      </w:r>
      <w:r>
        <w:rPr>
          <w:rFonts w:ascii="sans-serif" w:hAnsi="sans-serif"/>
          <w:color w:val="000000"/>
          <w:sz w:val="20"/>
        </w:rPr>
        <w:t>million in the three months ended March 31, 2025 due to an increase in workers' compensation reserves driven by changes in discount rates. The increase in reserves in the three months ended March 31, 2025 impacted gross profit by approximately $1</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200" w:after="283"/>
        <w:jc w:val="left"/>
        <w:rPr>
          <w:rFonts w:ascii="Times New Roman" w:hAnsi="Times New Roman"/>
          <w:sz w:val="20"/>
        </w:rPr>
      </w:pPr>
      <w:r>
        <w:rPr>
          <w:rFonts w:ascii="sans-serif" w:hAnsi="sans-serif"/>
          <w:color w:val="000000"/>
          <w:sz w:val="20"/>
        </w:rPr>
        <w:t>Kodak decreased employee benefit reserves by approximately $1</w:t>
      </w:r>
      <w:r>
        <w:rPr>
          <w:rFonts w:ascii="Times New Roman" w:hAnsi="Times New Roman"/>
          <w:color w:val="000000"/>
          <w:sz w:val="20"/>
        </w:rPr>
        <w:t xml:space="preserve"> </w:t>
      </w:r>
      <w:r>
        <w:rPr>
          <w:rFonts w:ascii="sans-serif" w:hAnsi="sans-serif"/>
          <w:color w:val="000000"/>
          <w:sz w:val="20"/>
        </w:rPr>
        <w:t>million in the three months ended March 31, 2024 due to a decrease in workers' compensation reserves driven by changes in discount rates. The decrease in reserves in the three months ended March 31, 2024</w:t>
      </w:r>
      <w:r>
        <w:rPr>
          <w:rFonts w:ascii="Times New Roman" w:hAnsi="Times New Roman"/>
          <w:color w:val="000000"/>
          <w:sz w:val="20"/>
        </w:rPr>
        <w:t xml:space="preserve"> </w:t>
      </w:r>
      <w:r>
        <w:rPr>
          <w:rFonts w:ascii="sans-serif" w:hAnsi="sans-serif"/>
          <w:color w:val="000000"/>
          <w:sz w:val="20"/>
        </w:rPr>
        <w:t>impacted gross profit by approximately $1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Amortization and depreciation expense by segment are not included in the segment measure of profit and loss but are regularly provided to the CODM.</w:t>
      </w:r>
      <w:r>
        <w:rPr>
          <w:rFonts w:ascii="Times New Roman" w:hAnsi="Times New Roman"/>
          <w:color w:val="000000"/>
          <w:sz w:val="20"/>
        </w:rPr>
        <w:t xml:space="preserve"> </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448"/>
        <w:gridCol w:w="447"/>
        <w:gridCol w:w="446"/>
        <w:gridCol w:w="288"/>
        <w:gridCol w:w="288"/>
        <w:gridCol w:w="447"/>
        <w:gridCol w:w="446"/>
        <w:gridCol w:w="395"/>
      </w:tblGrid>
      <w:tr>
        <w:trPr/>
        <w:tc>
          <w:tcPr>
            <w:tcW w:w="744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3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Intangible asset amortization expense from continuing operations:</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402" w:type="dxa"/>
        <w:jc w:val="left"/>
        <w:tblInd w:w="0" w:type="dxa"/>
        <w:tblLayout w:type="fixed"/>
        <w:tblCellMar>
          <w:top w:w="28" w:type="dxa"/>
          <w:left w:w="28" w:type="dxa"/>
          <w:bottom w:w="28" w:type="dxa"/>
          <w:right w:w="28" w:type="dxa"/>
        </w:tblCellMar>
      </w:tblPr>
      <w:tblGrid>
        <w:gridCol w:w="5641"/>
        <w:gridCol w:w="448"/>
        <w:gridCol w:w="448"/>
        <w:gridCol w:w="289"/>
        <w:gridCol w:w="289"/>
        <w:gridCol w:w="448"/>
        <w:gridCol w:w="448"/>
        <w:gridCol w:w="391"/>
      </w:tblGrid>
      <w:tr>
        <w:trPr/>
        <w:tc>
          <w:tcPr>
            <w:tcW w:w="564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Depreciation expense from continuing operations:</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874" w:type="dxa"/>
        <w:jc w:val="left"/>
        <w:tblInd w:w="0" w:type="dxa"/>
        <w:tblLayout w:type="fixed"/>
        <w:tblCellMar>
          <w:top w:w="28" w:type="dxa"/>
          <w:left w:w="28" w:type="dxa"/>
          <w:bottom w:w="28" w:type="dxa"/>
          <w:right w:w="28" w:type="dxa"/>
        </w:tblCellMar>
      </w:tblPr>
      <w:tblGrid>
        <w:gridCol w:w="3541"/>
        <w:gridCol w:w="392"/>
        <w:gridCol w:w="808"/>
        <w:gridCol w:w="146"/>
        <w:gridCol w:w="146"/>
        <w:gridCol w:w="539"/>
        <w:gridCol w:w="111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 xml:space="preserve">Long-lived assets located in: </w:t>
            </w:r>
            <w:r>
              <w:rPr>
                <w:rFonts w:ascii="sans-serif" w:hAnsi="sans-serif"/>
                <w:b/>
                <w:color w:val="000000"/>
                <w:sz w:val="13"/>
              </w:rPr>
              <w:t>(1)</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United States</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 and Latin America</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Non-U.S. countries total </w:t>
            </w:r>
            <w:r>
              <w:rPr>
                <w:rFonts w:ascii="sans-serif" w:hAnsi="sans-serif"/>
                <w:color w:val="000000"/>
                <w:sz w:val="13"/>
              </w:rPr>
              <w:t>(2)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(1) </w:t>
      </w:r>
      <w:r>
        <w:rPr>
          <w:rFonts w:ascii="sans-serif" w:hAnsi="sans-serif"/>
          <w:color w:val="000000"/>
          <w:sz w:val="20"/>
        </w:rPr>
        <w:t>Long-lived assets are comprised of property, plant and equipment, net.</w:t>
      </w:r>
    </w:p>
    <w:p>
      <w:pPr>
        <w:pStyle w:val="TextBody"/>
        <w:bidi w:val="0"/>
        <w:jc w:val="left"/>
        <w:rPr>
          <w:rFonts w:ascii="Times New Roman" w:hAnsi="Times New Roman"/>
          <w:sz w:val="20"/>
        </w:rPr>
      </w:pPr>
      <w:r>
        <w:rPr>
          <w:rFonts w:ascii="sans-serif" w:hAnsi="sans-serif"/>
          <w:color w:val="000000"/>
          <w:sz w:val="13"/>
        </w:rPr>
        <w:t xml:space="preserve">(2) </w:t>
      </w:r>
      <w:r>
        <w:rPr>
          <w:rFonts w:ascii="sans-serif" w:hAnsi="sans-serif"/>
          <w:color w:val="000000"/>
          <w:sz w:val="20"/>
        </w:rPr>
        <w:t>Of the total non-U.S. property, plant and equipment as of March 31, 2025, $38</w:t>
      </w:r>
      <w:r>
        <w:rPr>
          <w:rFonts w:ascii="Times New Roman" w:hAnsi="Times New Roman"/>
          <w:color w:val="000000"/>
          <w:sz w:val="20"/>
        </w:rPr>
        <w:t xml:space="preserve"> </w:t>
      </w:r>
      <w:r>
        <w:rPr>
          <w:rFonts w:ascii="sans-serif" w:hAnsi="sans-serif"/>
          <w:color w:val="000000"/>
          <w:sz w:val="20"/>
        </w:rPr>
        <w:t>million was located in Brazil. Of the total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non-U.S. property, plant and equipment as of December 31, 2024, $35</w:t>
      </w:r>
      <w:r>
        <w:rPr>
          <w:rFonts w:ascii="Times New Roman" w:hAnsi="Times New Roman"/>
          <w:color w:val="000000"/>
          <w:sz w:val="20"/>
        </w:rPr>
        <w:t xml:space="preserve"> </w:t>
      </w:r>
      <w:r>
        <w:rPr>
          <w:rFonts w:ascii="sans-serif" w:hAnsi="sans-serif"/>
          <w:color w:val="000000"/>
          <w:sz w:val="20"/>
        </w:rPr>
        <w:t>million was located in Brazil.</w:t>
      </w:r>
    </w:p>
    <w:p>
      <w:pPr>
        <w:pStyle w:val="TextBody"/>
        <w:bidi w:val="0"/>
        <w:spacing w:before="200" w:after="283"/>
        <w:jc w:val="left"/>
        <w:rPr>
          <w:rFonts w:ascii="sans-serif" w:hAnsi="sans-serif"/>
          <w:b/>
          <w:color w:val="000000"/>
          <w:sz w:val="20"/>
        </w:rPr>
      </w:pPr>
      <w:r>
        <w:rPr>
          <w:rFonts w:ascii="sans-serif" w:hAnsi="sans-serif"/>
          <w:b/>
          <w:color w:val="000000"/>
          <w:sz w:val="20"/>
        </w:rPr>
        <w:t>NOTE 18: FINANCIAL INSTRUMENTS</w:t>
      </w:r>
    </w:p>
    <w:p>
      <w:pPr>
        <w:pStyle w:val="TextBody"/>
        <w:bidi w:val="0"/>
        <w:spacing w:before="200" w:after="283"/>
        <w:jc w:val="left"/>
        <w:rPr>
          <w:rFonts w:ascii="Times New Roman" w:hAnsi="Times New Roman"/>
          <w:sz w:val="20"/>
        </w:rPr>
      </w:pPr>
      <w:r>
        <w:rPr>
          <w:rFonts w:ascii="sans-serif" w:hAnsi="sans-serif"/>
          <w:color w:val="000000"/>
          <w:sz w:val="20"/>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Kodak’s exposure to changes in interest rates results from its investing and borrowing activities used to meet its liquidity needs. Kodak does not utilize financial instruments for trading or other speculative purposes.</w:t>
      </w:r>
    </w:p>
    <w:p>
      <w:pPr>
        <w:pStyle w:val="TextBody"/>
        <w:bidi w:val="0"/>
        <w:spacing w:before="200" w:after="283"/>
        <w:jc w:val="left"/>
        <w:rPr>
          <w:rFonts w:ascii="Times New Roman" w:hAnsi="Times New Roman"/>
          <w:sz w:val="20"/>
        </w:rPr>
      </w:pPr>
      <w:r>
        <w:rPr>
          <w:rFonts w:ascii="sans-serif" w:hAnsi="sans-serif"/>
          <w:color w:val="000000"/>
          <w:sz w:val="20"/>
        </w:rPr>
        <w:t>Kodak’s foreign currency forward contracts are not designated as hedges and are marked to market through net (loss) earnings at the same time that the exposed assets and liabilities are re-measured through net (loss) earnings (both in Other income, net in the Consolidated Statement of Operations). The notional amount of such contracts open at March 31, 2025 and December 31, 2024</w:t>
      </w:r>
      <w:r>
        <w:rPr>
          <w:rFonts w:ascii="Times New Roman" w:hAnsi="Times New Roman"/>
          <w:color w:val="000000"/>
          <w:sz w:val="20"/>
        </w:rPr>
        <w:t xml:space="preserve"> </w:t>
      </w:r>
      <w:r>
        <w:rPr>
          <w:rFonts w:ascii="sans-serif" w:hAnsi="sans-serif"/>
          <w:color w:val="000000"/>
          <w:sz w:val="20"/>
        </w:rPr>
        <w:t>was approximately $216</w:t>
      </w:r>
      <w:r>
        <w:rPr>
          <w:rFonts w:ascii="Times New Roman" w:hAnsi="Times New Roman"/>
          <w:color w:val="000000"/>
          <w:sz w:val="20"/>
        </w:rPr>
        <w:t xml:space="preserve"> </w:t>
      </w:r>
      <w:r>
        <w:rPr>
          <w:rFonts w:ascii="sans-serif" w:hAnsi="sans-serif"/>
          <w:color w:val="000000"/>
          <w:sz w:val="20"/>
        </w:rPr>
        <w:t>million and $251</w:t>
      </w:r>
      <w:r>
        <w:rPr>
          <w:rFonts w:ascii="Times New Roman" w:hAnsi="Times New Roman"/>
          <w:color w:val="000000"/>
          <w:sz w:val="20"/>
        </w:rPr>
        <w:t xml:space="preserve"> </w:t>
      </w:r>
      <w:r>
        <w:rPr>
          <w:rFonts w:ascii="sans-serif" w:hAnsi="sans-serif"/>
          <w:color w:val="000000"/>
          <w:sz w:val="20"/>
        </w:rPr>
        <w:t>million, respectively. The majority of the contracts of this type held by Kodak as of March 31, 2025 and December 31, 2024 are denominated in Chinese renminbi, Japanese yen and euros.</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The net effect of foreign currency forward contracts in the results of operations is shown in the following table:</w:t>
      </w:r>
      <w:r>
        <w:rPr>
          <w:rFonts w:ascii="Times New Roman" w:hAnsi="Times New Roman"/>
          <w:color w:val="000000"/>
          <w:sz w:val="20"/>
        </w:rPr>
        <w:t xml:space="preserve"> </w:t>
      </w:r>
    </w:p>
    <w:tbl>
      <w:tblPr>
        <w:tblW w:w="9802" w:type="dxa"/>
        <w:jc w:val="left"/>
        <w:tblInd w:w="0" w:type="dxa"/>
        <w:tblLayout w:type="fixed"/>
        <w:tblCellMar>
          <w:top w:w="28" w:type="dxa"/>
          <w:left w:w="28" w:type="dxa"/>
          <w:bottom w:w="28" w:type="dxa"/>
          <w:right w:w="28" w:type="dxa"/>
        </w:tblCellMar>
      </w:tblPr>
      <w:tblGrid>
        <w:gridCol w:w="7096"/>
        <w:gridCol w:w="146"/>
        <w:gridCol w:w="410"/>
        <w:gridCol w:w="546"/>
        <w:gridCol w:w="328"/>
        <w:gridCol w:w="265"/>
        <w:gridCol w:w="410"/>
        <w:gridCol w:w="410"/>
        <w:gridCol w:w="191"/>
      </w:tblGrid>
      <w:tr>
        <w:trPr/>
        <w:tc>
          <w:tcPr>
            <w:tcW w:w="7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(gain) loss from 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had no</w:t>
      </w:r>
      <w:r>
        <w:rPr>
          <w:rFonts w:ascii="Times New Roman" w:hAnsi="Times New Roman"/>
          <w:color w:val="000000"/>
          <w:sz w:val="20"/>
        </w:rPr>
        <w:t xml:space="preserve"> </w:t>
      </w:r>
      <w:r>
        <w:rPr>
          <w:rFonts w:ascii="sans-serif" w:hAnsi="sans-serif"/>
          <w:color w:val="000000"/>
          <w:sz w:val="20"/>
        </w:rPr>
        <w:t>derivatives designated as hedging instruments for the three months ended March 31, 2025 and 2024.</w:t>
      </w:r>
    </w:p>
    <w:p>
      <w:pPr>
        <w:pStyle w:val="TextBody"/>
        <w:bidi w:val="0"/>
        <w:spacing w:before="200" w:after="283"/>
        <w:jc w:val="left"/>
        <w:rPr>
          <w:rFonts w:ascii="sans-serif" w:hAnsi="sans-serif"/>
          <w:color w:val="000000"/>
          <w:sz w:val="20"/>
        </w:rPr>
      </w:pPr>
      <w:r>
        <w:rPr>
          <w:rFonts w:ascii="sans-serif" w:hAnsi="sans-serif"/>
          <w:color w:val="000000"/>
          <w:sz w:val="20"/>
        </w:rPr>
        <w:t>In the event of a default under any of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pStyle w:val="TextBody"/>
        <w:bidi w:val="0"/>
        <w:spacing w:before="200" w:after="283"/>
        <w:jc w:val="left"/>
        <w:rPr>
          <w:rFonts w:ascii="sans-serif" w:hAnsi="sans-serif"/>
          <w:b/>
          <w:i/>
          <w:color w:val="000000"/>
          <w:sz w:val="20"/>
        </w:rPr>
      </w:pPr>
      <w:r>
        <w:rPr>
          <w:rFonts w:ascii="sans-serif" w:hAnsi="sans-serif"/>
          <w:b/>
          <w:i/>
          <w:color w:val="000000"/>
          <w:sz w:val="20"/>
        </w:rPr>
        <w:t>Fair Value</w:t>
      </w:r>
    </w:p>
    <w:p>
      <w:pPr>
        <w:pStyle w:val="TextBody"/>
        <w:bidi w:val="0"/>
        <w:spacing w:before="200" w:after="283"/>
        <w:jc w:val="left"/>
        <w:rPr>
          <w:rFonts w:ascii="Times New Roman" w:hAnsi="Times New Roman"/>
          <w:sz w:val="20"/>
        </w:rPr>
      </w:pPr>
      <w:r>
        <w:rPr>
          <w:rFonts w:ascii="sans-serif" w:hAnsi="sans-serif"/>
          <w:color w:val="000000"/>
          <w:sz w:val="20"/>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March 31, 2025 and December 31, 2024</w:t>
      </w:r>
      <w:r>
        <w:rPr>
          <w:rFonts w:ascii="Times New Roman" w:hAnsi="Times New Roman"/>
          <w:color w:val="000000"/>
          <w:sz w:val="20"/>
        </w:rPr>
        <w:t xml:space="preserve"> </w:t>
      </w:r>
      <w:r>
        <w:rPr>
          <w:rFonts w:ascii="sans-serif" w:hAnsi="sans-serif"/>
          <w:color w:val="000000"/>
          <w:sz w:val="20"/>
        </w:rPr>
        <w:t>was $0</w:t>
      </w:r>
      <w:r>
        <w:rPr>
          <w:rFonts w:ascii="Times New Roman" w:hAnsi="Times New Roman"/>
          <w:color w:val="000000"/>
          <w:sz w:val="20"/>
        </w:rPr>
        <w:t xml:space="preserve"> </w:t>
      </w:r>
      <w:r>
        <w:rPr>
          <w:rFonts w:ascii="sans-serif" w:hAnsi="sans-serif"/>
          <w:color w:val="000000"/>
          <w:sz w:val="20"/>
        </w:rPr>
        <w:t>million. The gross fair value of foreign currency forward contracts in a liability position as of March 31, 2025 and December 31, 2024</w:t>
      </w:r>
      <w:r>
        <w:rPr>
          <w:rFonts w:ascii="Times New Roman" w:hAnsi="Times New Roman"/>
          <w:color w:val="000000"/>
          <w:sz w:val="20"/>
        </w:rPr>
        <w:t xml:space="preserve"> </w:t>
      </w:r>
      <w:r>
        <w:rPr>
          <w:rFonts w:ascii="sans-serif" w:hAnsi="sans-serif"/>
          <w:color w:val="000000"/>
          <w:sz w:val="20"/>
        </w:rPr>
        <w:t>was $0</w:t>
      </w:r>
      <w:r>
        <w:rPr>
          <w:rFonts w:ascii="Times New Roman" w:hAnsi="Times New Roman"/>
          <w:color w:val="000000"/>
          <w:sz w:val="20"/>
        </w:rPr>
        <w:t xml:space="preserve"> </w:t>
      </w:r>
      <w:r>
        <w:rPr>
          <w:rFonts w:ascii="sans-serif" w:hAnsi="sans-serif"/>
          <w:color w:val="000000"/>
          <w:sz w:val="20"/>
        </w:rPr>
        <w:t>million and $3</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200" w:after="283"/>
        <w:jc w:val="left"/>
        <w:rPr>
          <w:rFonts w:ascii="Times New Roman" w:hAnsi="Times New Roman"/>
          <w:sz w:val="20"/>
        </w:rPr>
      </w:pPr>
      <w:r>
        <w:rPr>
          <w:rFonts w:ascii="sans-serif" w:hAnsi="sans-serif"/>
          <w:color w:val="000000"/>
          <w:sz w:val="20"/>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$414</w:t>
      </w:r>
      <w:r>
        <w:rPr>
          <w:rFonts w:ascii="Times New Roman" w:hAnsi="Times New Roman"/>
          <w:color w:val="000000"/>
          <w:sz w:val="20"/>
        </w:rPr>
        <w:t xml:space="preserve"> </w:t>
      </w:r>
      <w:r>
        <w:rPr>
          <w:rFonts w:ascii="sans-serif" w:hAnsi="sans-serif"/>
          <w:color w:val="000000"/>
          <w:sz w:val="20"/>
        </w:rPr>
        <w:t>million and $436</w:t>
      </w:r>
      <w:r>
        <w:rPr>
          <w:rFonts w:ascii="Times New Roman" w:hAnsi="Times New Roman"/>
          <w:color w:val="000000"/>
          <w:sz w:val="20"/>
        </w:rPr>
        <w:t xml:space="preserve"> </w:t>
      </w:r>
      <w:r>
        <w:rPr>
          <w:rFonts w:ascii="sans-serif" w:hAnsi="sans-serif"/>
          <w:color w:val="000000"/>
          <w:sz w:val="20"/>
        </w:rPr>
        <w:t>million at March 31, 2025 and December 31, 2024, respectively.</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carrying values of cash and cash equivalents, restricted cash and the current portion of long-term debt approximate their fair values at both March 31, 2025 and December 31, 2024.</w:t>
      </w:r>
    </w:p>
    <w:p>
      <w:pPr>
        <w:pStyle w:val="TextBody"/>
        <w:bidi w:val="0"/>
        <w:spacing w:before="200" w:after="283"/>
        <w:jc w:val="left"/>
        <w:rPr>
          <w:rFonts w:ascii="sans-serif" w:hAnsi="sans-serif"/>
          <w:color w:val="000000"/>
          <w:sz w:val="20"/>
        </w:rPr>
      </w:pPr>
      <w:r>
        <w:rPr>
          <w:rFonts w:ascii="sans-serif" w:hAnsi="sans-serif"/>
          <w:color w:val="000000"/>
          <w:sz w:val="20"/>
        </w:rPr>
        <w:t>Transfers between levels of the fair value hierarchy are recognized based on the actual date of the event or change in circumstances that caused the transfer. There were no transfers between levels of the fair value hierarchy during the three months ended March 31, 2025.</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3" w:name="mda"/>
      <w:bookmarkEnd w:id="23"/>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2. Management</w:t>
      </w:r>
      <w:r>
        <w:rPr>
          <w:rFonts w:ascii="Times New Roman" w:hAnsi="Times New Roman"/>
          <w:color w:val="000000"/>
          <w:sz w:val="20"/>
        </w:rPr>
        <w:t>’</w:t>
      </w:r>
      <w:r>
        <w:rPr>
          <w:rFonts w:ascii="sans-serif" w:hAnsi="sans-serif"/>
          <w:b/>
          <w:color w:val="000000"/>
          <w:sz w:val="20"/>
        </w:rPr>
        <w:t>s Discussion and Analysis of Financial Condition and Results of Operations</w:t>
      </w:r>
    </w:p>
    <w:p>
      <w:pPr>
        <w:pStyle w:val="TextBody"/>
        <w:bidi w:val="0"/>
        <w:spacing w:before="200" w:after="283"/>
        <w:jc w:val="left"/>
        <w:rPr>
          <w:rFonts w:ascii="sans-serif" w:hAnsi="sans-serif"/>
          <w:b/>
          <w:color w:val="000000"/>
          <w:sz w:val="20"/>
        </w:rPr>
      </w:pPr>
      <w:r>
        <w:rPr>
          <w:rFonts w:ascii="sans-serif" w:hAnsi="sans-serif"/>
          <w:b/>
          <w:color w:val="000000"/>
          <w:sz w:val="20"/>
        </w:rPr>
        <w:t>CAUTIONARY STATEMENT PURSUANT TO SAFE HARBOR PROVISIONS OF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This report on Form 10-Q includes “forward–looking statements” as that term is defined under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the Company’s Annual Report on Form 10–K for the year ended December 31, 2024 ("2024 Form 10-K")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improve and sustain its operating structure, cash flow, profitability and other financial results;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achieve strategic objectives, cash forecasts, financial projections and projected growth;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achieve the financial and operational results contained in its business plans;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obtain additional or alternate financing if and as needed, Kodak's continued ability to manage world-wide cash through intercompany loans, distributions and other mechanisms, and Kodak's ability to provide or facilitate financing for its customers;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receipt of projected reversion proceeds from the liquidation of KRIP at the time contemplated;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fund continued investments, capital needs and collateral requirements and to service its debt and Series B Preferred Stock and Series C Preferred Stock;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Changes in foreign currency exchange rates, commodity prices, interest rates and tariff rates;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impact of the global economic environment, including inflationary pressures, geopolitical issues such as the war in Ukraine and conflicts involving Israel, medical epidemics, changes in trade policies, including tariffs or other trade restrictions or the threat of such actions, and Kodak’s ability to effectively mitigate the associated increased costs of aluminum and other raw materials, energy, labor, shipping, delays in shipment and production times, and fluctuations in demand;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effectively compete with large, well-financed industry participants or with competitors whose cost structure is lower than Kodak's;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war in Ukraine, the conflicts involving Israel, changes in trade policies, including tariffs or other trade restrictions or the threat of such actions, and residual effects of the COVID-19 pandemic;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comply with the covenants in its various credit facilities; </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color w:val="000000"/>
          <w:sz w:val="20"/>
        </w:rPr>
        <w:t>Kodak’s ability to effectively anticipate technology and industry trends, including related to AI</w:t>
      </w:r>
      <w:r>
        <w:rPr>
          <w:rFonts w:ascii="Times New Roman" w:hAnsi="Times New Roman"/>
          <w:color w:val="000000"/>
          <w:sz w:val="20"/>
        </w:rPr>
        <w:t>,</w:t>
      </w:r>
      <w:r>
        <w:rPr>
          <w:color w:val="000000"/>
        </w:rPr>
        <w:t xml:space="preserve"> </w:t>
      </w:r>
      <w:r>
        <w:rPr>
          <w:rFonts w:ascii="sans-serif" w:hAnsi="sans-serif"/>
          <w:color w:val="000000"/>
          <w:sz w:val="20"/>
        </w:rPr>
        <w:t xml:space="preserve">and develop and market new products, solutions and technologies, including products based on its technology and expertise that relate to industries in which it does not currently conduct material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effect strategic transactions, such as investments, acquisitions, strategic alliances, divestitures and similar transactions, or to achieve the benefits sought to be achieved from such strategic transactions;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continued ability to manage, defend and resolve a variety of current and legacy claims without incurring material losses or disruptions to its business and to bear the costs associated with such claims;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discontinue, sell or spin-off certain non-core businesses or operations, or otherwise monetize assets;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potential impact of force majeure events, cyber‐attacks or other data security incidents or IT outages that could disrupt or otherwise harm Kodak’s operations.</w:t>
      </w:r>
    </w:p>
    <w:p>
      <w:pPr>
        <w:pStyle w:val="TextBody"/>
        <w:bidi w:val="0"/>
        <w:spacing w:before="200" w:after="283"/>
        <w:jc w:val="left"/>
        <w:rPr>
          <w:rFonts w:ascii="sans-serif" w:hAnsi="sans-serif"/>
          <w:color w:val="000000"/>
          <w:sz w:val="20"/>
        </w:rPr>
      </w:pPr>
      <w:r>
        <w:rPr>
          <w:rFonts w:ascii="sans-serif" w:hAnsi="sans-serif"/>
          <w:color w:val="000000"/>
          <w:sz w:val="20"/>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200" w:after="283"/>
        <w:jc w:val="left"/>
        <w:rPr>
          <w:rFonts w:ascii="sans-serif" w:hAnsi="sans-serif"/>
          <w:b/>
          <w:color w:val="000000"/>
          <w:sz w:val="20"/>
        </w:rPr>
      </w:pPr>
      <w:r>
        <w:rPr>
          <w:rFonts w:ascii="sans-serif" w:hAnsi="sans-serif"/>
          <w:b/>
          <w:color w:val="000000"/>
          <w:sz w:val="20"/>
        </w:rPr>
        <w:t>EXECUTIVE OVERVIEW</w:t>
      </w:r>
    </w:p>
    <w:p>
      <w:pPr>
        <w:pStyle w:val="TextBody"/>
        <w:bidi w:val="0"/>
        <w:spacing w:before="200" w:after="283"/>
        <w:jc w:val="left"/>
        <w:rPr>
          <w:rFonts w:ascii="Times New Roman" w:hAnsi="Times New Roman"/>
          <w:sz w:val="20"/>
        </w:rPr>
      </w:pPr>
      <w:r>
        <w:rPr>
          <w:rFonts w:ascii="sans-serif" w:hAnsi="sans-serif"/>
          <w:color w:val="000000"/>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4" w:name="led293315f20228281664393426633"/>
      <w:bookmarkEnd w:id="24"/>
      <w:r>
        <w:rPr>
          <w:rFonts w:ascii="sans-serif" w:hAnsi="sans-serif"/>
          <w:color w:val="000000"/>
          <w:sz w:val="20"/>
        </w:rPr>
        <w:t>Consolidated revenues in the three months ended March 31, 2025 were $247 million, a decrease of $2</w:t>
      </w:r>
      <w:r>
        <w:rPr>
          <w:rFonts w:ascii="Times New Roman" w:hAnsi="Times New Roman"/>
          <w:color w:val="000000"/>
          <w:sz w:val="20"/>
        </w:rPr>
        <w:t xml:space="preserve"> </w:t>
      </w:r>
      <w:r>
        <w:rPr>
          <w:rFonts w:ascii="sans-serif" w:hAnsi="sans-serif"/>
          <w:color w:val="000000"/>
          <w:sz w:val="20"/>
        </w:rPr>
        <w:t>million (1</w:t>
      </w:r>
      <w:bookmarkStart w:id="25" w:name="led293315f20228281664393551046"/>
      <w:bookmarkEnd w:id="25"/>
      <w:r>
        <w:rPr>
          <w:rFonts w:ascii="sans-serif" w:hAnsi="sans-serif"/>
          <w:color w:val="000000"/>
          <w:sz w:val="20"/>
        </w:rPr>
        <w:t xml:space="preserve">%) when compared to the </w:t>
      </w:r>
      <w:bookmarkStart w:id="26" w:name="led293237f20228201663700935556"/>
      <w:bookmarkEnd w:id="26"/>
      <w:r>
        <w:rPr>
          <w:rFonts w:ascii="sans-serif" w:hAnsi="sans-serif"/>
          <w:color w:val="000000"/>
          <w:sz w:val="20"/>
        </w:rPr>
        <w:t>three months ended March 31, 2024. Currency fluctuations had an unfavorable impact on revenues ($3 million) in the three months ended March 31, 2025 compared to the three months ended March 31, 2024.</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7" w:name="led293315f20228281664393783696"/>
      <w:bookmarkEnd w:id="27"/>
      <w:r>
        <w:rPr>
          <w:rFonts w:ascii="sans-serif" w:hAnsi="sans-serif"/>
          <w:color w:val="000000"/>
          <w:sz w:val="20"/>
        </w:rPr>
        <w:t>Print revenues in the three months ended March 31, 2025 were $165 million, a decrease of $17</w:t>
      </w:r>
      <w:r>
        <w:rPr>
          <w:rFonts w:ascii="Times New Roman" w:hAnsi="Times New Roman"/>
          <w:color w:val="000000"/>
          <w:sz w:val="20"/>
        </w:rPr>
        <w:t xml:space="preserve"> </w:t>
      </w:r>
      <w:r>
        <w:rPr>
          <w:rFonts w:ascii="sans-serif" w:hAnsi="sans-serif"/>
          <w:color w:val="000000"/>
          <w:sz w:val="20"/>
        </w:rPr>
        <w:t>million (</w:t>
      </w:r>
      <w:bookmarkStart w:id="28" w:name="led293315f20228281664393840864"/>
      <w:bookmarkEnd w:id="28"/>
      <w:r>
        <w:rPr>
          <w:rFonts w:ascii="sans-serif" w:hAnsi="sans-serif"/>
          <w:color w:val="000000"/>
          <w:sz w:val="20"/>
        </w:rPr>
        <w:t xml:space="preserve">9%) compared to the prior year quarter. Print revenues accounted for </w:t>
      </w:r>
      <w:bookmarkStart w:id="29" w:name="led293315f20228281664393706189"/>
      <w:bookmarkEnd w:id="29"/>
      <w:r>
        <w:rPr>
          <w:rFonts w:ascii="sans-serif" w:hAnsi="sans-serif"/>
          <w:color w:val="000000"/>
          <w:sz w:val="20"/>
        </w:rPr>
        <w:t>67%</w:t>
      </w:r>
      <w:r>
        <w:rPr>
          <w:rFonts w:ascii="Times New Roman" w:hAnsi="Times New Roman"/>
          <w:color w:val="000000"/>
          <w:sz w:val="20"/>
        </w:rPr>
        <w:t xml:space="preserve"> </w:t>
      </w:r>
      <w:r>
        <w:rPr>
          <w:rFonts w:ascii="sans-serif" w:hAnsi="sans-serif"/>
          <w:color w:val="000000"/>
          <w:sz w:val="20"/>
        </w:rPr>
        <w:t>of Kodak’s total revenues for the three months ended March 31, 2025. Advanced Materials and Chemicals revenues in the three months ended March 31, 2025 were $74 million, an increase of $15 million (25%) compared to the prior year quarter.</w:t>
      </w:r>
    </w:p>
    <w:p>
      <w:pPr>
        <w:pStyle w:val="TextBody"/>
        <w:bidi w:val="0"/>
        <w:spacing w:before="200" w:after="283"/>
        <w:jc w:val="left"/>
        <w:rPr>
          <w:rFonts w:ascii="Times New Roman" w:hAnsi="Times New Roman"/>
          <w:sz w:val="20"/>
        </w:rPr>
      </w:pPr>
      <w:r>
        <w:rPr>
          <w:rFonts w:ascii="sans-serif" w:hAnsi="sans-serif"/>
          <w:b/>
          <w:color w:val="000000"/>
          <w:sz w:val="20"/>
        </w:rPr>
        <w:t>Economic Environment and Other Global Events</w:t>
      </w:r>
      <w:r>
        <w:rPr>
          <w:rFonts w:ascii="sans-serif" w:hAnsi="sans-serif"/>
          <w:b/>
          <w:i/>
          <w:color w:val="000000"/>
          <w:sz w:val="20"/>
        </w:rPr>
        <w:t>:</w:t>
      </w:r>
    </w:p>
    <w:p>
      <w:pPr>
        <w:pStyle w:val="TextBody"/>
        <w:bidi w:val="0"/>
        <w:spacing w:before="200" w:after="283"/>
        <w:jc w:val="left"/>
        <w:rPr>
          <w:rFonts w:ascii="Times New Roman" w:hAnsi="Times New Roman"/>
          <w:sz w:val="20"/>
        </w:rPr>
      </w:pPr>
      <w:r>
        <w:rPr>
          <w:rFonts w:ascii="sans-serif" w:hAnsi="sans-serif"/>
          <w:color w:val="000000"/>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the war in Ukraine, the conflicts involving Israel, changes in trade policies, including tariffs or other trade restrictions or the threat of such actions, and other global events which impacted Kodak’s operations. Kodak is experiencing revenue declines and increased manufacturing costs for certain businesses due to lower volumes and increases in labor, material and distribution costs, as well as supply chain disruptions and shortages in materials and labor.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U.S. government recently announced tariffs on goods imported from most countries to the U.S., including significant tariffs on imports from Canada, Mexico and China, as well as separate tariffs on imported aluminum and steel, leading to increasing trade and political tensions.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which could have a material adverse effect on Kodak’s business, financial condition and results of operations, including through increased supply chain costs. There is substantial uncertainty about the duration of existing tariffs or pauses in tariffs, tariff levels and whether additional tariffs or other retaliatory actions may be imposed, modified or suspended. Kodak is actively monitoring the tariff developments and analyzing the potential impacts on its businesses, cost structure and supply chain as well as the ability to potentially avoid or offset a portion of cost increases through pricing actions and other cost savings measures. The ultimate impact of any tariffs is uncertain and will depend on various factors, including whether the tariffs are maintained and/or implemented, the duration of the tariffs, any exceptions or exemptions that are or may become available and the timing of their implementation, amount and scope.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Kodak has implemented various pricing actions and customer-focused initiatives to mitigate the impact of increased manufacturing costs, primarily within its Print and Advanced Materials and Chemicals segments. Largely beginning in the latter part of the second quarter of 2021, in order to mitigate the impact of higher aluminum, energy and packaging costs within Prepress Solutions, the Print segment implemented pricing actions on purchases of plates that continue to be periodically reviewed and adjusted accordingly. In addition, the Advanced Materials and Chemicals segment implemented various pricing actions primarily within its Industrial Films and Chemicals and Motion Picture businesses.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Print segment is experiencing a slowdown in customer demand for plates that negatively impacted volume due to current global economic conditions and the impact of pricing actions. In addition to the pricing actions and customer initiatives described above, Kodak has implemented supply chain and workforce optimization, productivity improvements and other cost savings activities. The combined actions have largely mitigated the impact of lower volumes and increased manufacturing costs. However, the potential worsening of economic conditions, continued decreases in volume and increases in manufacturing and other costs without further price increases, productivity improvements or other cost saving measures, could unfavorably impact this segment's operating results.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Advanced Materials and Chemicals segment has also experienced labor shortages in certain manufacturing areas. Increased demand for consumer film products along with manufacturing equipment limitations and labor shortages have contributed to increased backorders. During 2024, the Advanced Materials and Chemicals segment reduced the amount of backorders compared to levels seen in prior years. This was driven by increased headcount and capital investments in equipment upgrades and new equipment that increased capacity and streamlined processes. Increased demand for film products may continue to place stress on manufacturing equipment and the labor force without further investment or additional hiring in specific areas.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Following the cessation of U.S. plate manufacturing operations by Kodak’s key competitors, Kodak has faced increasing competition in the U.S. from low-priced plates imported from China and Japan. On September 28, 2023, Kodak filed petitions with the U.S. Department of Commerce ("Commerce Department") and the U.S. International Trade Commission ("ITC") requesting relief from unfairly traded imports of plates from China and Japan in the form of the imposition of anti-dumping and/or countervailing duties on such imported plates. After making an affirmative preliminary determination on November 15, 2023, on October 22, 2024, the ITC made a final determination that a U.S. industry is materially injured by reason of imports of aluminum lithographic printing plates from China and Japan that the Commerce Department has determined are sold at less than fair value and subsidized by the government of China. The Commerce Department conducted investigations to determine dumping and subsidy margins against imports of plates manufactured in China and Japan. The Commerce Department announced preliminary findings in its countervailing duty investigation on imports of plates manufactured in China on February 27, 2024 and announced preliminary findings in its anti-dumping duty investigations on imports of plates manufactured in China and Japan on April 26, 2024, which were amended with respect to plates from China on May 28, 2024. The Commerce Department announced final findings in its anti-dumping duty investigations on imports of plates manufactured in China and Japan and its countervailing duty investigation on imports of plates manufactured in China on September 23, 2024. As a result of the determinations by the ITC and Commerce Department, duties are now being imposed on U.S. imports of plates as follows: (i) anti-dumping duties of 115.84% on such plates manufactured in China by Fuji and 317.43% on such plates manufactured in China by other entities (in each case, imposed on plates imported on or after May 1, 2024), (ii) countervailing duties of 35.66% on practically all such plates manufactured in China (imposed on plates imported on or after March 1, 2024), and (iii) anti-dumping duties of 91.83% on practically all such plates manufactured in Japan (imposed on plates imported on or after May 1, 2024). There can be no assurance that the duties imposed on imported plates will provide Kodak effective relief and will not be reduced or impaired by any appeal or other challenge.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is monitoring the events surrounding the conflicts involving Israel and the impact on the operations of its Israel subsidiary. A leased warehouse in Israel was destroyed in 2023; however, none of Kodak’s employees were injured. While the potential impact of future developments related to this conflict is difficult to predict at this time, Kodak has been able to adapt its operations to avoid material disruption to its business. The direct operations of Kodak’s Israel subsidiary were less than 1% of total consolidated revenue and assets in 2025.</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also continues to monitor the events surrounding the war in Ukraine and the various sanctions imposed in response to the war. Kodak believes it is in compliance with all sanctions. Kodak has experienced worldwide supply constraints for aluminum and increased energy and transportation costs due in part to the war in Ukraine. The extent to which the war in Ukraine will continue to impact the global economy and Kodak's business and operations remains uncertain.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its direct Russian operations. The direct operations of Kodak’s Russian subsidiary did not have a material impact on the Company’s financial statements (less than 1% of total consolidated revenues and assets for 2024, 2023 and 2022), and there were no material impacts to the consolidated results of operations for the quarter ended March 31, 2025 from the wind-down activities.</w:t>
      </w:r>
    </w:p>
    <w:p>
      <w:pPr>
        <w:pStyle w:val="TextBody"/>
        <w:bidi w:val="0"/>
        <w:spacing w:before="200" w:after="283"/>
        <w:jc w:val="left"/>
        <w:rPr>
          <w:rFonts w:ascii="Times New Roman" w:hAnsi="Times New Roman"/>
          <w:sz w:val="20"/>
        </w:rPr>
      </w:pPr>
      <w:r>
        <w:rPr>
          <w:rFonts w:ascii="sans-serif" w:hAnsi="sans-serif"/>
          <w:color w:val="000000"/>
          <w:sz w:val="20"/>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Kodak</w:t>
      </w:r>
      <w:r>
        <w:rPr>
          <w:rFonts w:ascii="Times New Roman" w:hAnsi="Times New Roman"/>
          <w:color w:val="000000"/>
          <w:sz w:val="20"/>
        </w:rPr>
        <w:t>’</w:t>
      </w:r>
      <w:r>
        <w:rPr>
          <w:rFonts w:ascii="sans-serif" w:hAnsi="sans-serif"/>
          <w:b/>
          <w:color w:val="000000"/>
          <w:sz w:val="20"/>
        </w:rPr>
        <w:t>s strategy</w:t>
      </w:r>
      <w:r>
        <w:rPr>
          <w:rFonts w:ascii="sans-serif" w:hAnsi="sans-serif"/>
          <w:b/>
          <w:i/>
          <w:color w:val="000000"/>
          <w:sz w:val="20"/>
        </w:rPr>
        <w:t>:</w:t>
      </w:r>
    </w:p>
    <w:p>
      <w:pPr>
        <w:pStyle w:val="TextBody"/>
        <w:bidi w:val="0"/>
        <w:spacing w:before="200" w:after="283"/>
        <w:jc w:val="left"/>
        <w:rPr>
          <w:rFonts w:ascii="sans-serif" w:hAnsi="sans-serif"/>
          <w:color w:val="000000"/>
          <w:sz w:val="20"/>
        </w:rPr>
      </w:pPr>
      <w:r>
        <w:rPr>
          <w:rFonts w:ascii="sans-serif" w:hAnsi="sans-serif"/>
          <w:color w:val="000000"/>
          <w:sz w:val="20"/>
        </w:rPr>
        <w:t>Segments within the print industry and the film industry face competition from digital substitution. Kodak’s strategy is to:</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Generate profitable revenues through a focus on customers across Kodak’s Print segment, increasing overall share;</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Promote the use of film and expand the applications of Kodak’s film and chemicals to best utilize the existing infrastructure;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Continue to invest in automation and streamline processes to drive cost reductions and operating efficiencies. </w:t>
      </w:r>
    </w:p>
    <w:p>
      <w:pPr>
        <w:pStyle w:val="TextBody"/>
        <w:bidi w:val="0"/>
        <w:spacing w:before="200" w:after="283"/>
        <w:jc w:val="left"/>
        <w:rPr>
          <w:rFonts w:ascii="sans-serif" w:hAnsi="sans-serif"/>
          <w:color w:val="000000"/>
          <w:sz w:val="20"/>
        </w:rPr>
      </w:pPr>
      <w:r>
        <w:rPr>
          <w:rFonts w:ascii="sans-serif" w:hAnsi="sans-serif"/>
          <w:color w:val="000000"/>
          <w:sz w:val="20"/>
        </w:rPr>
        <w:t>A discussion of opportunities and challenges related to Kodak’s strategy follows: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pricing actions,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In Print's digital printing businesses, the PROSPER Inkjet Systems product offerings are expected to grow and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Kodak completed the placement of the first PROSPER 7000 Turbo Press in the third quarter of 2023.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footprint. Kodak completed the placement of the first KODAK PROSPER ULTRA 520 Digital Press in the fourth quarter of 2023.</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Advanced Materials and Chemicals is using Kodak’s deep expertise in chemistry and strengths in deposition and coating processes that come from decades of experience in film manufacturing to work on new initiatives: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 xml:space="preserve">EV/Energy Storage Battery Material Manufacturing - 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On July 13, 2022, Kodak invested </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pPr>
      <w:r>
        <w:rPr>
          <w:rFonts w:ascii="sans-serif" w:hAnsi="sans-serif"/>
          <w:color w:val="000000"/>
          <w:sz w:val="20"/>
        </w:rPr>
        <w:t>$25 million to acquire a minority preferred equity interest in Wildcat Discovery Technologies, Inc. ("Wildcat"), a private technology company that uses proprietary methods to research and develop new battery materials, including an EV battery. Wildcat continues to explore and assess various options and alternatives to fund the future development and commercialization of this technology which may impact the value of Kodak's investment or dilute Kodak's ownership in Wildcat. Kodak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 Kodak has utilized an existing production coating facility to manufacture coated substrates for EV cell assembly. Kodak is evaluating expansion or enhancement of this facility to serve a wider variety of production level customers.</w:t>
      </w:r>
      <w:r>
        <w:rPr>
          <w:color w:val="00000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Reagent Manufacturing - Kodak plans to capitalize on its existing chemical manufacturing expertise, including current production of unregulated Key Starting Materials for pharmaceutical products, to implement an expansion into manufacturing Diagnostic Test Reagent solutions. Kodak has started construction of a Current Good Manufacturing Practice ("cGMP") lab and manufacturing facility to manufacture reagents for healthcare applications within an existing building located at EBP. Production is scheduled to begin in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Light-Blocking Technology - A proprietary technology initially developed for electrophotographic toners is being leveraged to commercialize a carbon-less fabric coating designed to offer superior light management, from complete blackout to selective light filtering, and coating compatibility with an unmatched range of fabrics and also to manage ultraviolet and/or infrared light in addition to visible light. Kodak has installed a production-scale machine to coat fabrics in EBP, located in Rochester, NY and continues to explore strategic alternatives in order to commercialize this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 Kodak is evaluating this unique printing technology and expertise for transparent heaters to be used in biomedical analytical devices and telecom applications such as satellite dishes.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The Company remains interested in working with governmental agencies to leverage its assets and technology to on-shore manufacturing of pharmaceutical and other healthcare materials.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Film and related component manufacturing operations and Kodak Research Laboratories utilize capacity at Eastman Business Park, which helps cost absorption for both Kodak operations and tenants at Eastman Business Park.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 plans to capitalize on its intellectual property through new business or licensing opportunities in 3D printing materials, smart material applications, and printed electronics markets. </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before="200" w:after="283"/>
        <w:jc w:val="left"/>
        <w:rPr>
          <w:rFonts w:ascii="Times New Roman" w:hAnsi="Times New Roman"/>
          <w:sz w:val="20"/>
        </w:rPr>
      </w:pPr>
      <w:bookmarkStart w:id="30" w:name="led293237f20243211713732989449"/>
      <w:bookmarkEnd w:id="30"/>
      <w:r>
        <w:rPr>
          <w:rFonts w:ascii="sans-serif" w:hAnsi="sans-serif"/>
          <w:b/>
          <w:color w:val="000000"/>
          <w:sz w:val="20"/>
        </w:rPr>
        <w:t>2025</w:t>
      </w:r>
      <w:r>
        <w:rPr>
          <w:rFonts w:ascii="Times New Roman" w:hAnsi="Times New Roman"/>
          <w:color w:val="000000"/>
          <w:sz w:val="20"/>
        </w:rPr>
        <w:t xml:space="preserve"> </w:t>
      </w:r>
      <w:r>
        <w:rPr>
          <w:rFonts w:ascii="sans-serif" w:hAnsi="sans-serif"/>
          <w:b/>
          <w:color w:val="000000"/>
          <w:sz w:val="20"/>
        </w:rPr>
        <w:t xml:space="preserve">COMPARED TO </w:t>
      </w:r>
      <w:bookmarkStart w:id="31" w:name="led293237f20243211713733002175"/>
      <w:bookmarkEnd w:id="31"/>
      <w:r>
        <w:rPr>
          <w:rFonts w:ascii="sans-serif" w:hAnsi="sans-serif"/>
          <w:b/>
          <w:color w:val="000000"/>
          <w:sz w:val="20"/>
        </w:rPr>
        <w:t>2024</w:t>
      </w:r>
    </w:p>
    <w:p>
      <w:pPr>
        <w:pStyle w:val="TextBody"/>
        <w:bidi w:val="0"/>
        <w:spacing w:before="200" w:after="283"/>
        <w:jc w:val="left"/>
        <w:rPr>
          <w:rFonts w:ascii="sans-serif" w:hAnsi="sans-serif"/>
          <w:b/>
          <w:color w:val="000000"/>
          <w:sz w:val="20"/>
        </w:rPr>
      </w:pPr>
      <w:r>
        <w:rPr>
          <w:rFonts w:ascii="sans-serif" w:hAnsi="sans-serif"/>
          <w:b/>
          <w:color w:val="000000"/>
          <w:sz w:val="20"/>
        </w:rPr>
        <w:t>FIRST QUARTER RESULTS OF OPERATIONS</w:t>
      </w:r>
    </w:p>
    <w:tbl>
      <w:tblPr>
        <w:tblW w:w="10205" w:type="dxa"/>
        <w:jc w:val="left"/>
        <w:tblInd w:w="0" w:type="dxa"/>
        <w:tblLayout w:type="fixed"/>
        <w:tblCellMar>
          <w:top w:w="28" w:type="dxa"/>
          <w:left w:w="28" w:type="dxa"/>
          <w:bottom w:w="28" w:type="dxa"/>
          <w:right w:w="28" w:type="dxa"/>
        </w:tblCellMar>
      </w:tblPr>
      <w:tblGrid>
        <w:gridCol w:w="4343"/>
        <w:gridCol w:w="146"/>
        <w:gridCol w:w="226"/>
        <w:gridCol w:w="466"/>
        <w:gridCol w:w="181"/>
        <w:gridCol w:w="146"/>
        <w:gridCol w:w="191"/>
        <w:gridCol w:w="455"/>
        <w:gridCol w:w="318"/>
        <w:gridCol w:w="146"/>
        <w:gridCol w:w="226"/>
        <w:gridCol w:w="466"/>
        <w:gridCol w:w="181"/>
        <w:gridCol w:w="146"/>
        <w:gridCol w:w="166"/>
        <w:gridCol w:w="480"/>
        <w:gridCol w:w="318"/>
        <w:gridCol w:w="146"/>
        <w:gridCol w:w="372"/>
        <w:gridCol w:w="694"/>
        <w:gridCol w:w="392"/>
      </w:tblGrid>
      <w:tr>
        <w:trPr/>
        <w:tc>
          <w:tcPr>
            <w:tcW w:w="4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March 31,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Change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(Loss) earnings from operations before interest expense, pension </w:t>
              <w:br/>
              <w:t xml:space="preserve">    income excluding service cost component, other income, net </w:t>
              <w:br/>
              <w: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(Loss) earnings from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w:t>
      </w:r>
    </w:p>
    <w:p>
      <w:pPr>
        <w:pStyle w:val="TextBody"/>
        <w:bidi w:val="0"/>
        <w:spacing w:before="200" w:after="283"/>
        <w:jc w:val="left"/>
        <w:rPr>
          <w:rFonts w:ascii="Times New Roman" w:hAnsi="Times New Roman"/>
          <w:sz w:val="20"/>
        </w:rPr>
      </w:pPr>
      <w:bookmarkStart w:id="32" w:name="led293237f20228201663701475391"/>
      <w:bookmarkEnd w:id="32"/>
      <w:r>
        <w:rPr>
          <w:rFonts w:ascii="sans-serif" w:hAnsi="sans-serif"/>
          <w:color w:val="000000"/>
          <w:sz w:val="20"/>
        </w:rPr>
        <w:t>For the three months ended March 31, 2025</w:t>
      </w:r>
      <w:r>
        <w:rPr>
          <w:rFonts w:ascii="Times New Roman" w:hAnsi="Times New Roman"/>
          <w:color w:val="000000"/>
          <w:sz w:val="20"/>
        </w:rPr>
        <w:t xml:space="preserve"> </w:t>
      </w:r>
      <w:r>
        <w:rPr>
          <w:rFonts w:ascii="sans-serif" w:hAnsi="sans-serif"/>
          <w:color w:val="000000"/>
          <w:sz w:val="20"/>
        </w:rPr>
        <w:t xml:space="preserve">revenues declined </w:t>
      </w:r>
      <w:bookmarkStart w:id="33" w:name="led293315f20228281664394300359"/>
      <w:bookmarkEnd w:id="33"/>
      <w:r>
        <w:rPr>
          <w:rFonts w:ascii="sans-serif" w:hAnsi="sans-serif"/>
          <w:color w:val="000000"/>
          <w:sz w:val="20"/>
        </w:rPr>
        <w:t>$2</w:t>
      </w:r>
      <w:r>
        <w:rPr>
          <w:rFonts w:ascii="Times New Roman" w:hAnsi="Times New Roman"/>
          <w:color w:val="000000"/>
          <w:sz w:val="20"/>
        </w:rPr>
        <w:t xml:space="preserve"> </w:t>
      </w:r>
      <w:r>
        <w:rPr>
          <w:rFonts w:ascii="sans-serif" w:hAnsi="sans-serif"/>
          <w:color w:val="000000"/>
          <w:sz w:val="20"/>
        </w:rPr>
        <w:t xml:space="preserve">million compared with the same period in </w:t>
      </w:r>
      <w:bookmarkStart w:id="34" w:name="led293237f20228201663701716909"/>
      <w:bookmarkEnd w:id="34"/>
      <w:r>
        <w:rPr>
          <w:rFonts w:ascii="sans-serif" w:hAnsi="sans-serif"/>
          <w:color w:val="000000"/>
          <w:sz w:val="20"/>
        </w:rPr>
        <w:t>2024, primarily driven by lower volume in Print ($17 million) and unfavorable foreign currency fluctuations ($3 million), partially offset by improved price and product mix and higher volume in Advanced Materials and Chemicals ($8 million and $7 million, respectively) and more favorable price and product mix in Print ($3 million). See segment discussions for additional details.</w:t>
      </w:r>
    </w:p>
    <w:p>
      <w:pPr>
        <w:pStyle w:val="TextBody"/>
        <w:bidi w:val="0"/>
        <w:spacing w:before="200" w:after="283"/>
        <w:jc w:val="left"/>
        <w:rPr>
          <w:rFonts w:ascii="sans-serif" w:hAnsi="sans-serif"/>
          <w:b/>
          <w:color w:val="000000"/>
          <w:sz w:val="20"/>
        </w:rPr>
      </w:pPr>
      <w:r>
        <w:rPr>
          <w:rFonts w:ascii="sans-serif" w:hAnsi="sans-serif"/>
          <w:b/>
          <w:color w:val="000000"/>
          <w:sz w:val="20"/>
        </w:rPr>
        <w:t>Gross Profit</w:t>
      </w:r>
    </w:p>
    <w:p>
      <w:pPr>
        <w:pStyle w:val="TextBody"/>
        <w:bidi w:val="0"/>
        <w:spacing w:before="200" w:after="283"/>
        <w:jc w:val="left"/>
        <w:rPr>
          <w:rFonts w:ascii="Times New Roman" w:hAnsi="Times New Roman"/>
          <w:sz w:val="20"/>
        </w:rPr>
      </w:pPr>
      <w:bookmarkStart w:id="35" w:name="led293320f20243181713455091557"/>
      <w:bookmarkEnd w:id="35"/>
      <w:r>
        <w:rPr>
          <w:rFonts w:ascii="sans-serif" w:hAnsi="sans-serif"/>
          <w:color w:val="000000"/>
          <w:sz w:val="20"/>
        </w:rPr>
        <w:t>Gross profit for the three months ended March 31, 2025 declined $3</w:t>
      </w:r>
      <w:r>
        <w:rPr>
          <w:rFonts w:ascii="Times New Roman" w:hAnsi="Times New Roman"/>
          <w:color w:val="000000"/>
          <w:sz w:val="20"/>
        </w:rPr>
        <w:t xml:space="preserve"> </w:t>
      </w:r>
      <w:r>
        <w:rPr>
          <w:rFonts w:ascii="sans-serif" w:hAnsi="sans-serif"/>
          <w:color w:val="000000"/>
          <w:sz w:val="20"/>
        </w:rPr>
        <w:t>million compared with the same period in 2024, primarily due to higher aluminum costs ($6 million), higher manufacturing costs in Print and Advanced Materials and Chemicals ($3 million and $2 million, respectively), lower volume in Print ($2 million), unfavorable foreign currency fluctuations ($1 million) and net change in employee benefit reserves ($1 million), partially offset by improved pricing and product mix and volume in Advanced Materials and Chemicals ($7 million and $2 million, respectively) and more favorable price and product mix in Print ($3 million). See segment discussions for additional details.</w:t>
      </w:r>
    </w:p>
    <w:p>
      <w:pPr>
        <w:pStyle w:val="TextBody"/>
        <w:bidi w:val="0"/>
        <w:spacing w:before="200" w:after="283"/>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spacing w:before="200" w:after="283"/>
        <w:jc w:val="left"/>
        <w:rPr>
          <w:rFonts w:ascii="sans-serif" w:hAnsi="sans-serif"/>
          <w:color w:val="000000"/>
          <w:sz w:val="20"/>
        </w:rPr>
      </w:pPr>
      <w:bookmarkStart w:id="36" w:name="led293237f20239201697814713951"/>
      <w:bookmarkEnd w:id="36"/>
      <w:r>
        <w:rPr>
          <w:rFonts w:ascii="sans-serif" w:hAnsi="sans-serif"/>
          <w:color w:val="000000"/>
          <w:sz w:val="20"/>
        </w:rPr>
        <w:t>Consolidated selling and general administrative expenses ("SG&amp;A") was flat in the three months ended March 31, 2025 compared to the prior year period.</w:t>
      </w:r>
    </w:p>
    <w:p>
      <w:pPr>
        <w:pStyle w:val="TextBody"/>
        <w:bidi w:val="0"/>
        <w:spacing w:before="200" w:after="283"/>
        <w:jc w:val="left"/>
        <w:rPr>
          <w:rFonts w:ascii="sans-serif" w:hAnsi="sans-serif"/>
          <w:b/>
          <w:color w:val="000000"/>
          <w:sz w:val="20"/>
        </w:rPr>
      </w:pPr>
      <w:r>
        <w:rPr>
          <w:rFonts w:ascii="sans-serif" w:hAnsi="sans-serif"/>
          <w:b/>
          <w:color w:val="000000"/>
          <w:sz w:val="20"/>
        </w:rPr>
        <w:t>Research and Development Costs</w:t>
      </w:r>
    </w:p>
    <w:p>
      <w:pPr>
        <w:pStyle w:val="TextBody"/>
        <w:bidi w:val="0"/>
        <w:spacing w:before="200" w:after="283"/>
        <w:jc w:val="left"/>
        <w:rPr>
          <w:rFonts w:ascii="Times New Roman" w:hAnsi="Times New Roman"/>
          <w:sz w:val="20"/>
        </w:rPr>
      </w:pPr>
      <w:bookmarkStart w:id="37" w:name="led293237f20229201666276604185"/>
      <w:bookmarkEnd w:id="37"/>
      <w:r>
        <w:rPr>
          <w:rFonts w:ascii="sans-serif" w:hAnsi="sans-serif"/>
          <w:color w:val="000000"/>
          <w:sz w:val="20"/>
        </w:rPr>
        <w:t>Consolidated research and development ("R&amp;D") expenses in the three months ended March 31, 2025</w:t>
      </w:r>
      <w:r>
        <w:rPr>
          <w:rFonts w:ascii="Times New Roman" w:hAnsi="Times New Roman"/>
          <w:color w:val="000000"/>
          <w:sz w:val="20"/>
        </w:rPr>
        <w:t xml:space="preserve"> </w:t>
      </w:r>
      <w:r>
        <w:rPr>
          <w:rFonts w:ascii="sans-serif" w:hAnsi="sans-serif"/>
          <w:color w:val="000000"/>
          <w:sz w:val="20"/>
        </w:rPr>
        <w:t>was flat compared to the prior year period.</w:t>
      </w:r>
    </w:p>
    <w:p>
      <w:pPr>
        <w:pStyle w:val="TextBody"/>
        <w:bidi w:val="0"/>
        <w:spacing w:before="200" w:after="283"/>
        <w:jc w:val="left"/>
        <w:rPr>
          <w:rFonts w:ascii="sans-serif" w:hAnsi="sans-serif"/>
          <w:b/>
          <w:color w:val="000000"/>
          <w:sz w:val="20"/>
        </w:rPr>
      </w:pPr>
      <w:r>
        <w:rPr>
          <w:rFonts w:ascii="sans-serif" w:hAnsi="sans-serif"/>
          <w:b/>
          <w:color w:val="000000"/>
          <w:sz w:val="20"/>
        </w:rPr>
        <w:t>Pension Income Excluding Service Cost Component</w:t>
      </w:r>
    </w:p>
    <w:p>
      <w:pPr>
        <w:pStyle w:val="TextBody"/>
        <w:bidi w:val="0"/>
        <w:spacing w:before="200" w:after="283"/>
        <w:jc w:val="left"/>
        <w:rPr>
          <w:rFonts w:ascii="sans-serif" w:hAnsi="sans-serif"/>
          <w:color w:val="000000"/>
          <w:sz w:val="20"/>
        </w:rPr>
      </w:pPr>
      <w:bookmarkStart w:id="38" w:name="led293237f20239201697817068266"/>
      <w:bookmarkEnd w:id="38"/>
      <w:r>
        <w:rPr>
          <w:rFonts w:ascii="sans-serif" w:hAnsi="sans-serif"/>
          <w:color w:val="000000"/>
          <w:sz w:val="20"/>
        </w:rPr>
        <w:t>Pension income excluding service cost component decreased in the three months ended March 31, 2025 due to lower expected return on assets for the Kodak Retirement Income Plan due to the change in investment strategy in 2024. Refer to Note 13, "Retirement Plans and Other Postretirement Benefits".</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Other Operating Income,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10, "Other Operating Income, Net".</w:t>
      </w:r>
    </w:p>
    <w:p>
      <w:pPr>
        <w:pStyle w:val="TextBody"/>
        <w:bidi w:val="0"/>
        <w:spacing w:before="200" w:after="283"/>
        <w:jc w:val="left"/>
        <w:rPr>
          <w:rFonts w:ascii="sans-serif" w:hAnsi="sans-serif"/>
          <w:b/>
          <w:color w:val="000000"/>
          <w:sz w:val="20"/>
        </w:rPr>
      </w:pPr>
      <w:r>
        <w:rPr>
          <w:rFonts w:ascii="sans-serif" w:hAnsi="sans-serif"/>
          <w:b/>
          <w:color w:val="000000"/>
          <w:sz w:val="20"/>
        </w:rPr>
        <w:t>Other Income,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11, "Other Income, Net".</w:t>
      </w:r>
    </w:p>
    <w:p>
      <w:pPr>
        <w:pStyle w:val="TextBody"/>
        <w:bidi w:val="0"/>
        <w:spacing w:before="200" w:after="283"/>
        <w:jc w:val="left"/>
        <w:rPr>
          <w:rFonts w:ascii="sans-serif" w:hAnsi="sans-serif"/>
          <w:b/>
          <w:color w:val="000000"/>
          <w:sz w:val="20"/>
        </w:rPr>
      </w:pPr>
      <w:r>
        <w:rPr>
          <w:rFonts w:ascii="sans-serif" w:hAnsi="sans-serif"/>
          <w:b/>
          <w:color w:val="000000"/>
          <w:sz w:val="20"/>
        </w:rPr>
        <w:t>REPORTABLE SEGMENTS</w:t>
      </w:r>
    </w:p>
    <w:p>
      <w:pPr>
        <w:pStyle w:val="TextBody"/>
        <w:bidi w:val="0"/>
        <w:spacing w:before="200" w:after="283"/>
        <w:jc w:val="left"/>
        <w:rPr>
          <w:rFonts w:ascii="sans-serif" w:hAnsi="sans-serif"/>
          <w:color w:val="000000"/>
          <w:sz w:val="20"/>
        </w:rPr>
      </w:pPr>
      <w:r>
        <w:rPr>
          <w:rFonts w:ascii="sans-serif" w:hAnsi="sans-serif"/>
          <w:color w:val="000000"/>
          <w:sz w:val="20"/>
        </w:rPr>
        <w:t>Kodak has three reportable segments: Print, Advanced Materials and Chemicals and Brand.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 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 xml:space="preserve">Advanced Materials and Chemicals: </w:t>
      </w:r>
      <w:r>
        <w:rPr>
          <w:rFonts w:ascii="sans-serif" w:hAnsi="sans-serif"/>
          <w:color w:val="000000"/>
          <w:sz w:val="20"/>
        </w:rPr>
        <w:t>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Times New Roman" w:hAnsi="Times New Roman"/>
          <w:sz w:val="20"/>
        </w:rPr>
      </w:pPr>
      <w:r>
        <w:rPr>
          <w:rFonts w:ascii="sans-serif" w:hAnsi="sans-serif"/>
          <w:b/>
          <w:color w:val="000000"/>
          <w:sz w:val="20"/>
        </w:rPr>
        <w:t>All Other</w:t>
      </w:r>
      <w:r>
        <w:rPr>
          <w:rFonts w:ascii="sans-serif" w:hAnsi="sans-serif"/>
          <w:color w:val="000000"/>
          <w:sz w:val="20"/>
        </w:rPr>
        <w:t>: All Other is comprised of the operations of the Eastman Business Park, a more than 1,200-acre technology center and industrial complex.</w:t>
      </w:r>
    </w:p>
    <w:p>
      <w:pPr>
        <w:pStyle w:val="TextBody"/>
        <w:bidi w:val="0"/>
        <w:spacing w:before="200" w:after="283"/>
        <w:jc w:val="left"/>
        <w:rPr>
          <w:rFonts w:ascii="sans-serif" w:hAnsi="sans-serif"/>
          <w:b/>
          <w:color w:val="000000"/>
          <w:sz w:val="20"/>
        </w:rPr>
      </w:pPr>
      <w:r>
        <w:rPr>
          <w:rFonts w:ascii="sans-serif" w:hAnsi="sans-serif"/>
          <w:b/>
          <w:color w:val="000000"/>
          <w:sz w:val="20"/>
        </w:rPr>
        <w:t>Segment Revenues</w:t>
      </w:r>
    </w:p>
    <w:p>
      <w:pPr>
        <w:pStyle w:val="TextBody"/>
        <w:bidi w:val="0"/>
        <w:jc w:val="left"/>
        <w:rPr/>
      </w:pPr>
      <w:r>
        <w:rPr/>
        <w:t> </w:t>
      </w:r>
    </w:p>
    <w:tbl>
      <w:tblPr>
        <w:tblW w:w="6446" w:type="dxa"/>
        <w:jc w:val="left"/>
        <w:tblInd w:w="0" w:type="dxa"/>
        <w:tblLayout w:type="fixed"/>
        <w:tblCellMar>
          <w:top w:w="28" w:type="dxa"/>
          <w:left w:w="28" w:type="dxa"/>
          <w:bottom w:w="28" w:type="dxa"/>
          <w:right w:w="28" w:type="dxa"/>
        </w:tblCellMar>
      </w:tblPr>
      <w:tblGrid>
        <w:gridCol w:w="3541"/>
        <w:gridCol w:w="146"/>
        <w:gridCol w:w="319"/>
        <w:gridCol w:w="659"/>
        <w:gridCol w:w="206"/>
        <w:gridCol w:w="206"/>
        <w:gridCol w:w="319"/>
        <w:gridCol w:w="659"/>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of reportable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Consolidated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Kodak’s segment measure of profit and loss is an adjusted earnings before interest, taxes, depreciation and amortization (“Operational EBITDA”). As demonstrated in the table below, Operational EBITDA represents consolidated (loss) earnings from operations excluding the provision for income taxes; non-service cost components of pension and other postemployment benefits (“OPEB”) income; depreciation and amortization expense; restructuring costs and other; stock-based compensation expense; idle costs; interest expense; other operating income, net and other income, net.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Segment Operational EBITDA and Consolidated (Loss) Earnings from Operations Before Income Taxes</w:t>
      </w:r>
    </w:p>
    <w:tbl>
      <w:tblPr>
        <w:tblW w:w="9325" w:type="dxa"/>
        <w:jc w:val="left"/>
        <w:tblInd w:w="0" w:type="dxa"/>
        <w:tblLayout w:type="fixed"/>
        <w:tblCellMar>
          <w:top w:w="28" w:type="dxa"/>
          <w:left w:w="28" w:type="dxa"/>
          <w:bottom w:w="28" w:type="dxa"/>
          <w:right w:w="28" w:type="dxa"/>
        </w:tblCellMar>
      </w:tblPr>
      <w:tblGrid>
        <w:gridCol w:w="6586"/>
        <w:gridCol w:w="146"/>
        <w:gridCol w:w="330"/>
        <w:gridCol w:w="615"/>
        <w:gridCol w:w="264"/>
        <w:gridCol w:w="213"/>
        <w:gridCol w:w="330"/>
        <w:gridCol w:w="615"/>
        <w:gridCol w:w="226"/>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income, net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component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income, net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Consolidated (loss) earnings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(1) </w:t>
      </w:r>
      <w:r>
        <w:rPr>
          <w:rFonts w:ascii="sans-serif" w:hAnsi="sans-serif"/>
          <w:color w:val="000000"/>
          <w:sz w:val="20"/>
        </w:rPr>
        <w:t>Consists of third-party costs such as security, maintenance and utilities required to maintain land and buildings in certain locations</w:t>
      </w:r>
    </w:p>
    <w:p>
      <w:pPr>
        <w:pStyle w:val="TextBody"/>
        <w:bidi w:val="0"/>
        <w:jc w:val="left"/>
        <w:rPr>
          <w:rFonts w:ascii="sans-serif" w:hAnsi="sans-serif"/>
          <w:color w:val="000000"/>
          <w:sz w:val="20"/>
        </w:rPr>
      </w:pPr>
      <w:r>
        <w:rPr>
          <w:rFonts w:ascii="sans-serif" w:hAnsi="sans-serif"/>
          <w:color w:val="000000"/>
          <w:sz w:val="20"/>
        </w:rPr>
        <w:t>not used in any Kodak operations and the costs, net of any rental income received, of underutilized portions of certain properties.</w:t>
      </w:r>
    </w:p>
    <w:p>
      <w:pPr>
        <w:pStyle w:val="TextBody"/>
        <w:bidi w:val="0"/>
        <w:jc w:val="left"/>
        <w:rPr>
          <w:rFonts w:ascii="Times New Roman" w:hAnsi="Times New Roman"/>
          <w:sz w:val="20"/>
        </w:rPr>
      </w:pPr>
      <w:r>
        <w:rPr>
          <w:rFonts w:ascii="sans-serif" w:hAnsi="sans-serif"/>
          <w:color w:val="000000"/>
          <w:sz w:val="13"/>
        </w:rPr>
        <w:t xml:space="preserve">(2) </w:t>
      </w:r>
      <w:r>
        <w:rPr>
          <w:rFonts w:ascii="sans-serif" w:hAnsi="sans-serif"/>
          <w:color w:val="000000"/>
          <w:sz w:val="20"/>
        </w:rPr>
        <w:t>As reported in the Consolidated Statement of Operations.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Kodak increased employee benefit reserves by approximately $1 million in the three months ended March 31, 2025 due to an increase in workers' compensation reserves driven by changes in discount rates. The increase in reserves in the three months ended March 31, 2025 impacted gross profit by approximately $1 million.</w:t>
      </w:r>
    </w:p>
    <w:p>
      <w:pPr>
        <w:pStyle w:val="TextBody"/>
        <w:bidi w:val="0"/>
        <w:spacing w:before="200" w:after="283"/>
        <w:jc w:val="left"/>
        <w:rPr>
          <w:rFonts w:ascii="Times New Roman" w:hAnsi="Times New Roman"/>
          <w:sz w:val="20"/>
        </w:rPr>
      </w:pPr>
      <w:r>
        <w:rPr>
          <w:rFonts w:ascii="sans-serif" w:hAnsi="sans-serif"/>
          <w:color w:val="000000"/>
          <w:sz w:val="20"/>
        </w:rPr>
        <w:t>Kodak decreased employee benefit reserves by approximately $1 million in the three months ended March 31, 2024 due to a decrease in workers' compensation reserves driven by changes in discount rates. The decrease in reserves in the three months ended March 31, 2024 impacted gross profit by approximately $1 million.</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PRINT SEGMENT</w:t>
      </w:r>
    </w:p>
    <w:tbl>
      <w:tblPr>
        <w:tblW w:w="8240" w:type="dxa"/>
        <w:jc w:val="left"/>
        <w:tblInd w:w="0" w:type="dxa"/>
        <w:tblLayout w:type="fixed"/>
        <w:tblCellMar>
          <w:top w:w="28" w:type="dxa"/>
          <w:left w:w="28" w:type="dxa"/>
          <w:bottom w:w="28" w:type="dxa"/>
          <w:right w:w="28" w:type="dxa"/>
        </w:tblCellMar>
      </w:tblPr>
      <w:tblGrid>
        <w:gridCol w:w="3961"/>
        <w:gridCol w:w="146"/>
        <w:gridCol w:w="269"/>
        <w:gridCol w:w="555"/>
        <w:gridCol w:w="430"/>
        <w:gridCol w:w="174"/>
        <w:gridCol w:w="269"/>
        <w:gridCol w:w="555"/>
        <w:gridCol w:w="340"/>
        <w:gridCol w:w="174"/>
        <w:gridCol w:w="398"/>
        <w:gridCol w:w="743"/>
        <w:gridCol w:w="226"/>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spacing w:before="200" w:after="283"/>
        <w:jc w:val="left"/>
        <w:rPr>
          <w:rFonts w:ascii="sans-serif" w:hAnsi="sans-serif"/>
          <w:color w:val="000000"/>
          <w:sz w:val="20"/>
        </w:rPr>
      </w:pPr>
      <w:r>
        <w:rPr>
          <w:rFonts w:ascii="sans-serif" w:hAnsi="sans-serif"/>
          <w:color w:val="000000"/>
          <w:sz w:val="20"/>
        </w:rPr>
        <w:t>The decrease in Print revenues for the three months ended March 31, 2025 of approximately $17 million reflected reduced volumes in Prepress Solutions ($10 million), lower volumes in Electrophotographic Printing Solutions ("EPS") ($4 million), declines in Software volume ($2 million), reduced volumes in Prosper ($1 million) and unfavorable foreign currency fluctuations ($3 million). These unfavorable impacts were partially offset by favorable pricing and product mix in Prosper and Prepress Solutions ($2 million and $1 million,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Operational EBITDA</w:t>
      </w:r>
    </w:p>
    <w:p>
      <w:pPr>
        <w:pStyle w:val="TextBody"/>
        <w:bidi w:val="0"/>
        <w:spacing w:before="200" w:after="283"/>
        <w:jc w:val="left"/>
        <w:rPr>
          <w:rFonts w:ascii="sans-serif" w:hAnsi="sans-serif"/>
          <w:color w:val="000000"/>
          <w:sz w:val="20"/>
        </w:rPr>
      </w:pPr>
      <w:r>
        <w:rPr>
          <w:rFonts w:ascii="sans-serif" w:hAnsi="sans-serif"/>
          <w:color w:val="000000"/>
          <w:sz w:val="20"/>
        </w:rPr>
        <w:t>Print Operational EBITDA for the three months ended March 31, 2025 declined $9 million primarily related to higher costs for aluminum ($6 million), higher manufacturing costs ($3 million), reduced volumes for Prepress Solutions ($2 million), declines in Software volume ($1 million), reduced volumes in Prosper ($1 million) and net change in employee benefit reserves ($1 million), partially offset by higher margins in EPS ($2 million) and favorable pricing and product mix in Prosper and Prepress Solutions ($2 million and $1 million, respectively).</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ADVANCED MATERIALS AND CHEMICALS SEGMENT</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3961"/>
        <w:gridCol w:w="146"/>
        <w:gridCol w:w="310"/>
        <w:gridCol w:w="474"/>
        <w:gridCol w:w="392"/>
        <w:gridCol w:w="200"/>
        <w:gridCol w:w="310"/>
        <w:gridCol w:w="474"/>
        <w:gridCol w:w="392"/>
        <w:gridCol w:w="200"/>
        <w:gridCol w:w="450"/>
        <w:gridCol w:w="69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spacing w:before="200" w:after="283"/>
        <w:jc w:val="left"/>
        <w:rPr>
          <w:rFonts w:ascii="Times New Roman" w:hAnsi="Times New Roman"/>
          <w:sz w:val="20"/>
        </w:rPr>
      </w:pPr>
      <w:bookmarkStart w:id="39" w:name="led293315f20228281664395085709"/>
      <w:bookmarkEnd w:id="39"/>
      <w:r>
        <w:rPr>
          <w:rFonts w:ascii="sans-serif" w:hAnsi="sans-serif"/>
          <w:color w:val="000000"/>
          <w:sz w:val="20"/>
        </w:rPr>
        <w:t>Advanced Materials and Chemicals revenues for the three months ended March 31, 2025 improved $15</w:t>
      </w:r>
      <w:r>
        <w:rPr>
          <w:rFonts w:ascii="Times New Roman" w:hAnsi="Times New Roman"/>
          <w:color w:val="000000"/>
          <w:sz w:val="20"/>
        </w:rPr>
        <w:t xml:space="preserve"> </w:t>
      </w:r>
      <w:r>
        <w:rPr>
          <w:rFonts w:ascii="sans-serif" w:hAnsi="sans-serif"/>
          <w:color w:val="000000"/>
          <w:sz w:val="20"/>
        </w:rPr>
        <w:t>million primarily from price and product mix improvements and volume increases in Industrial Film and Chemicals (each $6 million) along with improvements in price and product mix and volume ($2 million and $1 million, respectively) in Motion Picture.</w:t>
      </w:r>
    </w:p>
    <w:p>
      <w:pPr>
        <w:pStyle w:val="TextBody"/>
        <w:bidi w:val="0"/>
        <w:spacing w:before="200" w:after="283"/>
        <w:jc w:val="left"/>
        <w:rPr>
          <w:rFonts w:ascii="sans-serif" w:hAnsi="sans-serif"/>
          <w:b/>
          <w:color w:val="000000"/>
          <w:sz w:val="20"/>
        </w:rPr>
      </w:pPr>
      <w:r>
        <w:rPr>
          <w:rFonts w:ascii="sans-serif" w:hAnsi="sans-serif"/>
          <w:b/>
          <w:color w:val="000000"/>
          <w:sz w:val="20"/>
        </w:rPr>
        <w:t>Operational EBITDA</w:t>
      </w:r>
    </w:p>
    <w:p>
      <w:pPr>
        <w:pStyle w:val="TextBody"/>
        <w:bidi w:val="0"/>
        <w:spacing w:before="200" w:after="283"/>
        <w:jc w:val="left"/>
        <w:rPr>
          <w:rFonts w:ascii="Times New Roman" w:hAnsi="Times New Roman"/>
          <w:sz w:val="20"/>
        </w:rPr>
      </w:pPr>
      <w:bookmarkStart w:id="40" w:name="led293330f20228281664395273543"/>
      <w:bookmarkEnd w:id="40"/>
      <w:r>
        <w:rPr>
          <w:rFonts w:ascii="sans-serif" w:hAnsi="sans-serif"/>
          <w:color w:val="000000"/>
          <w:sz w:val="20"/>
        </w:rPr>
        <w:t>Advanced Materials and Chemicals Operational EBITDA improved $6</w:t>
      </w:r>
      <w:r>
        <w:rPr>
          <w:rFonts w:ascii="Times New Roman" w:hAnsi="Times New Roman"/>
          <w:color w:val="000000"/>
          <w:sz w:val="20"/>
        </w:rPr>
        <w:t xml:space="preserve"> </w:t>
      </w:r>
      <w:r>
        <w:rPr>
          <w:rFonts w:ascii="sans-serif" w:hAnsi="sans-serif"/>
          <w:color w:val="000000"/>
          <w:sz w:val="20"/>
        </w:rPr>
        <w:t>million for the three months ended March 31, 2025 primarily due to price and product mix improvements in Industrial Film and Chemicals and Motion Picture ($6 million and $1 million, respectively) and volume increases in Industrial Film and Chemicals ($2 million), partially offset by higher manufacturing costs ($2 million).</w:t>
      </w:r>
    </w:p>
    <w:p>
      <w:pPr>
        <w:pStyle w:val="TextBody"/>
        <w:bidi w:val="0"/>
        <w:spacing w:before="200" w:after="283"/>
        <w:jc w:val="left"/>
        <w:rPr>
          <w:rFonts w:ascii="sans-serif" w:hAnsi="sans-serif"/>
          <w:b/>
          <w:color w:val="000000"/>
          <w:sz w:val="20"/>
        </w:rPr>
      </w:pPr>
      <w:r>
        <w:rPr>
          <w:rFonts w:ascii="sans-serif" w:hAnsi="sans-serif"/>
          <w:b/>
          <w:color w:val="000000"/>
          <w:sz w:val="20"/>
        </w:rPr>
        <w:t>BRAND SEGMENT</w:t>
      </w:r>
    </w:p>
    <w:tbl>
      <w:tblPr>
        <w:tblW w:w="8227" w:type="dxa"/>
        <w:jc w:val="left"/>
        <w:tblInd w:w="0" w:type="dxa"/>
        <w:tblLayout w:type="fixed"/>
        <w:tblCellMar>
          <w:top w:w="28" w:type="dxa"/>
          <w:left w:w="28" w:type="dxa"/>
          <w:bottom w:w="28" w:type="dxa"/>
          <w:right w:w="28" w:type="dxa"/>
        </w:tblCellMar>
      </w:tblPr>
      <w:tblGrid>
        <w:gridCol w:w="3961"/>
        <w:gridCol w:w="146"/>
        <w:gridCol w:w="296"/>
        <w:gridCol w:w="611"/>
        <w:gridCol w:w="375"/>
        <w:gridCol w:w="191"/>
        <w:gridCol w:w="296"/>
        <w:gridCol w:w="453"/>
        <w:gridCol w:w="375"/>
        <w:gridCol w:w="191"/>
        <w:gridCol w:w="450"/>
        <w:gridCol w:w="69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There were no material changes in Brand revenues or Operational EBITDA for the three months ended March 31, 2025 compared to the prior year period.</w:t>
      </w:r>
    </w:p>
    <w:p>
      <w:pPr>
        <w:pStyle w:val="TextBody"/>
        <w:bidi w:val="0"/>
        <w:spacing w:before="200" w:after="283"/>
        <w:jc w:val="left"/>
        <w:rPr>
          <w:rFonts w:ascii="sans-serif" w:hAnsi="sans-serif"/>
          <w:b/>
          <w:color w:val="000000"/>
          <w:sz w:val="20"/>
        </w:rPr>
      </w:pPr>
      <w:r>
        <w:rPr>
          <w:rFonts w:ascii="sans-serif" w:hAnsi="sans-serif"/>
          <w:b/>
          <w:color w:val="000000"/>
          <w:sz w:val="20"/>
        </w:rPr>
        <w:t>RESTRUCTURING COSTS AND OTHER</w:t>
      </w:r>
    </w:p>
    <w:p>
      <w:pPr>
        <w:pStyle w:val="TextBody"/>
        <w:bidi w:val="0"/>
        <w:spacing w:before="200" w:after="283"/>
        <w:jc w:val="left"/>
        <w:rPr>
          <w:rFonts w:ascii="Times New Roman" w:hAnsi="Times New Roman"/>
          <w:sz w:val="20"/>
        </w:rPr>
      </w:pPr>
      <w:bookmarkStart w:id="41" w:name="led293237f20239201697810205885"/>
      <w:bookmarkEnd w:id="41"/>
      <w:r>
        <w:rPr>
          <w:rFonts w:ascii="sans-serif" w:hAnsi="sans-serif"/>
          <w:color w:val="000000"/>
          <w:sz w:val="20"/>
        </w:rPr>
        <w:t>Kodak recorded charges of $5 million for the three months ended March 31, 2025 in Restructuring costs and other in the Consolidated Statement of Operations.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bookmarkStart w:id="42" w:name="led293237f20239201697810290846"/>
      <w:bookmarkEnd w:id="42"/>
      <w:r>
        <w:rPr>
          <w:rFonts w:ascii="sans-serif" w:hAnsi="sans-serif"/>
          <w:color w:val="000000"/>
          <w:sz w:val="20"/>
        </w:rPr>
        <w:t>Kodak made cash payments related to restructuring of approximately $2 million during the three months ended March 31, 2025.</w:t>
      </w:r>
    </w:p>
    <w:p>
      <w:pPr>
        <w:pStyle w:val="TextBody"/>
        <w:bidi w:val="0"/>
        <w:spacing w:before="200" w:after="283"/>
        <w:jc w:val="left"/>
        <w:rPr>
          <w:rFonts w:ascii="sans-serif" w:hAnsi="sans-serif"/>
          <w:color w:val="000000"/>
          <w:sz w:val="20"/>
        </w:rPr>
      </w:pPr>
      <w:r>
        <w:rPr>
          <w:rFonts w:ascii="sans-serif" w:hAnsi="sans-serif"/>
          <w:color w:val="000000"/>
          <w:sz w:val="20"/>
        </w:rPr>
        <w:t>The restructuring actions implemented in the first three months of 2025 are expected to generate future annual cash savings of approximately $8 million, which are expected to reduce future annual SG&amp;A expenses, Cost of revenues and R&amp;D costs by $1 million, $4 million and $3 million, respectively. The majority of the annual savings are expected to be in effect by the end of the second quarter of 2025 as such actions are completed.</w:t>
      </w:r>
    </w:p>
    <w:p>
      <w:pPr>
        <w:pStyle w:val="TextBody"/>
        <w:bidi w:val="0"/>
        <w:spacing w:before="200" w:after="283"/>
        <w:jc w:val="left"/>
        <w:rPr>
          <w:rFonts w:ascii="sans-serif" w:hAnsi="sans-serif"/>
          <w:b/>
          <w:color w:val="000000"/>
          <w:sz w:val="20"/>
        </w:rPr>
      </w:pPr>
      <w:bookmarkStart w:id="43" w:name="liquid"/>
      <w:bookmarkEnd w:id="43"/>
      <w:r>
        <w:rPr>
          <w:rFonts w:ascii="sans-serif" w:hAnsi="sans-serif"/>
          <w:b/>
          <w:color w:val="000000"/>
          <w:sz w:val="20"/>
        </w:rPr>
        <w:t>LIQUIDITY AND CAPITAL RESOURCES</w:t>
      </w:r>
    </w:p>
    <w:p>
      <w:pPr>
        <w:pStyle w:val="TextBody"/>
        <w:bidi w:val="0"/>
        <w:spacing w:before="200" w:after="283"/>
        <w:jc w:val="left"/>
        <w:rPr>
          <w:rFonts w:ascii="Times New Roman" w:hAnsi="Times New Roman"/>
          <w:sz w:val="20"/>
        </w:rPr>
      </w:pPr>
      <w:r>
        <w:rPr>
          <w:rFonts w:ascii="sans-serif" w:hAnsi="sans-serif"/>
          <w:b/>
          <w:color w:val="000000"/>
          <w:sz w:val="20"/>
        </w:rPr>
        <w:t>Management</w:t>
      </w:r>
      <w:r>
        <w:rPr>
          <w:rFonts w:ascii="Times New Roman" w:hAnsi="Times New Roman"/>
          <w:color w:val="000000"/>
          <w:sz w:val="20"/>
        </w:rPr>
        <w:t>’</w:t>
      </w:r>
      <w:r>
        <w:rPr>
          <w:rFonts w:ascii="sans-serif" w:hAnsi="sans-serif"/>
          <w:b/>
          <w:color w:val="000000"/>
          <w:sz w:val="20"/>
        </w:rPr>
        <w:t>s Assessment of Liquidity</w:t>
      </w:r>
      <w:r>
        <w:rPr>
          <w:rFonts w:ascii="Times New Roman" w:hAnsi="Times New Roman"/>
          <w:color w:val="000000"/>
          <w:sz w:val="20"/>
        </w:rPr>
        <w:t xml:space="preserve"> </w:t>
      </w:r>
    </w:p>
    <w:p>
      <w:pPr>
        <w:pStyle w:val="TextBody"/>
        <w:bidi w:val="0"/>
        <w:jc w:val="left"/>
        <w:rPr>
          <w:rFonts w:ascii="Times New Roman" w:hAnsi="Times New Roman"/>
          <w:sz w:val="20"/>
        </w:rPr>
      </w:pPr>
      <w:bookmarkStart w:id="44" w:name="led293246f20228281664397857067"/>
      <w:bookmarkEnd w:id="44"/>
      <w:r>
        <w:rPr>
          <w:rFonts w:ascii="sans-serif" w:hAnsi="sans-serif"/>
          <w:color w:val="000000"/>
          <w:sz w:val="20"/>
        </w:rPr>
        <w:t>Kodak ended the quarter with a cash balance of $158 million, a decrease of $43</w:t>
      </w:r>
      <w:r>
        <w:rPr>
          <w:rFonts w:ascii="Times New Roman" w:hAnsi="Times New Roman"/>
          <w:color w:val="000000"/>
          <w:sz w:val="20"/>
        </w:rPr>
        <w:t xml:space="preserve"> </w:t>
      </w:r>
      <w:r>
        <w:rPr>
          <w:rFonts w:ascii="sans-serif" w:hAnsi="sans-serif"/>
          <w:color w:val="000000"/>
          <w:sz w:val="20"/>
        </w:rPr>
        <w:t xml:space="preserve">million from </w:t>
      </w:r>
      <w:bookmarkStart w:id="45" w:name="led293237f20232271679950210847"/>
      <w:bookmarkEnd w:id="45"/>
      <w:r>
        <w:rPr>
          <w:rFonts w:ascii="sans-serif" w:hAnsi="sans-serif"/>
          <w:color w:val="000000"/>
          <w:sz w:val="20"/>
        </w:rPr>
        <w:t>December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financing transactions entered into during 2023, cash proceeds related to brand licensing arrangements in 2024 and 2023 and savings relating to rationalization, cost reductions and operational efficiencies provided additional liquidity to the Company to fund on‐going operations and to invest in growth opportunities in Kodak’s businesses of print and advanced materials and chemicals and for corporate infrastructure investments expected to contribute to improvements in cash flow.</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Available liquidity includes existing cash balances. The amount of available liquidity is subject to fluctuations and includes cash balances held by various entities worldwide. At March 31, 2025 and December 31, 2024 approximately $65 million and $118 million, respectively, of cash and cash equivalents were held within the U.S. and approximately $93 million and $83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of March 31, 2025 and December 31, 2024, outstanding intercompany loans to the U.S. were $471 million and $483 million, respectively, which included short-term intercompany loans from Kodak’s international finance center of $198 million and $208 million, respectively</w:t>
      </w:r>
      <w:r>
        <w:rPr>
          <w:rFonts w:ascii="sans-serif" w:hAnsi="sans-serif"/>
          <w:b/>
          <w:color w:val="000000"/>
          <w:sz w:val="20"/>
        </w:rPr>
        <w:t xml:space="preserve">. </w:t>
      </w:r>
      <w:r>
        <w:rPr>
          <w:rFonts w:ascii="sans-serif" w:hAnsi="sans-serif"/>
          <w:color w:val="000000"/>
          <w:sz w:val="20"/>
        </w:rPr>
        <w:t>In China, where approximately $39 million and $29 million of cash and cash equivalents was held as of March 31, 2025 and December 31, 2024,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Company’s Hong Kong subsidiary has an intercompany loan from one of the Company’s Chinese subsidiaries with a maturity date of November 16, 2026, the proceeds of which were in turn loaned to the Company. The terms of the intercompany loan require the Company to make efforts to repay the outstanding loan balance prior to maturity. The outstanding amount of the intercompany loan as of March 31, 2025 was $68 million. The Company is evaluating repayment alternatives for the current loan agreement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Kodak's cash flows continue to be negatively impacted by volume declines, higher manufacturing costs and increased labor, material and distribution costs, supply chain disruptions and shortages in materials and labor. The impacts from price increases, continued cost reduction actions and supply chain-related cost improvements continue to positively impact Kodak’s operations.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February 26, 2025, the Company entered into the First Amendment to the Amended and Restated Term Loan Credit Agreement (the “February 2025 Term Loan Credit Agreement Amendment”) and an amendment to the Amended and Restated L/C Facility Agreement (the “2025 L/C Facility Agreement Amendment”) to modify the maturity date under each agreement. To the extent the Series B or Series C Preferred Stock maturity date is not extended, and the shares remain outstanding, then the maturity date of the Term Loans will be accelerated from August 15, 2028 to May 22, 2026. In addition, the maturity date under the 2025 Amended and Restated L/C Facility Agreement would be accelerated to May 12, 2026.</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May 7, 2025, the Company entered into the Second Amendment to the Amended and Restated Term Loan Credit Agreement (the “May 2025 Term Loan Credit Agreement Amendment”, together the February 2025 Term Loan Credit Agreement Amendment, the “2025 Term Loan Credit Agreement Amendments”). The May 2025 Term Loan Credit Agreement Amendment provides the Company the option to pay the cash interest payment entirely in PIK for the next six quarterly interest payments and revises the mandatory prepayment provisions under the Amended and Restated Term Loan Credit Agreement relating to certain transactions (see further discussion below under Kodak Retirement Income Plan section).</w:t>
      </w:r>
    </w:p>
    <w:p>
      <w:pPr>
        <w:pStyle w:val="TextBody"/>
        <w:bidi w:val="0"/>
        <w:spacing w:before="200" w:after="283"/>
        <w:jc w:val="left"/>
        <w:rPr>
          <w:rFonts w:ascii="Times New Roman" w:hAnsi="Times New Roman"/>
          <w:sz w:val="20"/>
        </w:rPr>
      </w:pPr>
      <w:r>
        <w:rPr>
          <w:rFonts w:ascii="sans-serif" w:hAnsi="sans-serif"/>
          <w:color w:val="000000"/>
          <w:sz w:val="20"/>
        </w:rPr>
        <w:t>Kodak's plans to return to sustainable positive cash flow include generating profitable revenues through continued pricing actions and customer-focused initiatives,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 In addition, proceeds received from the settlement of the KRIP, after required debt prepayments, as further discussed below, would be available for use for strategic growth or general corporate purposes.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the war in Ukraine and the conflicts involving Israel, and other factors such as the ability to continue to secure raw materials and components, the ability to increase prices to offset rising product costs or how quickly and to what extent normal economic and operating conditions can resume.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order to provide flexibility to respond as necessary to changes in the business and economic environment and to maintain sufficient U.S. liquidity, Kodak may accelerate the restructuring of Kodak’s cost structure, reduce or slow spend on capital expenditures and other investments, increase prices and implement working capital improvement initiatives.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Kodak believes its liquidity position is adequate to fund its operating and investing needs within the next twelve months from the date of this filing.</w:t>
      </w:r>
    </w:p>
    <w:p>
      <w:pPr>
        <w:pStyle w:val="TextBody"/>
        <w:bidi w:val="0"/>
        <w:jc w:val="left"/>
        <w:rPr>
          <w:rFonts w:ascii="Times New Roman" w:hAnsi="Times New Roman"/>
          <w:sz w:val="20"/>
        </w:rPr>
      </w:pPr>
      <w:r>
        <w:rPr>
          <w:rFonts w:ascii="sans-serif" w:hAnsi="sans-serif"/>
          <w:color w:val="000000"/>
          <w:sz w:val="20"/>
        </w:rPr>
        <w:t>Kodak has not extended or refinanced the existing Series B and Series C Preferred Stock past their current maturities of May 28, 2026. Kodak has debt coming due on May 22, 2026 and does not have committed financing or available liquidity to meet such debt obligations if they were to become due in accordance with their current terms.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Kodak’s ability to adequately fund its existing preferred stock and debt obligations when they come due are dependent on obtaining sufficient proceeds from the expected reversion of cash to the Company upon settlement of obligations under the KRIP</w:t>
      </w:r>
      <w:r>
        <w:rPr>
          <w:rFonts w:ascii="Times New Roman" w:hAnsi="Times New Roman"/>
          <w:color w:val="000000"/>
          <w:sz w:val="20"/>
        </w:rPr>
        <w:t xml:space="preserve"> </w:t>
      </w:r>
      <w:r>
        <w:rPr>
          <w:rFonts w:ascii="sans-serif" w:hAnsi="sans-serif"/>
          <w:color w:val="000000"/>
          <w:sz w:val="20"/>
        </w:rPr>
        <w:t>to reduce the amount of the Term Loans and to (i) convert, redeem, extend or refinance the existing Series B and Series C Preferred Stock past their current maturities of May 28, 2026, (ii) amend, extend or refinance the remaining outstanding Term Loans past the current maturity of May 22, 2026, and (iii) replace collateral currently supporting the letters of credit issued under the L/C Facility Agreement. These actions are dependent upon several external factors outside Kodak’s control. Kodak makes no assurances regarding the likelihood, certainty or timing of consummating any refinancing transaction, or the sufficiency of any such actions to meet Kodak’s preferred stock or debt obligations, including other commitments in the U.S. as they come due.</w:t>
      </w:r>
    </w:p>
    <w:p>
      <w:pPr>
        <w:pStyle w:val="TextBody"/>
        <w:bidi w:val="0"/>
        <w:spacing w:before="200" w:after="283"/>
        <w:jc w:val="left"/>
        <w:rPr>
          <w:rFonts w:ascii="sans-serif" w:hAnsi="sans-serif"/>
          <w:b/>
          <w:color w:val="000000"/>
          <w:sz w:val="20"/>
        </w:rPr>
      </w:pPr>
      <w:r>
        <w:rPr>
          <w:rFonts w:ascii="sans-serif" w:hAnsi="sans-serif"/>
          <w:b/>
          <w:color w:val="000000"/>
          <w:sz w:val="20"/>
        </w:rPr>
        <w:t>Kodak Retirement Income Plan</w:t>
      </w:r>
    </w:p>
    <w:p>
      <w:pPr>
        <w:pStyle w:val="TextBody"/>
        <w:bidi w:val="0"/>
        <w:spacing w:before="200" w:after="283"/>
        <w:jc w:val="left"/>
        <w:rPr>
          <w:rFonts w:ascii="sans-serif" w:hAnsi="sans-serif"/>
          <w:color w:val="000000"/>
          <w:sz w:val="20"/>
        </w:rPr>
      </w:pPr>
      <w:r>
        <w:rPr>
          <w:rFonts w:ascii="sans-serif" w:hAnsi="sans-serif"/>
          <w:color w:val="000000"/>
          <w:sz w:val="20"/>
        </w:rPr>
        <w:t>On January 21, 2025, the Board of Directors of Kodak approved the termination of KRIP effective March 31, 2025, at which time all benefits under KRIP were frozen. In addition, the Board of Directors approved a defined benefit retirement plan (the “Kodak Cash Balance Plan”) as a replacement for KRIP which became effective on March 1, 2025 for new hires and April 1, 2025 for current employees. The benefits under the Kodak Cash Balance Plan are substantially the same as those under the cash balance feature of KRIP. Kodak expects that KRIP’s liabilities would be satisfied through a combination of lump sum distributions to active and terminated vested participants who elect a lump sum distribution and the purchase of an annuity from an insurance company with respect to existing KRIP annuity obligations for current retirees and beneficiaries and annuity obligations arising from the termination to active and terminated vested participants who do not elect to receive lump sum distributions. The cost to satisfy KRIP’s liabilities will be affected by a variety of factors including interest rate fluctuations, the portion of active and terminated vested participants who elect lump-sum distributions, the premium payable to purchase the annuity, and other actuarial factors used to calculate the value of KRIP’s ongoing annuity obligations. While KRIP has hedging arrangements in place designed to hedge interest rates for practically all of KRIP’s liabilities, a significant portion of those arrangements are linked to fluctuations in US treasury rates and would not hedge against changes to the difference between the discount rates used to value KRIP’s liabilities and US treasury rates (i.e., the credit spread) or non-interest rate factors that may influence the amount of KRIP’s liabilities.</w:t>
      </w:r>
    </w:p>
    <w:p>
      <w:pPr>
        <w:pStyle w:val="TextBody"/>
        <w:bidi w:val="0"/>
        <w:spacing w:before="200" w:after="283"/>
        <w:jc w:val="left"/>
        <w:rPr>
          <w:rFonts w:ascii="sans-serif" w:hAnsi="sans-serif"/>
          <w:color w:val="000000"/>
          <w:sz w:val="20"/>
        </w:rPr>
      </w:pPr>
      <w:r>
        <w:rPr>
          <w:rFonts w:ascii="sans-serif" w:hAnsi="sans-serif"/>
          <w:color w:val="000000"/>
          <w:sz w:val="20"/>
        </w:rPr>
        <w:t>After KRIP’s liabilities and applicable legal requirements have been satisfied, KRIP’s surplus assets would revert to Kodak as the settlor of KRIP subject to an excise tax. Based on current assumptions, Kodak estimates KRIP would have surplus assets of between $750 million and $900 million after the satisfaction of KRIP’s liabilities. The actual amount of surplus assets available after the satisfaction of KRIP’s liabilities will be affected by the actual amount paid to satisfy KRIP’s liabilities, the return on KRIP’s assets during the period over which KRIP’s assets are liquidated and its liabilities satisfied (the “Liquidation Period”), the degree to which KRIP’s hedging strategy is effective in hedging fluctuations in the amount of KRIP’s liabilities during the Liquidation Period, the amounts realized from Hedge Fund Assets in the course of their redemption during the Liquidation Period, the amounts realized from distributions from or any sale of remaining KRIP Illiquid Assets during the Liquidation Period, the value of Hedge Fund Assets or KRIP Illiquid Assets held in the portfolio at the time of reversion, actuarial experience on plan liabilities during the Liquidation Period, the duration of the Liquidation Period, and the costs associated with the termination and liquidation process.</w:t>
      </w:r>
    </w:p>
    <w:p>
      <w:pPr>
        <w:pStyle w:val="TextBody"/>
        <w:bidi w:val="0"/>
        <w:spacing w:before="200" w:after="283"/>
        <w:jc w:val="left"/>
        <w:rPr>
          <w:rFonts w:ascii="sans-serif" w:hAnsi="sans-serif"/>
          <w:color w:val="000000"/>
          <w:sz w:val="20"/>
        </w:rPr>
      </w:pPr>
      <w:r>
        <w:rPr>
          <w:rFonts w:ascii="sans-serif" w:hAnsi="sans-serif"/>
          <w:color w:val="000000"/>
          <w:sz w:val="20"/>
        </w:rPr>
        <w:t>In order to reduce the amount of the surplus assets subject to excise tax and to reduce the rate of the excise tax from 50% to 20%, Kodak expects that it would direct the transfer of or otherwise contribute 25% of the surplus assets (which may include all or a significant portion of remaining non-cash assets) to the Kodak Cash Balance Plan (the “Replacement Plan”). After the capitalization of the Replacement Plan and the payment of the 20% excise tax on the remaining surplus, Kodak projects it would receive proceeds from KRIP having a value of between $450 million and $540 million. Kodak believes no material amount of income tax would be owed on this amount due to available tax attributes. In addition to the proceeds received by Kodak from KRIP, the Replacement Plan is projected to have assets having a value of between $190 million and $225 million which would allow Kodak to provide valuable benefits to its current employee base for the foreseeable future without additional cash cost to Kodak.</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Under the terms of the 2025 Term Loan Credit Agreement Amendments, Kodak is obligated to use 100% of the net cash proceeds of any reversion from KRIP (“Reversion Proceeds”) to prepay Term Loans outstanding under the Amended and Restated Term Loan Credit Agreement until the amount of the Term Loans is reduced to $200 million and, thereafter, to use 50% of the Reversion Proceeds to prepay Term Loans until the amount of the Term Loans is reduced to $100 million, in each case plus a 1% prepayment fee. Reversion Proceeds not used to prepay Term Loans would be included in the calculation of Excess Cash Flow as defined in the Amended and Restated Term Loan Credit Agreement and could thereby trigger additional prepayment obligations under the Amended and Restated Term Loan Credit Agreement which cannot be estimated at this time. Assuming these obligations are not amended, waived or otherwise modified in the interim, no other prepayments are made in the interim, and Kodak uses the Reversion Proceeds to prepay only the minimum amount required under the Amended and Restated Term Loan Credit Agreement, Kodak expects it would use approximately $380 million of the Reversion Proceeds to satisfy these obligations, leaving a Term Loan balance of approximately $160 million and yielding an annual interest cost savings of approximately $40 million. Based on all of the foregoing projections and after the projected prepayment of Term Loans, Kodak projects that it would receive cash or other assets from the KRIP surplus having a value of between $70 million and $160 million.</w:t>
      </w:r>
    </w:p>
    <w:p>
      <w:pPr>
        <w:pStyle w:val="TextBody"/>
        <w:bidi w:val="0"/>
        <w:spacing w:before="200" w:after="283"/>
        <w:jc w:val="left"/>
        <w:rPr>
          <w:rFonts w:ascii="sans-serif" w:hAnsi="sans-serif"/>
          <w:color w:val="000000"/>
          <w:sz w:val="20"/>
        </w:rPr>
      </w:pPr>
      <w:r>
        <w:rPr>
          <w:rFonts w:ascii="sans-serif" w:hAnsi="sans-serif"/>
          <w:color w:val="000000"/>
          <w:sz w:val="20"/>
        </w:rPr>
        <w:t>At the time the formal determination was made to terminate KRIP, Kodak estimated that it would take between 10 and 12 months to determine and satisfy KRIP’s liabilities and between 11 and 15 months before Kodak receives any Reversion Proceeds; however, these time frames are subject to factors beyond Kodak’s control including (i) the availability of an annuity product to satisfy KRIP’s annuity obligations at an acceptable cost and on acceptable terms, (ii) the continued conversion of investments into cash or other liquid assets at the pace currently anticipated, and (iii) regulatory review and approval of various aspects of the terms of KRIP, KRIP’s activities, and the termination and liquidation process.</w:t>
      </w:r>
    </w:p>
    <w:p>
      <w:pPr>
        <w:pStyle w:val="TextBody"/>
        <w:bidi w:val="0"/>
        <w:spacing w:before="200" w:after="283"/>
        <w:jc w:val="left"/>
        <w:rPr>
          <w:rFonts w:ascii="sans-serif" w:hAnsi="sans-serif"/>
          <w:b/>
          <w:color w:val="000000"/>
          <w:sz w:val="20"/>
        </w:rPr>
      </w:pPr>
      <w:r>
        <w:rPr>
          <w:rFonts w:ascii="sans-serif" w:hAnsi="sans-serif"/>
          <w:b/>
          <w:color w:val="000000"/>
          <w:sz w:val="20"/>
        </w:rPr>
        <w:t>Letter of Credit Facility Agreement</w:t>
      </w:r>
    </w:p>
    <w:p>
      <w:pPr>
        <w:pStyle w:val="TextBody"/>
        <w:bidi w:val="0"/>
        <w:spacing w:before="200" w:after="283"/>
        <w:jc w:val="left"/>
        <w:rPr>
          <w:rFonts w:ascii="Times New Roman" w:hAnsi="Times New Roman"/>
          <w:sz w:val="20"/>
        </w:rPr>
      </w:pPr>
      <w:bookmarkStart w:id="46" w:name="led293237f20242261711470288355"/>
      <w:bookmarkEnd w:id="46"/>
      <w:r>
        <w:rPr>
          <w:rFonts w:ascii="sans-serif" w:hAnsi="sans-serif"/>
          <w:color w:val="000000"/>
          <w:sz w:val="20"/>
        </w:rPr>
        <w:t>Approximately $24 million and $27 million of letters of credit were issued under the Amended and Restated L/C Facility Agreement as of March 31, 2025</w:t>
      </w:r>
      <w:r>
        <w:rPr>
          <w:rFonts w:ascii="Times New Roman" w:hAnsi="Times New Roman"/>
          <w:color w:val="000000"/>
          <w:sz w:val="20"/>
        </w:rPr>
        <w:t xml:space="preserve"> </w:t>
      </w:r>
      <w:r>
        <w:rPr>
          <w:rFonts w:ascii="sans-serif" w:hAnsi="sans-serif"/>
          <w:color w:val="000000"/>
          <w:sz w:val="20"/>
        </w:rPr>
        <w:t>and December 31, 2024</w:t>
      </w:r>
      <w:bookmarkStart w:id="47" w:name="led293237f20242261711470319489"/>
      <w:bookmarkEnd w:id="47"/>
      <w:r>
        <w:rPr>
          <w:rFonts w:ascii="sans-serif" w:hAnsi="sans-serif"/>
          <w:color w:val="000000"/>
          <w:sz w:val="20"/>
        </w:rPr>
        <w:t>, respectively. The letters of credit under the Amended and Restated L/C Facility Agreement are collateralized by cash collateral (the “L/C Cash Collateral”). The L/C Cash Collateral was $25 million and $29 million at March 31, 2025, and December 31, 2024, respectively, which was classified as Restricted Cash.</w:t>
      </w:r>
    </w:p>
    <w:p>
      <w:pPr>
        <w:pStyle w:val="TextBody"/>
        <w:bidi w:val="0"/>
        <w:spacing w:before="200" w:after="283"/>
        <w:jc w:val="left"/>
        <w:rPr>
          <w:rFonts w:ascii="sans-serif" w:hAnsi="sans-serif"/>
          <w:b/>
          <w:color w:val="000000"/>
          <w:sz w:val="20"/>
        </w:rPr>
      </w:pPr>
      <w:r>
        <w:rPr>
          <w:rFonts w:ascii="sans-serif" w:hAnsi="sans-serif"/>
          <w:b/>
          <w:color w:val="000000"/>
          <w:sz w:val="20"/>
        </w:rPr>
        <w:t>Cash Flow</w:t>
      </w:r>
    </w:p>
    <w:p>
      <w:pPr>
        <w:pStyle w:val="TextBody"/>
        <w:bidi w:val="0"/>
        <w:spacing w:before="200" w:after="283"/>
        <w:jc w:val="left"/>
        <w:rPr>
          <w:rFonts w:ascii="sans-serif" w:hAnsi="sans-serif"/>
          <w:color w:val="000000"/>
          <w:sz w:val="20"/>
        </w:rPr>
      </w:pPr>
      <w:r>
        <w:rPr>
          <w:rFonts w:ascii="sans-serif" w:hAnsi="sans-serif"/>
          <w:color w:val="000000"/>
          <w:sz w:val="20"/>
        </w:rPr>
        <w:t>Cash, cash equivalents and restricted cash balances were as follows:</w:t>
      </w:r>
    </w:p>
    <w:p>
      <w:pPr>
        <w:pStyle w:val="TextBody"/>
        <w:bidi w:val="0"/>
        <w:jc w:val="left"/>
        <w:rPr/>
      </w:pPr>
      <w:r>
        <w:rPr/>
        <w:t> </w:t>
      </w:r>
    </w:p>
    <w:tbl>
      <w:tblPr>
        <w:tblW w:w="7770" w:type="dxa"/>
        <w:jc w:val="left"/>
        <w:tblInd w:w="0" w:type="dxa"/>
        <w:tblLayout w:type="fixed"/>
        <w:tblCellMar>
          <w:top w:w="28" w:type="dxa"/>
          <w:left w:w="28" w:type="dxa"/>
          <w:bottom w:w="28" w:type="dxa"/>
          <w:right w:w="28" w:type="dxa"/>
        </w:tblCellMar>
      </w:tblPr>
      <w:tblGrid>
        <w:gridCol w:w="4291"/>
        <w:gridCol w:w="146"/>
        <w:gridCol w:w="392"/>
        <w:gridCol w:w="808"/>
        <w:gridCol w:w="146"/>
        <w:gridCol w:w="146"/>
        <w:gridCol w:w="539"/>
        <w:gridCol w:w="111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Cash Flow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45"/>
        <w:gridCol w:w="146"/>
        <w:gridCol w:w="288"/>
        <w:gridCol w:w="537"/>
        <w:gridCol w:w="230"/>
        <w:gridCol w:w="186"/>
        <w:gridCol w:w="288"/>
        <w:gridCol w:w="537"/>
        <w:gridCol w:w="181"/>
        <w:gridCol w:w="146"/>
        <w:gridCol w:w="800"/>
        <w:gridCol w:w="1492"/>
        <w:gridCol w:w="229"/>
      </w:tblGrid>
      <w:tr>
        <w:trPr/>
        <w:tc>
          <w:tcPr>
            <w:tcW w:w="5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Year-Over-Year Change</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Operating Activities</w:t>
      </w:r>
    </w:p>
    <w:p>
      <w:pPr>
        <w:pStyle w:val="TextBody"/>
        <w:bidi w:val="0"/>
        <w:spacing w:before="200" w:after="283"/>
        <w:jc w:val="left"/>
        <w:rPr>
          <w:rFonts w:ascii="Times New Roman" w:hAnsi="Times New Roman"/>
          <w:sz w:val="20"/>
        </w:rPr>
      </w:pPr>
      <w:r>
        <w:rPr>
          <w:rFonts w:ascii="sans-serif" w:hAnsi="sans-serif"/>
          <w:color w:val="000000"/>
          <w:sz w:val="20"/>
        </w:rPr>
        <w:t>Net cash from operating activities declined $55 million for the three months ended March 31, 2025 as compared with the corresponding period in 2024 primarily due to an increase in trade receivables of $61 million primarily driven by $40 million of cash</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proceeds related to brand licensing received in the first quarter of 2024, partially offset by a decrease in miscellaneous receivables ($5 million).</w:t>
      </w:r>
    </w:p>
    <w:p>
      <w:pPr>
        <w:pStyle w:val="TextBody"/>
        <w:bidi w:val="0"/>
        <w:spacing w:before="200" w:after="283"/>
        <w:jc w:val="left"/>
        <w:rPr>
          <w:rFonts w:ascii="sans-serif" w:hAnsi="sans-serif"/>
          <w:b/>
          <w:i/>
          <w:color w:val="000000"/>
          <w:sz w:val="20"/>
        </w:rPr>
      </w:pPr>
      <w:r>
        <w:rPr>
          <w:rFonts w:ascii="sans-serif" w:hAnsi="sans-serif"/>
          <w:b/>
          <w:i/>
          <w:color w:val="000000"/>
          <w:sz w:val="20"/>
        </w:rPr>
        <w:t>Investing Activities</w:t>
      </w:r>
    </w:p>
    <w:p>
      <w:pPr>
        <w:pStyle w:val="TextBody"/>
        <w:bidi w:val="0"/>
        <w:spacing w:before="200" w:after="283"/>
        <w:jc w:val="left"/>
        <w:rPr>
          <w:rFonts w:ascii="Times New Roman" w:hAnsi="Times New Roman"/>
          <w:sz w:val="20"/>
        </w:rPr>
      </w:pPr>
      <w:r>
        <w:rPr>
          <w:rFonts w:ascii="sans-serif" w:hAnsi="sans-serif"/>
          <w:color w:val="000000"/>
          <w:sz w:val="20"/>
        </w:rPr>
        <w:t>Net cash used in investing activities for the three months ended March 31, 2025 increased $14 million compared to the corresponding period in 2024 due to a decrease in proceeds received related to the sale of assets of $12 million and an increase in capital expenditures of $2 million.</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Financing Activities</w:t>
      </w:r>
    </w:p>
    <w:p>
      <w:pPr>
        <w:pStyle w:val="TextBody"/>
        <w:bidi w:val="0"/>
        <w:spacing w:before="200" w:after="283"/>
        <w:jc w:val="left"/>
        <w:rPr>
          <w:rFonts w:ascii="Times New Roman" w:hAnsi="Times New Roman"/>
          <w:sz w:val="20"/>
        </w:rPr>
      </w:pPr>
      <w:bookmarkStart w:id="48" w:name="led293340f20239231698088742469"/>
      <w:bookmarkEnd w:id="48"/>
      <w:r>
        <w:rPr>
          <w:rFonts w:ascii="sans-serif" w:hAnsi="sans-serif"/>
          <w:color w:val="000000"/>
          <w:sz w:val="20"/>
        </w:rPr>
        <w:t>Net cash used in financing activities for the three months ended March 31, 2025 decreased $16</w:t>
      </w:r>
      <w:r>
        <w:rPr>
          <w:rFonts w:ascii="Times New Roman" w:hAnsi="Times New Roman"/>
          <w:color w:val="000000"/>
          <w:sz w:val="20"/>
        </w:rPr>
        <w:t xml:space="preserve"> </w:t>
      </w:r>
      <w:r>
        <w:rPr>
          <w:rFonts w:ascii="sans-serif" w:hAnsi="sans-serif"/>
          <w:color w:val="000000"/>
          <w:sz w:val="20"/>
        </w:rPr>
        <w:t>million compared to the corresponding period in 2024 primarily driven by the $17 million Amended and Restated Term Loan prepayment in the prior year period.</w:t>
      </w:r>
    </w:p>
    <w:p>
      <w:pPr>
        <w:pStyle w:val="TextBody"/>
        <w:bidi w:val="0"/>
        <w:spacing w:before="200" w:after="283"/>
        <w:jc w:val="left"/>
        <w:rPr>
          <w:rFonts w:ascii="Times New Roman" w:hAnsi="Times New Roman"/>
          <w:sz w:val="20"/>
        </w:rPr>
      </w:pPr>
      <w:r>
        <w:rPr>
          <w:rFonts w:ascii="sans-serif" w:hAnsi="sans-serif"/>
          <w:b/>
          <w:color w:val="000000"/>
          <w:sz w:val="20"/>
        </w:rPr>
        <w:t>Other Collateral Requirements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Further, the NYS WCB confirmed the Company can request a review of the security deposits supporting the historical liability beginning on July 1, 2025 with the submission of a current actuarial report. Based on the results of the actuarial valuation report, the required security deposits may be eligible for reduction in 2025 and future periods.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$5.1 million per year between 2014 and 2024. Accordingly, subject to the possibility of other changes to the calculation of required security deposits by the NYS WCB, the Company expects the amount of the required security deposits to decline over time and the gradual return of the security deposits that have been made or the capital used to support such security deposits.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the third quarter of 2023, the Company deposited $68 million directly with the NYS WCB and cancelled the corresponding letter of credit supporting the associated liability. As of March 31, 2025, the Company had $45 million of surety bonds and $30 million deposited directly with the NYS WCB supporting the associated liability. The surety bonds are collateralized with $26 million of cash and the Company could be required to provide up to $19 million of cash or letters of credit to the issuers of certain surety bonds in the future to fully collateralize the bonds.</w:t>
      </w:r>
    </w:p>
    <w:p>
      <w:pPr>
        <w:pStyle w:val="TextBody"/>
        <w:bidi w:val="0"/>
        <w:spacing w:before="200" w:after="283"/>
        <w:jc w:val="left"/>
        <w:rPr>
          <w:rFonts w:ascii="sans-serif" w:hAnsi="sans-serif"/>
          <w:b/>
          <w:color w:val="000000"/>
          <w:sz w:val="20"/>
        </w:rPr>
      </w:pPr>
      <w:r>
        <w:rPr>
          <w:rFonts w:ascii="sans-serif" w:hAnsi="sans-serif"/>
          <w:b/>
          <w:color w:val="000000"/>
          <w:sz w:val="20"/>
        </w:rPr>
        <w:t>Other Uses of Cash Related to Financing Transactions</w:t>
      </w:r>
    </w:p>
    <w:p>
      <w:pPr>
        <w:pStyle w:val="TextBody"/>
        <w:bidi w:val="0"/>
        <w:spacing w:before="200" w:after="283"/>
        <w:jc w:val="left"/>
        <w:rPr>
          <w:rFonts w:ascii="sans-serif" w:hAnsi="sans-serif"/>
          <w:color w:val="000000"/>
          <w:sz w:val="20"/>
        </w:rPr>
      </w:pPr>
      <w:r>
        <w:rPr>
          <w:rFonts w:ascii="sans-serif" w:hAnsi="sans-serif"/>
          <w:color w:val="000000"/>
          <w:sz w:val="20"/>
        </w:rPr>
        <w:t>The holders of the Term Loans are entitled to quarterly cash interest payments at a rate of 7.5% per annum and holders of the Series B Preferred Stock are entitled to cumulative dividends payable quarterly in cash at a rate of 4.0% per annum. All interest and dividends have been paid when due.</w:t>
      </w:r>
    </w:p>
    <w:p>
      <w:pPr>
        <w:pStyle w:val="TextBody"/>
        <w:bidi w:val="0"/>
        <w:spacing w:before="200" w:after="283"/>
        <w:jc w:val="left"/>
        <w:rPr>
          <w:rFonts w:ascii="Times New Roman" w:hAnsi="Times New Roman"/>
          <w:sz w:val="20"/>
        </w:rPr>
      </w:pPr>
      <w:r>
        <w:rPr>
          <w:rFonts w:ascii="sans-serif" w:hAnsi="sans-serif"/>
          <w:b/>
          <w:color w:val="000000"/>
          <w:sz w:val="20"/>
        </w:rPr>
        <w:t>Defined Benefit Pension and Postretirement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49" w:name="led293290f20228201663701602608"/>
      <w:bookmarkEnd w:id="49"/>
      <w:r>
        <w:rPr>
          <w:rFonts w:ascii="sans-serif" w:hAnsi="sans-serif"/>
          <w:color w:val="000000"/>
          <w:sz w:val="20"/>
        </w:rPr>
        <w:t>Kodak made net contributions (funded plans) or paid benefits (unfunded plans) totaling approximately $7 million to its non-U.S. defined benefit pension and postretirement benefit plans in the first three</w:t>
      </w:r>
      <w:r>
        <w:rPr>
          <w:rFonts w:ascii="Times New Roman" w:hAnsi="Times New Roman"/>
          <w:color w:val="000000"/>
          <w:sz w:val="20"/>
        </w:rPr>
        <w:t xml:space="preserve"> </w:t>
      </w:r>
      <w:r>
        <w:rPr>
          <w:rFonts w:ascii="sans-serif" w:hAnsi="sans-serif"/>
          <w:color w:val="000000"/>
          <w:sz w:val="20"/>
        </w:rPr>
        <w:t xml:space="preserve">months of </w:t>
      </w:r>
      <w:bookmarkStart w:id="50" w:name="led293237f20228201663701622308"/>
      <w:bookmarkEnd w:id="50"/>
      <w:r>
        <w:rPr>
          <w:rFonts w:ascii="sans-serif" w:hAnsi="sans-serif"/>
          <w:color w:val="000000"/>
          <w:sz w:val="20"/>
        </w:rPr>
        <w:t xml:space="preserve">2025. For the balance of </w:t>
      </w:r>
      <w:bookmarkStart w:id="51" w:name="led293237f20232271679952306693"/>
      <w:bookmarkEnd w:id="51"/>
      <w:r>
        <w:rPr>
          <w:rFonts w:ascii="sans-serif" w:hAnsi="sans-serif"/>
          <w:color w:val="000000"/>
          <w:sz w:val="20"/>
        </w:rPr>
        <w:t>2025, the forecasted contribution (funded plans) and benefit payment (unfunded plans) requirements for its pension and postretirement plans are approximately $7 million.</w:t>
      </w:r>
    </w:p>
    <w:p>
      <w:pPr>
        <w:pStyle w:val="TextBody"/>
        <w:bidi w:val="0"/>
        <w:spacing w:before="200" w:after="283"/>
        <w:jc w:val="left"/>
        <w:rPr>
          <w:rFonts w:ascii="sans-serif" w:hAnsi="sans-serif"/>
          <w:b/>
          <w:color w:val="000000"/>
          <w:sz w:val="20"/>
        </w:rPr>
      </w:pPr>
      <w:r>
        <w:rPr>
          <w:rFonts w:ascii="sans-serif" w:hAnsi="sans-serif"/>
          <w:b/>
          <w:color w:val="000000"/>
          <w:sz w:val="20"/>
        </w:rPr>
        <w:t>Capital Expenditures</w:t>
      </w:r>
    </w:p>
    <w:p>
      <w:pPr>
        <w:pStyle w:val="TextBody"/>
        <w:bidi w:val="0"/>
        <w:spacing w:before="200" w:after="283"/>
        <w:jc w:val="left"/>
        <w:rPr>
          <w:rFonts w:ascii="Times New Roman" w:hAnsi="Times New Roman"/>
          <w:sz w:val="20"/>
        </w:rPr>
      </w:pPr>
      <w:r>
        <w:rPr>
          <w:rFonts w:ascii="sans-serif" w:hAnsi="sans-serif"/>
          <w:color w:val="000000"/>
          <w:sz w:val="20"/>
        </w:rPr>
        <w:t>Cash flows from investing activities included $12 million of capital expenditures for the three months ended March 31, 2025. Kodak expects approximately $30 million to $40 million of total capital expenditures for 2025.</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jc w:val="left"/>
        <w:rPr>
          <w:rFonts w:ascii="sans-serif" w:hAnsi="sans-serif"/>
          <w:color w:val="000000"/>
          <w:sz w:val="20"/>
        </w:rPr>
      </w:pPr>
      <w:r>
        <w:rPr>
          <w:rFonts w:ascii="sans-serif" w:hAnsi="sans-serif"/>
          <w:color w:val="000000"/>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2024 Form 10-K. There have been no material changes in the Company's critical accounting policies or estimates since December 31, 2024.</w:t>
      </w:r>
    </w:p>
    <w:p>
      <w:pPr>
        <w:pStyle w:val="TextBody"/>
        <w:bidi w:val="0"/>
        <w:jc w:val="left"/>
        <w:rPr/>
      </w:pPr>
      <w:r>
        <w:rPr/>
        <w:t> </w:t>
      </w:r>
    </w:p>
    <w:p>
      <w:pPr>
        <w:pStyle w:val="TextBody"/>
        <w:bidi w:val="0"/>
        <w:jc w:val="left"/>
        <w:rPr>
          <w:rFonts w:ascii="sans-serif" w:hAnsi="sans-serif"/>
          <w:b/>
          <w:color w:val="000000"/>
          <w:sz w:val="20"/>
        </w:rPr>
      </w:pPr>
      <w:bookmarkStart w:id="52" w:name="qqd"/>
      <w:bookmarkEnd w:id="52"/>
      <w:r>
        <w:rPr>
          <w:rFonts w:ascii="sans-serif" w:hAnsi="sans-serif"/>
          <w:b/>
          <w:color w:val="000000"/>
          <w:sz w:val="20"/>
        </w:rPr>
        <w:t>Item 3. Quantitative and Qualitative Disclosures About Market Risk</w:t>
      </w:r>
    </w:p>
    <w:p>
      <w:pPr>
        <w:pStyle w:val="TextBody"/>
        <w:bidi w:val="0"/>
        <w:spacing w:before="200" w:after="283"/>
        <w:jc w:val="left"/>
        <w:rPr>
          <w:rFonts w:ascii="Times New Roman" w:hAnsi="Times New Roman"/>
          <w:sz w:val="20"/>
        </w:rPr>
      </w:pPr>
      <w:bookmarkStart w:id="53" w:name="led293237f20232271679952510200"/>
      <w:bookmarkEnd w:id="53"/>
      <w:r>
        <w:rPr>
          <w:rFonts w:ascii="sans-serif" w:hAnsi="sans-serif"/>
          <w:color w:val="000000"/>
          <w:sz w:val="20"/>
        </w:rPr>
        <w:t>As noted in the 2024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2024</w:t>
      </w:r>
      <w:r>
        <w:rPr>
          <w:rFonts w:ascii="Times New Roman" w:hAnsi="Times New Roman"/>
          <w:color w:val="000000"/>
          <w:sz w:val="20"/>
        </w:rPr>
        <w:t xml:space="preserve"> </w:t>
      </w:r>
      <w:r>
        <w:rPr>
          <w:rFonts w:ascii="sans-serif" w:hAnsi="sans-serif"/>
          <w:color w:val="000000"/>
          <w:sz w:val="20"/>
        </w:rPr>
        <w:t>Form 10-K.</w:t>
      </w:r>
    </w:p>
    <w:p>
      <w:pPr>
        <w:pStyle w:val="TextBody"/>
        <w:bidi w:val="0"/>
        <w:spacing w:before="200" w:after="283"/>
        <w:jc w:val="left"/>
        <w:rPr>
          <w:rFonts w:ascii="Times New Roman" w:hAnsi="Times New Roman"/>
          <w:sz w:val="20"/>
        </w:rPr>
      </w:pPr>
      <w:bookmarkStart w:id="54" w:name="controls"/>
      <w:bookmarkEnd w:id="54"/>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4. Controls and Procedures</w:t>
      </w:r>
    </w:p>
    <w:p>
      <w:pPr>
        <w:pStyle w:val="TextBody"/>
        <w:bidi w:val="0"/>
        <w:spacing w:before="200" w:after="283"/>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before="200" w:after="283"/>
        <w:jc w:val="left"/>
        <w:rPr>
          <w:rFonts w:ascii="sans-serif" w:hAnsi="sans-serif"/>
          <w:color w:val="000000"/>
          <w:sz w:val="20"/>
        </w:rPr>
      </w:pPr>
      <w:r>
        <w:rPr>
          <w:rFonts w:ascii="sans-serif" w:hAnsi="sans-serif"/>
          <w:color w:val="000000"/>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pStyle w:val="TextBody"/>
        <w:bidi w:val="0"/>
        <w:spacing w:before="200" w:after="283"/>
        <w:jc w:val="left"/>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There have been no changes identified in Kodak’s internal control over financial reporting that occurred during the most recently completed fiscal quarter that have materially affected, or are reasonably likely to materially affect, Kodak’s internal control over financial reporting.</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sans-serif" w:hAnsi="sans-serif"/>
          <w:b/>
          <w:color w:val="000000"/>
          <w:sz w:val="20"/>
        </w:rPr>
      </w:pPr>
      <w:bookmarkStart w:id="55" w:name="part_ii_other_information"/>
      <w:bookmarkEnd w:id="55"/>
      <w:r>
        <w:rPr>
          <w:rFonts w:ascii="sans-serif" w:hAnsi="sans-serif"/>
          <w:b/>
          <w:color w:val="000000"/>
          <w:sz w:val="20"/>
        </w:rPr>
        <w:t>Part II. OTHER INFORMATION</w:t>
      </w:r>
    </w:p>
    <w:p>
      <w:pPr>
        <w:pStyle w:val="TextBody"/>
        <w:bidi w:val="0"/>
        <w:spacing w:before="200" w:after="283"/>
        <w:jc w:val="left"/>
        <w:rPr>
          <w:rFonts w:ascii="sans-serif" w:hAnsi="sans-serif"/>
          <w:b/>
          <w:color w:val="000000"/>
          <w:sz w:val="20"/>
        </w:rPr>
      </w:pPr>
      <w:bookmarkStart w:id="56" w:name="legal_proceedings"/>
      <w:bookmarkEnd w:id="56"/>
      <w:r>
        <w:rPr>
          <w:rFonts w:ascii="sans-serif" w:hAnsi="sans-serif"/>
          <w:b/>
          <w:color w:val="000000"/>
          <w:sz w:val="20"/>
        </w:rPr>
        <w:t>Item 1. Legal Proceedings</w:t>
      </w:r>
    </w:p>
    <w:p>
      <w:pPr>
        <w:pStyle w:val="TextBody"/>
        <w:bidi w:val="0"/>
        <w:spacing w:before="200" w:after="283"/>
        <w:jc w:val="left"/>
        <w:rPr>
          <w:rFonts w:ascii="sans-serif" w:hAnsi="sans-serif"/>
          <w:color w:val="000000"/>
          <w:sz w:val="20"/>
        </w:rPr>
      </w:pPr>
      <w:r>
        <w:rPr>
          <w:rFonts w:ascii="sans-serif" w:hAnsi="sans-serif"/>
          <w:color w:val="000000"/>
          <w:sz w:val="20"/>
        </w:rPr>
        <w:t>See Note 7, “Commitments and Contingencies” in the Notes to the Financial Statements included in Part I, Item 1, “Financial Statements” for information regarding certain legal proceedings in which Kodak is involved.</w:t>
      </w:r>
    </w:p>
    <w:p>
      <w:pPr>
        <w:pStyle w:val="TextBody"/>
        <w:bidi w:val="0"/>
        <w:spacing w:before="200" w:after="283"/>
        <w:jc w:val="left"/>
        <w:rPr>
          <w:rFonts w:ascii="sans-serif" w:hAnsi="sans-serif"/>
          <w:b/>
          <w:color w:val="000000"/>
          <w:sz w:val="20"/>
        </w:rPr>
      </w:pPr>
      <w:bookmarkStart w:id="57" w:name="risk_factors"/>
      <w:bookmarkEnd w:id="57"/>
      <w:r>
        <w:rPr>
          <w:rFonts w:ascii="sans-serif" w:hAnsi="sans-serif"/>
          <w:b/>
          <w:color w:val="000000"/>
          <w:sz w:val="20"/>
        </w:rPr>
        <w:t>Item 1A. Risk Factors</w:t>
      </w:r>
    </w:p>
    <w:p>
      <w:pPr>
        <w:pStyle w:val="TextBody"/>
        <w:bidi w:val="0"/>
        <w:spacing w:before="200" w:after="283"/>
        <w:jc w:val="left"/>
        <w:rPr>
          <w:rFonts w:ascii="Times New Roman" w:hAnsi="Times New Roman"/>
          <w:sz w:val="20"/>
        </w:rPr>
      </w:pPr>
      <w:bookmarkStart w:id="58" w:name="led293237f20232271679952897691"/>
      <w:bookmarkEnd w:id="58"/>
      <w:r>
        <w:rPr>
          <w:rFonts w:ascii="sans-serif" w:hAnsi="sans-serif"/>
          <w:color w:val="000000"/>
          <w:sz w:val="20"/>
        </w:rPr>
        <w:t>See the Risk Factors set forth in Part I, Item 1A, "Risk Factors" of the 2024</w:t>
      </w:r>
      <w:r>
        <w:rPr>
          <w:rFonts w:ascii="Times New Roman" w:hAnsi="Times New Roman"/>
          <w:color w:val="000000"/>
          <w:sz w:val="20"/>
        </w:rPr>
        <w:t xml:space="preserve"> </w:t>
      </w:r>
      <w:r>
        <w:rPr>
          <w:rFonts w:ascii="sans-serif" w:hAnsi="sans-serif"/>
          <w:color w:val="000000"/>
          <w:sz w:val="20"/>
        </w:rPr>
        <w:t>Form 10-K for a detailed discussion of risk factors that could materially affect Kodak’s business, financial condition and results of operations.</w:t>
      </w:r>
    </w:p>
    <w:p>
      <w:pPr>
        <w:pStyle w:val="TextBody"/>
        <w:bidi w:val="0"/>
        <w:spacing w:before="200" w:after="283"/>
        <w:jc w:val="left"/>
        <w:rPr>
          <w:rFonts w:ascii="sans-serif" w:hAnsi="sans-serif"/>
          <w:b/>
          <w:color w:val="000000"/>
          <w:sz w:val="20"/>
        </w:rPr>
      </w:pPr>
      <w:bookmarkStart w:id="59" w:name="item2unregistered"/>
      <w:bookmarkEnd w:id="59"/>
      <w:r>
        <w:rPr>
          <w:rFonts w:ascii="sans-serif" w:hAnsi="sans-serif"/>
          <w:b/>
          <w:color w:val="000000"/>
          <w:sz w:val="20"/>
        </w:rPr>
        <w:t>Item 2. Unregistered Sales of Equity Securities and Use of Proceeds</w:t>
      </w:r>
    </w:p>
    <w:p>
      <w:pPr>
        <w:pStyle w:val="TextBody"/>
        <w:bidi w:val="0"/>
        <w:spacing w:before="200" w:after="283"/>
        <w:jc w:val="left"/>
        <w:rPr>
          <w:rFonts w:ascii="Calibri" w:hAnsi="Calibri"/>
          <w:b/>
          <w:color w:val="000000"/>
          <w:sz w:val="20"/>
        </w:rPr>
      </w:pPr>
      <w:r>
        <w:rPr>
          <w:rFonts w:ascii="Calibri" w:hAnsi="Calibri"/>
          <w:b/>
          <w:color w:val="000000"/>
          <w:sz w:val="20"/>
        </w:rPr>
        <w:t>(a)</w:t>
      </w:r>
    </w:p>
    <w:p>
      <w:pPr>
        <w:pStyle w:val="TextBody"/>
        <w:bidi w:val="0"/>
        <w:spacing w:before="200" w:after="283"/>
        <w:jc w:val="left"/>
        <w:rPr>
          <w:rFonts w:ascii="sans-serif" w:hAnsi="sans-serif"/>
          <w:b/>
          <w:color w:val="000000"/>
          <w:sz w:val="20"/>
        </w:rPr>
      </w:pPr>
      <w:r>
        <w:rPr>
          <w:rFonts w:ascii="sans-serif" w:hAnsi="sans-serif"/>
          <w:b/>
          <w:color w:val="000000"/>
          <w:sz w:val="20"/>
        </w:rPr>
        <w:t>Sales of unregistered securities during the quarter ended March 31, 2025</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Calibri" w:hAnsi="Calibri"/>
          <w:b/>
          <w:color w:val="000000"/>
          <w:sz w:val="20"/>
        </w:rPr>
      </w:pPr>
      <w:r>
        <w:rPr>
          <w:rFonts w:ascii="Calibri" w:hAnsi="Calibri"/>
          <w:b/>
          <w:color w:val="000000"/>
          <w:sz w:val="20"/>
        </w:rPr>
        <w:t>(b)</w:t>
      </w:r>
    </w:p>
    <w:p>
      <w:pPr>
        <w:pStyle w:val="TextBody"/>
        <w:bidi w:val="0"/>
        <w:spacing w:before="200" w:after="283"/>
        <w:jc w:val="left"/>
        <w:rPr>
          <w:rFonts w:ascii="sans-serif" w:hAnsi="sans-serif"/>
          <w:b/>
          <w:color w:val="000000"/>
          <w:sz w:val="20"/>
        </w:rPr>
      </w:pPr>
      <w:r>
        <w:rPr>
          <w:rFonts w:ascii="sans-serif" w:hAnsi="sans-serif"/>
          <w:b/>
          <w:color w:val="000000"/>
          <w:sz w:val="20"/>
        </w:rPr>
        <w:t>Issuer purchases of equity securities during the quarter ended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146"/>
        <w:gridCol w:w="227"/>
        <w:gridCol w:w="1331"/>
        <w:gridCol w:w="146"/>
        <w:gridCol w:w="146"/>
        <w:gridCol w:w="356"/>
        <w:gridCol w:w="830"/>
        <w:gridCol w:w="146"/>
        <w:gridCol w:w="146"/>
        <w:gridCol w:w="1904"/>
        <w:gridCol w:w="146"/>
        <w:gridCol w:w="2072"/>
      </w:tblGrid>
      <w:tr>
        <w:trPr/>
        <w:tc>
          <w:tcPr>
            <w:tcW w:w="2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Maximum Number</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That May Yet</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 Purchased</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under the Plans or</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Purchased </w:t>
            </w:r>
            <w:r>
              <w:rPr>
                <w:rFonts w:ascii="sans-serif" w:hAnsi="sans-serif"/>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or Programs </w:t>
            </w:r>
            <w:r>
              <w:rPr>
                <w:rFonts w:ascii="sans-serif" w:hAnsi="sans-serif"/>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Programs </w:t>
            </w:r>
            <w:r>
              <w:rPr>
                <w:rFonts w:ascii="sans-serif" w:hAnsi="sans-serif"/>
                <w:b/>
                <w:color w:val="000000"/>
                <w:sz w:val="13"/>
              </w:rPr>
              <w:t>(2)</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January 1 through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February 1 through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March 1 through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These purchases were made to satisfy tax withholding obligations in connection with the vesting of restricted stock units issued to employees.</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jc w:val="left"/>
        <w:rPr>
          <w:rFonts w:ascii="sans-serif" w:hAnsi="sans-serif"/>
          <w:color w:val="000000"/>
          <w:sz w:val="20"/>
        </w:rPr>
      </w:pPr>
      <w:r>
        <w:rPr>
          <w:rFonts w:ascii="sans-serif" w:hAnsi="sans-serif"/>
          <w:color w:val="000000"/>
          <w:sz w:val="20"/>
        </w:rPr>
        <w:t>Kodak does not have a publicly announced repurchase plan or program.</w:t>
      </w:r>
    </w:p>
    <w:p>
      <w:pPr>
        <w:pStyle w:val="TextBody"/>
        <w:bidi w:val="0"/>
        <w:spacing w:before="200" w:after="283"/>
        <w:jc w:val="left"/>
        <w:rPr>
          <w:rFonts w:ascii="Times New Roman" w:hAnsi="Times New Roman"/>
          <w:sz w:val="20"/>
        </w:rPr>
      </w:pPr>
      <w:bookmarkStart w:id="60" w:name="defaults_upon_senior_securities"/>
      <w:bookmarkEnd w:id="60"/>
      <w:r>
        <w:rPr>
          <w:rFonts w:ascii="sans-serif" w:hAnsi="sans-serif"/>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61" w:name="mine_safety_disclosures"/>
      <w:bookmarkEnd w:id="61"/>
      <w:r>
        <w:rPr>
          <w:rFonts w:ascii="sans-serif" w:hAnsi="sans-serif"/>
          <w:b/>
          <w:color w:val="000000"/>
          <w:sz w:val="20"/>
        </w:rPr>
        <w:t>Item 4. Mine Safety Disclosures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Not applicable.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bookmarkStart w:id="62" w:name="other_information"/>
      <w:bookmarkEnd w:id="62"/>
      <w:r>
        <w:rPr>
          <w:rFonts w:ascii="sans-serif" w:hAnsi="sans-serif"/>
          <w:b/>
          <w:color w:val="000000"/>
          <w:sz w:val="20"/>
        </w:rPr>
        <w:t>Item 5. Other Information</w:t>
      </w:r>
    </w:p>
    <w:p>
      <w:pPr>
        <w:pStyle w:val="TextBody"/>
        <w:bidi w:val="0"/>
        <w:spacing w:before="200" w:after="283"/>
        <w:jc w:val="left"/>
        <w:rPr>
          <w:rFonts w:ascii="sans-serif" w:hAnsi="sans-serif"/>
          <w:b/>
          <w:color w:val="000000"/>
          <w:sz w:val="20"/>
        </w:rPr>
      </w:pPr>
      <w:r>
        <w:rPr>
          <w:rFonts w:ascii="sans-serif" w:hAnsi="sans-serif"/>
          <w:b/>
          <w:color w:val="000000"/>
          <w:sz w:val="20"/>
        </w:rPr>
        <w:t>(c) Rule 10b5-1 Trading Plans</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bookmarkStart w:id="63" w:name="exhibits"/>
      <w:bookmarkEnd w:id="63"/>
      <w:r>
        <w:rPr>
          <w:rFonts w:ascii="sans-serif" w:hAnsi="sans-serif"/>
          <w:b/>
          <w:color w:val="000000"/>
          <w:sz w:val="20"/>
        </w:rPr>
        <w:t>Item 6. Exhibits</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bookmarkStart w:id="64" w:name="index_to_exhibits"/>
      <w:bookmarkEnd w:id="64"/>
      <w:r>
        <w:rPr>
          <w:rFonts w:ascii="sans-serif" w:hAnsi="sans-serif"/>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6"/>
        <w:gridCol w:w="9209"/>
      </w:tblGrid>
      <w:tr>
        <w:trPr/>
        <w:tc>
          <w:tcPr>
            <w:tcW w:w="996" w:type="dxa"/>
            <w:tcBorders/>
            <w:vAlign w:val="center"/>
          </w:tcPr>
          <w:p>
            <w:pPr>
              <w:pStyle w:val="TableContents"/>
              <w:bidi w:val="0"/>
              <w:spacing w:before="0" w:after="283"/>
              <w:jc w:val="left"/>
              <w:rPr>
                <w:sz w:val="4"/>
                <w:szCs w:val="4"/>
              </w:rPr>
            </w:pPr>
            <w:r>
              <w:rPr>
                <w:sz w:val="4"/>
                <w:szCs w:val="4"/>
              </w:rPr>
            </w:r>
          </w:p>
        </w:tc>
        <w:tc>
          <w:tcPr>
            <w:tcW w:w="9209" w:type="dxa"/>
            <w:tcBorders/>
            <w:vAlign w:val="center"/>
          </w:tcPr>
          <w:p>
            <w:pPr>
              <w:pStyle w:val="TableContents"/>
              <w:bidi w:val="0"/>
              <w:spacing w:before="0" w:after="283"/>
              <w:jc w:val="left"/>
              <w:rPr>
                <w:sz w:val="4"/>
                <w:szCs w:val="4"/>
              </w:rPr>
            </w:pPr>
            <w:r>
              <w:rPr>
                <w:sz w:val="4"/>
                <w:szCs w:val="4"/>
              </w:rPr>
            </w:r>
          </w:p>
        </w:tc>
      </w:tr>
      <w:tr>
        <w:trPr/>
        <w:tc>
          <w:tcPr>
            <w:tcW w:w="996" w:type="dxa"/>
            <w:tcBorders/>
            <w:tcMar>
              <w:top w:w="0" w:type="dxa"/>
              <w:left w:w="0" w:type="dxa"/>
              <w:bottom w:w="0" w:type="dxa"/>
              <w:right w:w="0" w:type="dxa"/>
            </w:tcMar>
            <w:vAlign w:val="center"/>
          </w:tcPr>
          <w:p>
            <w:pPr>
              <w:pStyle w:val="TableContents"/>
              <w:bidi w:val="0"/>
              <w:jc w:val="left"/>
              <w:rPr>
                <w:rFonts w:ascii="sans-serif" w:hAnsi="sans-serif"/>
                <w:b/>
                <w:color w:val="000000"/>
                <w:sz w:val="20"/>
              </w:rPr>
            </w:pPr>
            <w:r>
              <w:rPr>
                <w:rFonts w:ascii="sans-serif" w:hAnsi="sans-serif"/>
                <w:b/>
                <w:color w:val="000000"/>
                <w:sz w:val="20"/>
              </w:rPr>
              <w:t>Exhibit</w:t>
            </w:r>
          </w:p>
          <w:p>
            <w:pPr>
              <w:pStyle w:val="TableContents"/>
              <w:bidi w:val="0"/>
              <w:spacing w:before="0" w:after="283"/>
              <w:jc w:val="left"/>
              <w:rPr>
                <w:rFonts w:ascii="sans-serif" w:hAnsi="sans-serif"/>
                <w:b/>
                <w:color w:val="000000"/>
                <w:sz w:val="20"/>
              </w:rPr>
            </w:pPr>
            <w:r>
              <w:rPr>
                <w:rFonts w:ascii="sans-serif" w:hAnsi="sans-serif"/>
                <w:b/>
                <w:color w:val="000000"/>
                <w:sz w:val="20"/>
              </w:rPr>
              <w:t>Number</w:t>
            </w:r>
          </w:p>
        </w:tc>
        <w:tc>
          <w:tcPr>
            <w:tcW w:w="9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E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(3.3)</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(3.4)</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(3.5)</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(3.6)</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(3.7)</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(3.8)</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sans-serif" w:hAnsi="sans-serif"/>
                  <w:color w:val="0000E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sans-serif" w:hAnsi="sans-serif"/>
                  <w:color w:val="0000FF"/>
                  <w:sz w:val="20"/>
                  <w:u w:val="single"/>
                </w:rPr>
                <w:t>Amendment No. 3 to Letter of Credit Facility Agreement, dated as of February 26, 2025, by and among the Company, the Subsidiary Guarantors named therein and Bank of America, N.A., as Agent, Lender and Issuing Bank (Incorporated by reference to Exhibit (10.28) of the Company’s Annual Report on Form 10-K for the fiscal year ended December 31, 2024 as filed on March 17, 2025).</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(10.2)</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sans-serif" w:hAnsi="sans-serif"/>
                  <w:color w:val="0000FF"/>
                  <w:sz w:val="20"/>
                  <w:u w:val="single"/>
                </w:rPr>
                <w:t>First Amendment to Amended and Restated Credit Agreement, dated as of February 26, 2025, by and among the Company, the other Loan Parties named therein, the Lenders named therein and Alter Domus (US), LLC, as Administrative Agent (Incorporated by reference to Exhibit (10.31) of the Company’s Annual Report on Form 10-K for the fiscal year ended December 31, 2024 as filed on March 17, 2025).</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(10.3)</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w:anchor="kodk-ex10_3.htm">
              <w:r>
                <w:rPr>
                  <w:rStyle w:val="InternetLink"/>
                  <w:rFonts w:ascii="sans-serif" w:hAnsi="sans-serif"/>
                  <w:color w:val="0000FF"/>
                  <w:sz w:val="20"/>
                  <w:u w:val="single"/>
                </w:rPr>
                <w:t>Second Amendment to Amended and Restated Credit Agreement, dated as of May 7, 2025, by and among the Company, the other Loan Parties named therein, the Lenders named therein and Alter Domus (US), LLC, as Administrative Agent, filed herewith.</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(31.1)</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w:anchor="kodk-ex31_1.htm">
              <w:r>
                <w:rPr>
                  <w:rStyle w:val="InternetLink"/>
                  <w:rFonts w:ascii="sans-serif" w:hAnsi="sans-serif"/>
                  <w:color w:val="0000FF"/>
                  <w:sz w:val="20"/>
                  <w:u w:val="single"/>
                </w:rPr>
                <w:t>Certification signed by James V. Continenza, filed herewith.</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(31.2)</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w:anchor="kodk-ex31_2.htm">
              <w:r>
                <w:rPr>
                  <w:rStyle w:val="InternetLink"/>
                  <w:rFonts w:ascii="sans-serif" w:hAnsi="sans-serif"/>
                  <w:color w:val="0000FF"/>
                  <w:sz w:val="20"/>
                  <w:u w:val="single"/>
                </w:rPr>
                <w:t>Certification signed by David E. Bullwinkle, filed herewith.</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(32.1)</w:t>
            </w:r>
            <w:r>
              <w:rPr>
                <w:rFonts w:ascii="sans-serif" w:hAnsi="sans-serif"/>
                <w:color w:val="000000"/>
                <w:sz w:val="13"/>
              </w:rPr>
              <w:t>(1)</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w:anchor="kodk-ex32_1.htm">
              <w:r>
                <w:rPr>
                  <w:rStyle w:val="InternetLink"/>
                  <w:rFonts w:ascii="sans-serif" w:hAnsi="sans-serif"/>
                  <w:color w:val="0000FF"/>
                  <w:sz w:val="20"/>
                  <w:u w:val="single"/>
                </w:rPr>
                <w:t>Certification Pursuant to 18 U.S.C. Section 1350, as Adopted Pursuant to Section 906 of the Sarbanes-Oxley Act of 2002, signed by James V. Continenza, furnished herewith.</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(32.2)</w:t>
            </w:r>
            <w:r>
              <w:rPr>
                <w:rFonts w:ascii="sans-serif" w:hAnsi="sans-serif"/>
                <w:color w:val="000000"/>
                <w:sz w:val="13"/>
              </w:rPr>
              <w:t>(1)</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w:anchor="kodk-ex32_2.htm">
              <w:r>
                <w:rPr>
                  <w:rStyle w:val="InternetLink"/>
                  <w:rFonts w:ascii="sans-serif" w:hAnsi="sans-serif"/>
                  <w:color w:val="0000FF"/>
                  <w:sz w:val="20"/>
                  <w:u w:val="single"/>
                </w:rPr>
                <w:t>Certification Pursuant to 18 U.S.C. Section 1350, as Adopted Pursuant to Section 906 of the Sarbanes-Oxley Act of 2002 signed by David E. Bullwinkle, furnished herewith.</w:t>
              </w:r>
            </w:hyperlink>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92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as its XBRL tags are embedded within the Inline XBRL document</w:t>
            </w:r>
          </w:p>
        </w:tc>
      </w:tr>
    </w:tbl>
    <w:p>
      <w:pPr>
        <w:pStyle w:val="TextBody"/>
        <w:bidi w:val="0"/>
        <w:spacing w:before="240" w:after="283"/>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9017" w:type="dxa"/>
        <w:jc w:val="left"/>
        <w:tblInd w:w="0" w:type="dxa"/>
        <w:tblLayout w:type="fixed"/>
        <w:tblCellMar>
          <w:top w:w="28" w:type="dxa"/>
          <w:left w:w="28" w:type="dxa"/>
          <w:bottom w:w="28" w:type="dxa"/>
          <w:right w:w="28" w:type="dxa"/>
        </w:tblCellMar>
      </w:tblPr>
      <w:tblGrid>
        <w:gridCol w:w="1096"/>
        <w:gridCol w:w="7921"/>
      </w:tblGrid>
      <w:tr>
        <w:trPr/>
        <w:tc>
          <w:tcPr>
            <w:tcW w:w="1096"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79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ind w:left="0" w:right="0" w:firstLine="360"/>
              <w:jc w:val="left"/>
              <w:rPr>
                <w:rFonts w:ascii="sans-serif" w:hAnsi="sans-serif"/>
                <w:color w:val="000000"/>
                <w:sz w:val="20"/>
              </w:rPr>
            </w:pPr>
            <w:r>
              <w:rPr>
                <w:rFonts w:ascii="sans-serif" w:hAnsi="sans-serif"/>
                <w:color w:val="000000"/>
                <w:sz w:val="20"/>
              </w:rPr>
              <w:t>(104)</w:t>
            </w:r>
          </w:p>
        </w:tc>
        <w:tc>
          <w:tcPr>
            <w:tcW w:w="79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Furnished herewith. The certifications that accompany this Quarterly Report on Form 10</w:t>
        <w:noBreakHyphen/>
        <w:t>Q are not deemed filed with the SEC and are not to be incorporated by reference into any filing of the Registrant under the Securities Act of 1933, as amended, or the Securities Exchange Act of 1934, as amended (whether made before or after the date of this Quarterly Report on Form 10</w:t>
        <w:noBreakHyphen/>
        <w:t>Q), irrespective of any general incorporation language contained in such filing.</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65" w:name="signatures"/>
      <w:bookmarkEnd w:id="65"/>
      <w:r>
        <w:rPr>
          <w:rFonts w:ascii="sans-serif" w:hAnsi="sans-serif"/>
          <w:b/>
          <w:color w:val="000000"/>
          <w:sz w:val="20"/>
        </w:rPr>
        <w:t>SIGNATURES</w:t>
      </w:r>
    </w:p>
    <w:p>
      <w:pPr>
        <w:pStyle w:val="TextBody"/>
        <w:bidi w:val="0"/>
        <w:spacing w:before="20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982" w:type="dxa"/>
        <w:jc w:val="left"/>
        <w:tblInd w:w="0" w:type="dxa"/>
        <w:tblLayout w:type="fixed"/>
        <w:tblCellMar>
          <w:top w:w="28" w:type="dxa"/>
          <w:left w:w="28" w:type="dxa"/>
          <w:bottom w:w="28" w:type="dxa"/>
          <w:right w:w="28" w:type="dxa"/>
        </w:tblCellMar>
      </w:tblPr>
      <w:tblGrid>
        <w:gridCol w:w="2146"/>
        <w:gridCol w:w="5836"/>
      </w:tblGrid>
      <w:tr>
        <w:trPr/>
        <w:tc>
          <w:tcPr>
            <w:tcW w:w="2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EASTMAN KODAK COMPANY</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(Registrant)</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Date: May 8, 2025</w:t>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 Richard T. Michaels</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Richard T. Michaels</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Corporate Controller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Authorized Signatory)</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smallCaps/>
          <w:color w:val="000000"/>
          <w:sz w:val="20"/>
        </w:rPr>
      </w:pPr>
      <w:bookmarkStart w:id="66" w:name="kodk-ex10_3.htm"/>
      <w:bookmarkStart w:id="67" w:name="kskodkex10_3"/>
      <w:bookmarkEnd w:id="66"/>
      <w:bookmarkEnd w:id="67"/>
      <w:r>
        <w:rPr>
          <w:rFonts w:ascii="Times New Roman" w:hAnsi="Times New Roman"/>
          <w:b/>
          <w:smallCaps/>
          <w:color w:val="000000"/>
          <w:sz w:val="20"/>
        </w:rPr>
        <w:t>Exhibit (10.3)</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Second Amendment to Amended and Restated Credit Agreement</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This Second Amendment to Amended and Restated Credit Agreement (this </w:t>
      </w:r>
      <w:r>
        <w:rPr>
          <w:rFonts w:ascii="Times New Roman" w:hAnsi="Times New Roman"/>
          <w:color w:val="000000"/>
          <w:sz w:val="20"/>
        </w:rPr>
        <w:t>“</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xml:space="preserve">) is entered into as of May 7, 2025, by and among </w:t>
      </w:r>
      <w:r>
        <w:rPr>
          <w:rFonts w:ascii="Times New Roman" w:hAnsi="Times New Roman"/>
          <w:smallCaps/>
          <w:color w:val="000000"/>
          <w:sz w:val="22"/>
        </w:rPr>
        <w:t xml:space="preserve">Eastman Kodak Company, </w:t>
      </w:r>
      <w:r>
        <w:rPr>
          <w:rFonts w:ascii="Times New Roman" w:hAnsi="Times New Roman"/>
          <w:color w:val="000000"/>
          <w:sz w:val="22"/>
        </w:rPr>
        <w:t xml:space="preserve">a New Jersey corporation </w:t>
      </w:r>
      <w:r>
        <w:rPr>
          <w:rFonts w:ascii="Times New Roman" w:hAnsi="Times New Roman"/>
          <w:smallCaps/>
          <w:color w:val="000000"/>
          <w:sz w:val="22"/>
        </w:rPr>
        <w:t>(</w:t>
      </w:r>
      <w:r>
        <w:rPr>
          <w:rFonts w:ascii="Times New Roman" w:hAnsi="Times New Roman"/>
          <w:color w:val="000000"/>
          <w:sz w:val="22"/>
        </w:rPr>
        <w:t xml:space="preserve">the </w:t>
      </w:r>
      <w:r>
        <w:rPr>
          <w:rFonts w:ascii="Times New Roman" w:hAnsi="Times New Roman"/>
          <w:color w:val="000000"/>
          <w:sz w:val="20"/>
        </w:rPr>
        <w:t>“</w:t>
      </w:r>
      <w:r>
        <w:rPr>
          <w:rFonts w:ascii="Times New Roman" w:hAnsi="Times New Roman"/>
          <w:b/>
          <w:i/>
          <w:color w:val="000000"/>
          <w:sz w:val="22"/>
        </w:rPr>
        <w:t>Borrower</w:t>
      </w:r>
      <w:r>
        <w:rPr>
          <w:rFonts w:ascii="Times New Roman" w:hAnsi="Times New Roman"/>
          <w:color w:val="000000"/>
          <w:sz w:val="20"/>
        </w:rPr>
        <w:t>”</w:t>
      </w:r>
      <w:r>
        <w:rPr>
          <w:rFonts w:ascii="Times New Roman" w:hAnsi="Times New Roman"/>
          <w:color w:val="000000"/>
          <w:sz w:val="22"/>
        </w:rPr>
        <w:t>), the other undersigned Loan Parties (as defined in the Credit Agreement (as defined below)) identified on the signature pages hereto, the undersigned Lenders identified on the signature pages hereto (the “</w:t>
      </w:r>
      <w:r>
        <w:rPr>
          <w:rFonts w:ascii="Times New Roman" w:hAnsi="Times New Roman"/>
          <w:b/>
          <w:i/>
          <w:color w:val="000000"/>
          <w:sz w:val="22"/>
        </w:rPr>
        <w:t>Lenders</w:t>
      </w:r>
      <w:r>
        <w:rPr>
          <w:rFonts w:ascii="Times New Roman" w:hAnsi="Times New Roman"/>
          <w:color w:val="000000"/>
          <w:sz w:val="20"/>
        </w:rPr>
        <w:t>”</w:t>
      </w:r>
      <w:r>
        <w:rPr>
          <w:rFonts w:ascii="Times New Roman" w:hAnsi="Times New Roman"/>
          <w:color w:val="000000"/>
          <w:sz w:val="22"/>
        </w:rPr>
        <w:t>), and Alter Domus (US) LLC, as administrative agent (in such capacity, the “</w:t>
      </w:r>
      <w:r>
        <w:rPr>
          <w:rFonts w:ascii="Times New Roman" w:hAnsi="Times New Roman"/>
          <w:b/>
          <w:i/>
          <w:color w:val="000000"/>
          <w:sz w:val="22"/>
        </w:rPr>
        <w:t>Administrative</w:t>
      </w:r>
      <w:r>
        <w:rPr>
          <w:rFonts w:ascii="Times New Roman" w:hAnsi="Times New Roman"/>
          <w:color w:val="000000"/>
          <w:sz w:val="20"/>
        </w:rPr>
        <w:t xml:space="preserve"> </w:t>
      </w:r>
      <w:r>
        <w:rPr>
          <w:rFonts w:ascii="Times New Roman" w:hAnsi="Times New Roman"/>
          <w:b/>
          <w:i/>
          <w:color w:val="000000"/>
          <w:sz w:val="22"/>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80" w:after="283"/>
        <w:jc w:val="center"/>
        <w:rPr>
          <w:rFonts w:ascii="Times New Roman" w:hAnsi="Times New Roman"/>
          <w:b/>
          <w:smallCaps/>
          <w:color w:val="000000"/>
          <w:sz w:val="22"/>
        </w:rPr>
      </w:pPr>
      <w:r>
        <w:rPr>
          <w:rFonts w:ascii="Times New Roman" w:hAnsi="Times New Roman"/>
          <w:b/>
          <w:smallCaps/>
          <w:color w:val="000000"/>
          <w:sz w:val="22"/>
        </w:rPr>
        <w:t>Recitals</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80" w:after="283"/>
        <w:jc w:val="both"/>
        <w:rPr/>
      </w:pPr>
      <w:r>
        <w:rPr>
          <w:rFonts w:ascii="Times New Roman" w:hAnsi="Times New Roman"/>
          <w:color w:val="000000"/>
          <w:sz w:val="22"/>
        </w:rPr>
        <w:t>The Borrower, the Administrative Agent and the undersigned Lenders (the “</w:t>
      </w:r>
      <w:r>
        <w:rPr>
          <w:rFonts w:ascii="Times New Roman" w:hAnsi="Times New Roman"/>
          <w:b/>
          <w:i/>
          <w:color w:val="000000"/>
          <w:sz w:val="22"/>
        </w:rPr>
        <w:t>Lenders</w:t>
      </w:r>
      <w:r>
        <w:rPr>
          <w:color w:val="000000"/>
        </w:rPr>
        <w:t>”</w:t>
      </w:r>
      <w:r>
        <w:rPr>
          <w:rFonts w:ascii="Times New Roman" w:hAnsi="Times New Roman"/>
          <w:color w:val="000000"/>
          <w:sz w:val="22"/>
        </w:rPr>
        <w:t>) are party to that certain Amended and Restated Credit Agreement, dated as of June 30, 2023, as amended by that certain First Amendment to Amended and Restated Credit Agreement, dated as of February 26, 2025 (as in effect prior to the effect of this Amendment, the “</w:t>
      </w:r>
      <w:r>
        <w:rPr>
          <w:rFonts w:ascii="Times New Roman" w:hAnsi="Times New Roman"/>
          <w:b/>
          <w:i/>
          <w:color w:val="000000"/>
          <w:sz w:val="22"/>
        </w:rPr>
        <w:t>Existing Credit Agreement</w:t>
      </w:r>
      <w:r>
        <w:rPr>
          <w:color w:val="000000"/>
        </w:rPr>
        <w:t xml:space="preserve">” </w:t>
      </w:r>
      <w:r>
        <w:rPr>
          <w:rFonts w:ascii="Times New Roman" w:hAnsi="Times New Roman"/>
          <w:color w:val="000000"/>
          <w:sz w:val="22"/>
        </w:rPr>
        <w:t>and as amended by this Amendment, the “</w:t>
      </w:r>
      <w:r>
        <w:rPr>
          <w:rFonts w:ascii="Times New Roman" w:hAnsi="Times New Roman"/>
          <w:b/>
          <w:i/>
          <w:color w:val="000000"/>
          <w:sz w:val="22"/>
        </w:rPr>
        <w:t>Credit Agreement</w:t>
      </w:r>
      <w:r>
        <w:rPr>
          <w:color w:val="000000"/>
        </w:rPr>
        <w:t>”</w:t>
      </w:r>
      <w:r>
        <w:rPr>
          <w:rFonts w:ascii="Times New Roman" w:hAnsi="Times New Roman"/>
          <w:color w:val="000000"/>
          <w:sz w:val="22"/>
        </w:rPr>
        <w:t xml:space="preserve">).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80" w:after="283"/>
        <w:jc w:val="both"/>
        <w:rPr/>
      </w:pPr>
      <w:r>
        <w:rPr>
          <w:rFonts w:ascii="Times New Roman" w:hAnsi="Times New Roman"/>
          <w:color w:val="000000"/>
          <w:sz w:val="22"/>
        </w:rPr>
        <w:t xml:space="preserve">The Borrower has requested, and the Administrative Agent and the undersigned Lenders, constituting 100% of the Lenders under the Existing Credit Agreement, are willing to agree to the amendment of the Existing Credit Agreement as set forth in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hereof, in each case, on the terms and conditions set forth in this Amendment.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80" w:after="283"/>
        <w:jc w:val="both"/>
        <w:rPr/>
      </w:pPr>
      <w:r>
        <w:rPr>
          <w:rFonts w:ascii="Times New Roman" w:hAnsi="Times New Roman"/>
          <w:smallCaps/>
          <w:color w:val="000000"/>
          <w:sz w:val="22"/>
        </w:rPr>
        <w:t>Now, Therefore</w:t>
      </w:r>
      <w:r>
        <w:rPr>
          <w:rFonts w:ascii="Times New Roman" w:hAnsi="Times New Roman"/>
          <w:color w:val="000000"/>
          <w:sz w:val="22"/>
        </w:rPr>
        <w:t>, for good and valuable consideration, the receipt and sufficiency of which is hereby acknowledged, the parties hereto agree as follows:</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i/>
          <w:color w:val="000000"/>
          <w:sz w:val="22"/>
        </w:rPr>
        <w:t>Defined Terms.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1.1 All capitalized terms used herein, including the Recitals, but not defined herein shall have the same meanings herein as such terms have in the Credit Agreement.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2. </w:t>
      </w:r>
      <w:r>
        <w:rPr>
          <w:rFonts w:ascii="Times New Roman" w:hAnsi="Times New Roman"/>
          <w:i/>
          <w:color w:val="000000"/>
          <w:sz w:val="22"/>
        </w:rPr>
        <w:t>Amendment</w:t>
      </w:r>
      <w:r>
        <w:rPr>
          <w:rFonts w:ascii="Times New Roman" w:hAnsi="Times New Roman"/>
          <w:color w:val="000000"/>
          <w:sz w:val="22"/>
        </w:rPr>
        <w:t>. On the Second Amendment Effective Date, subject to the terms and conditions set forth herein:</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2.1 Section 1.01 of the Existing Credit Agreement is hereby amended to add the following terms thereto in alphabetical order to read as follows:</w:t>
      </w:r>
    </w:p>
    <w:p>
      <w:pPr>
        <w:pStyle w:val="TextBody"/>
        <w:bidi w:val="0"/>
        <w:spacing w:before="280" w:after="283"/>
        <w:jc w:val="both"/>
        <w:rPr/>
      </w:pPr>
      <w:r>
        <w:rPr>
          <w:color w:val="000000"/>
        </w:rPr>
        <w:t>“</w:t>
      </w:r>
      <w:r>
        <w:rPr>
          <w:rFonts w:ascii="Times New Roman" w:hAnsi="Times New Roman"/>
          <w:b/>
          <w:color w:val="000000"/>
          <w:sz w:val="22"/>
        </w:rPr>
        <w:t>Second Amendment</w:t>
      </w:r>
      <w:r>
        <w:rPr>
          <w:rFonts w:ascii="Times New Roman" w:hAnsi="Times New Roman"/>
          <w:color w:val="000000"/>
          <w:sz w:val="20"/>
        </w:rPr>
        <w:t xml:space="preserve">” </w:t>
      </w:r>
      <w:r>
        <w:rPr>
          <w:rFonts w:ascii="Times New Roman" w:hAnsi="Times New Roman"/>
          <w:color w:val="000000"/>
          <w:sz w:val="22"/>
        </w:rPr>
        <w:t>means that certain Second Amendment to Amended and Restated Credit Agreement, dated as of May 7, 2025, by and among the Borrower, the other Loan Parties party thereto, the Lenders party thereto and the Administrative Agent.</w:t>
      </w:r>
    </w:p>
    <w:p>
      <w:pPr>
        <w:pStyle w:val="TextBody"/>
        <w:bidi w:val="0"/>
        <w:spacing w:before="280" w:after="283"/>
        <w:jc w:val="both"/>
        <w:rPr/>
      </w:pPr>
      <w:r>
        <w:rPr>
          <w:color w:val="000000"/>
        </w:rPr>
        <w:t>“</w:t>
      </w:r>
      <w:r>
        <w:rPr>
          <w:rFonts w:ascii="Times New Roman" w:hAnsi="Times New Roman"/>
          <w:b/>
          <w:color w:val="000000"/>
          <w:sz w:val="22"/>
        </w:rPr>
        <w:t>Second Amendment Effective Date</w:t>
      </w:r>
      <w:r>
        <w:rPr>
          <w:rFonts w:ascii="Times New Roman" w:hAnsi="Times New Roman"/>
          <w:color w:val="000000"/>
          <w:sz w:val="20"/>
        </w:rPr>
        <w:t xml:space="preserve">” </w:t>
      </w:r>
      <w:r>
        <w:rPr>
          <w:rFonts w:ascii="Times New Roman" w:hAnsi="Times New Roman"/>
          <w:color w:val="000000"/>
          <w:sz w:val="22"/>
        </w:rPr>
        <w:t>has the meaning set forth in the Second Amendment.</w:t>
      </w:r>
    </w:p>
    <w:p>
      <w:pPr>
        <w:pStyle w:val="TextBody"/>
        <w:bidi w:val="0"/>
        <w:spacing w:before="280" w:after="283"/>
        <w:jc w:val="both"/>
        <w:rPr/>
      </w:pPr>
      <w:r>
        <w:rPr>
          <w:color w:val="000000"/>
        </w:rPr>
        <w:t>“</w:t>
      </w:r>
      <w:r>
        <w:rPr>
          <w:rFonts w:ascii="Times New Roman" w:hAnsi="Times New Roman"/>
          <w:b/>
          <w:color w:val="000000"/>
          <w:sz w:val="22"/>
        </w:rPr>
        <w:t>Second Amendment PIK Period</w:t>
      </w:r>
      <w:r>
        <w:rPr>
          <w:rFonts w:ascii="Times New Roman" w:hAnsi="Times New Roman"/>
          <w:color w:val="000000"/>
          <w:sz w:val="20"/>
        </w:rPr>
        <w:t xml:space="preserve">” </w:t>
      </w:r>
      <w:r>
        <w:rPr>
          <w:rFonts w:ascii="Times New Roman" w:hAnsi="Times New Roman"/>
          <w:color w:val="000000"/>
          <w:sz w:val="22"/>
        </w:rPr>
        <w:t>has the meaning set forth in Section 2.08(a).</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2.2 Section 2.06(b)(v) of the Existing Credit Agreement shall be amended and restated in its entirety as follows:</w:t>
      </w:r>
    </w:p>
    <w:p>
      <w:pPr>
        <w:pStyle w:val="TextBody"/>
        <w:bidi w:val="0"/>
        <w:spacing w:before="0" w:after="120"/>
        <w:jc w:val="both"/>
        <w:rPr>
          <w:color w:val="000000"/>
        </w:rPr>
      </w:pPr>
      <w:r>
        <w:rPr>
          <w:color w:val="000000"/>
        </w:rPr>
        <w:t>“</w:t>
      </w:r>
      <w:r>
        <w:rPr>
          <w:rFonts w:ascii="Times New Roman" w:hAnsi="Times New Roman"/>
          <w:color w:val="000000"/>
          <w:sz w:val="22"/>
        </w:rPr>
        <w:t>(v) Not later than five (5) Business Days following receipt by the Borrower or any Subsidiary of any Net Proceeds in connection with any Asset Sale, Recovery Event or other transaction resulting in proceeds in respect of Target Non-Core Assets: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 if the aggregate principal amount of outstanding Loans is greater than $200,000,000, the Borrower shall apply (i) 100% of such Net Proceeds to prepay outstanding Loans in accordance with Section 2.06(b)(ix) until the balance of the Loans is equal to $200,000,000, at which point clause (2) below will apply to any remaining Net Proceeds plus (ii) a prepayment premium equal to one percent (1.0%) of the principal amount of the Loans so prepaid;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 if the aggregate principal amount of outstanding Loans is less than or equal to $200,000,000, but greater than $100,000,000, the Borrower shall apply (i) 50% of the Net Proceeds received with respect thereto to prepay outstanding Loans in accordance with Section 2.06(b)(ix) until the balance of the Loans is equal to $100,000,000 at which point clause (3) below will apply to any remaining Net Proceeds plus (ii) a prepayment premium equal to (x) with respect to any prepayment pursuant to this Section 2.06(b)(v)(2) prior to the fourth anniversary of the First Amendment Effective Date, one percent (1.0%) or (y) with respect to any prepayment pursuant to this Section 2.06(b)(v)(2) on or after the fourth anniversary of the First Amendment Effective Date, zero percent (0%), in each case, of the principal amount of the Loans so repaid; provided that, concurrently with making the mandatory prepayment described in this Section 2.06(b)(v)(2), the Borrower shall have the option to apply the remaining 50% of the Net Proceeds not so required to be applied to mandatory prepayment pursuant to this Section 2.06(b)(v)(2) to voluntarily prepay the outstanding Loans at a prepayment premium equal to (x) with respect to any prepayment pursuant to this Section 2.06(b)(v)(2) prior to the fourth anniversary of the First Amendment Effective Date, one percent (1.0%) or (y) with respect to any prepayment pursuant to this Section 2.06(b)(v)(2) on or after the fourth anniversary of the First Amendment Effective Date, zero percent (0%), in each case, of the principal amount of the Loans so repaid;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 if the aggregate principal amount of outstanding Loans is less than or equal to $100,000,000, the Borrower shall not be required to make any mandatory prepayment pursuant to this Section 2.06(b)(v); provided that such Net Proceeds shall be included in the calculation of Excess Cash Flow.”</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2.3 Section 2.08(a) of the Existing Credit Agreement shall be amended by adding the following sentence at the end of such section:</w:t>
      </w:r>
    </w:p>
    <w:p>
      <w:pPr>
        <w:pStyle w:val="TextBody"/>
        <w:bidi w:val="0"/>
        <w:spacing w:before="0" w:after="120"/>
        <w:jc w:val="both"/>
        <w:rPr/>
      </w:pPr>
      <w:r>
        <w:rPr>
          <w:color w:val="000000"/>
        </w:rPr>
        <w:t>“</w:t>
      </w:r>
      <w:r>
        <w:rPr>
          <w:rFonts w:ascii="Times New Roman" w:hAnsi="Times New Roman"/>
          <w:color w:val="000000"/>
          <w:sz w:val="22"/>
        </w:rPr>
        <w:t>Notwithstanding the foregoing, for the six (6) Interest Payment Dates following the Second Amendment Effective Date (such period, the “</w:t>
      </w:r>
      <w:r>
        <w:rPr>
          <w:rFonts w:ascii="Times New Roman" w:hAnsi="Times New Roman"/>
          <w:b/>
          <w:color w:val="000000"/>
          <w:sz w:val="22"/>
        </w:rPr>
        <w:t>Second Amendment PIK Period</w:t>
      </w:r>
      <w:r>
        <w:rPr>
          <w:rFonts w:ascii="Times New Roman" w:hAnsi="Times New Roman"/>
          <w:color w:val="000000"/>
          <w:sz w:val="20"/>
        </w:rPr>
        <w:t>”</w:t>
      </w:r>
      <w:r>
        <w:rPr>
          <w:rFonts w:ascii="Times New Roman" w:hAnsi="Times New Roman"/>
          <w:color w:val="000000"/>
          <w:sz w:val="22"/>
        </w:rPr>
        <w:t>), the Borrower shall have the option to make up to the entire amount of such interest payments via PIK Interest.”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2.4 Section 6.08(a)(vi) of the Existing Credit Agreement shall be amended by adding the following to the end of such clause:</w:t>
      </w:r>
    </w:p>
    <w:p>
      <w:pPr>
        <w:pStyle w:val="TextBody"/>
        <w:bidi w:val="0"/>
        <w:spacing w:before="0" w:after="120"/>
        <w:jc w:val="both"/>
        <w:rPr/>
      </w:pPr>
      <w:r>
        <w:rPr>
          <w:color w:val="000000"/>
        </w:rPr>
        <w:t>“</w:t>
      </w:r>
      <w:r>
        <w:rPr>
          <w:rFonts w:ascii="Times New Roman" w:hAnsi="Times New Roman"/>
          <w:i/>
          <w:color w:val="000000"/>
          <w:sz w:val="22"/>
        </w:rPr>
        <w:t>provided</w:t>
      </w:r>
      <w:r>
        <w:rPr>
          <w:rFonts w:ascii="Times New Roman" w:hAnsi="Times New Roman"/>
          <w:color w:val="000000"/>
          <w:sz w:val="22"/>
        </w:rPr>
        <w:t xml:space="preserve">, that if during the Second Amendment PIK Period (i) the Borrower has elected to make an interest payment in the form of PIK Interest and (ii) such capitalized PIK Interest remains outstanding, no such dividends under this clause (vi) shall be permitted to be made, </w:t>
      </w:r>
      <w:r>
        <w:rPr>
          <w:rFonts w:ascii="Times New Roman" w:hAnsi="Times New Roman"/>
          <w:i/>
          <w:color w:val="000000"/>
          <w:sz w:val="22"/>
        </w:rPr>
        <w:t xml:space="preserve">except </w:t>
      </w:r>
      <w:r>
        <w:rPr>
          <w:rFonts w:ascii="Times New Roman" w:hAnsi="Times New Roman"/>
          <w:color w:val="000000"/>
          <w:sz w:val="22"/>
        </w:rPr>
        <w:t>that dividends on Series C Preferred Stock paid in kind in the form of additional Series C Preferred Stock shall be permitted to be made”</w:t>
      </w:r>
    </w:p>
    <w:p>
      <w:pPr>
        <w:pStyle w:val="TextBody"/>
        <w:bidi w:val="0"/>
        <w:spacing w:before="160" w:after="283"/>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i/>
          <w:color w:val="000000"/>
          <w:sz w:val="22"/>
        </w:rPr>
        <w:t>Representations of the Loan Parties</w:t>
      </w:r>
      <w:r>
        <w:rPr>
          <w:rFonts w:ascii="Times New Roman" w:hAnsi="Times New Roman"/>
          <w:color w:val="000000"/>
          <w:sz w:val="22"/>
        </w:rPr>
        <w:t>. To induce the Administrative Agent and each of the Lenders to execute and deliver this Amendment, each Loan Party represents and warrants as of the Second Amendment Effective Date that: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3.1. the execution, delivery and performance by each Loan Party of this Amendment (a) are within each Loan Party’s corporate powers, and have been duly authorized by all necessary corporate action; (b) will not violate any Applicable Law or regulation or the charter, by-laws or other organizational documents of the Borrower or any of the Loan Parties or any order of any Governmental Authority applicable to the Borrower or any Loan Party; (c) does not require any consent or approval of, registration or filing with, or any other action by, any Governmental Authority with competent jurisdiction over the Borrower or any Loan Party, except (i) such as have been obtained or made and are in full force and effect, (ii) any consent or approval of, registration or filings necessary to perfect Liens created under the Loan Documents (or release existing Liens) and (iii) immaterial consents, approvals, registrations or filings; and (d) will not violate or result in a default under any indenture, agreement or other instrument binding upon the Borrower or any of the other Loan Parties or its assets, or give rise to a right thereunder to require any payment to be made by the Borrower or any of the other Loan Parties, except with respect to any default, conflict, breach or contravention or payment, to the extent that such violation, conflict, breach, contravention or payment would not reasonably be expected to have a Material Adverse Effect;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3.2. this Amendment has been duly executed and delivered by each Loan Party and constitutes, when executed and delivered by such Loan Party, a legal, valid and binding obligation of each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3.3. after giving effect to this Amendment, no Default or Event of Default has occurred and is continuing;</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3.4 none of the execution, delivery or performance of this Amendment impairs the validity of the Liens granted pursuant to the Loan Documents, which Liens, remain valid, subsisting and perfected to the same extent and secure the Obligations with the same priority required by the Loan Documents; and</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3.5 all of the representations and warranties set forth in the Credit Agreement are true and correct in all material respects (or, with respect to any representation or warranty that is itself modified or qualified by materiality or a “Material Adverse Effect” standard, such representation or warranty shall be true and correct in all respects) on and as of the date hereof, as if made on the date hereof, except to the extent any such representation or warranty is made as of a specified date, in which case such representation or warranty shall have been true and correct in all material respects as of such date.</w:t>
      </w:r>
    </w:p>
    <w:p>
      <w:pPr>
        <w:pStyle w:val="TextBody"/>
        <w:bidi w:val="0"/>
        <w:spacing w:before="280" w:after="283"/>
        <w:jc w:val="both"/>
        <w:rPr>
          <w:rFonts w:ascii="Times New Roman" w:hAnsi="Times New Roman"/>
          <w:sz w:val="20"/>
        </w:rPr>
      </w:pPr>
      <w:r>
        <w:rPr>
          <w:rFonts w:ascii="Times New Roman" w:hAnsi="Times New Roman"/>
          <w:color w:val="000000"/>
          <w:sz w:val="22"/>
        </w:rPr>
        <w:t>4</w:t>
      </w:r>
      <w:r>
        <w:rPr>
          <w:rFonts w:ascii="Times New Roman" w:hAnsi="Times New Roman"/>
          <w:i/>
          <w:color w:val="000000"/>
          <w:sz w:val="22"/>
        </w:rPr>
        <w:t>. Conditions Precedent to Effective Date.</w:t>
      </w:r>
      <w:r>
        <w:rPr>
          <w:rFonts w:ascii="Times New Roman" w:hAnsi="Times New Roman"/>
          <w:color w:val="000000"/>
          <w:sz w:val="20"/>
        </w:rPr>
        <w:t xml:space="preserve"> </w:t>
      </w:r>
      <w:r>
        <w:rPr>
          <w:rFonts w:ascii="Times New Roman" w:hAnsi="Times New Roman"/>
          <w:color w:val="000000"/>
          <w:sz w:val="22"/>
        </w:rPr>
        <w:t>This Amendment shall become effective on the date on which each of the following conditions is satisfied (or waived by the Lenders in writing) (such date, the “</w:t>
      </w:r>
      <w:r>
        <w:rPr>
          <w:rFonts w:ascii="Times New Roman" w:hAnsi="Times New Roman"/>
          <w:b/>
          <w:i/>
          <w:color w:val="000000"/>
          <w:sz w:val="22"/>
        </w:rPr>
        <w:t>Second Amendment 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280" w:after="283"/>
        <w:jc w:val="both"/>
        <w:rPr>
          <w:rFonts w:ascii="Times New Roman" w:hAnsi="Times New Roman"/>
          <w:sz w:val="20"/>
        </w:rPr>
      </w:pPr>
      <w:r>
        <w:rPr>
          <w:rFonts w:ascii="Times New Roman" w:hAnsi="Times New Roman"/>
          <w:color w:val="000000"/>
          <w:sz w:val="22"/>
        </w:rPr>
        <w:t>4.1 the Administrative Agent and the Lenders shall have received duly executed counterparts of this Amendment from each of the Borrower, the other Loan Parties and each of the Lenders;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4.2 the representations and warranties contained in this Amendment, the Credit Agreement and the other Loan Documents shall be true and correct in all material respects on and as of such date as if made on and as of such date (except to the extent such representation and warranty speaks to an earlier date, in which case such representation and warranty shall be true and correct in all material respects on and as of such earlier date), in each case, without duplication of materiality qualifiers; and</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4.3 no Default or Event of Default shall exist or have occurred and be continuing (after giving effect to the provisions of this Amendment).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5. </w:t>
      </w:r>
      <w:r>
        <w:rPr>
          <w:rFonts w:ascii="Times New Roman" w:hAnsi="Times New Roman"/>
          <w:i/>
          <w:color w:val="000000"/>
          <w:sz w:val="22"/>
        </w:rPr>
        <w:t xml:space="preserve">Effect of this Amendment; No Novation. </w:t>
      </w:r>
      <w:r>
        <w:rPr>
          <w:rFonts w:ascii="Times New Roman" w:hAnsi="Times New Roman"/>
          <w:color w:val="000000"/>
          <w:sz w:val="22"/>
        </w:rPr>
        <w:t>Except as expressly set forth herein, no other amendments, changes or modifications to the Loan Documents are intended or implied, and in all other respects the Loan Documents are hereby specifically ratified, reaffirmed and confirmed by each Loan Party as of the Second Amendment Effective Date and the Loan Parties shall not be entitled to any other or further amendment by virtue of the provisions of this Amendment or with respect to the subject matter of this Amendment. To the extent of conflict between the terms of this Amendment and the other Loan Documents, the terms of this Amendment shall control. On and after the Second Amendment Effective Date, the Credit Agreement and this Amendment shall be read and construed as one agreement. On and after the Second Amendment Effective Date, each reference in the Credit Agreement to “this Agreement”, “hereunder”, “hereof”, “herein” or words of like import, and each reference in the other Loan Documents to the Credit Agreement, shall mean and be a reference to the Existing Credit Agreement as amended by this Amendment. The parties hereto acknowledge and agree that this Amendment does not constitute a novation, satisfaction, payment, re-borrowing or termination of the “Obligations” under the Existing Credit Agreement or the other Loan Documents, and that all such “Obligations” under the Existing Credit Agreement or the other Loan Documents are in all respects continued and outstanding as “Obligations” under the Credit Agreement. The parties hereto hereby acknowledge and agree that this Amendment shall constitute a Loan Document for all purposes of the Credit Agreement and the other Loan Documents.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6. </w:t>
      </w:r>
      <w:r>
        <w:rPr>
          <w:rFonts w:ascii="Times New Roman" w:hAnsi="Times New Roman"/>
          <w:i/>
          <w:color w:val="000000"/>
          <w:sz w:val="22"/>
        </w:rPr>
        <w:t>Entire Agreement.</w:t>
      </w:r>
      <w:r>
        <w:rPr>
          <w:rFonts w:ascii="Times New Roman" w:hAnsi="Times New Roman"/>
          <w:color w:val="000000"/>
          <w:sz w:val="20"/>
        </w:rPr>
        <w:t xml:space="preserve"> </w:t>
      </w:r>
      <w:r>
        <w:rPr>
          <w:rFonts w:ascii="Times New Roman" w:hAnsi="Times New Roman"/>
          <w:color w:val="000000"/>
          <w:sz w:val="22"/>
        </w:rPr>
        <w:t>This Amendment represents the entire agreement and understanding concerning the subject matter hereof among the parties hereto, and supersedes all other prior agreements,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2"/>
        </w:rPr>
        <w:t>understandings, negotiations and discussions, representations, warranties, commitments, proposals, offers and contracts concerning the subject matter hereof, whether oral or written.</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7. </w:t>
      </w:r>
      <w:r>
        <w:rPr>
          <w:rFonts w:ascii="Times New Roman" w:hAnsi="Times New Roman"/>
          <w:i/>
          <w:color w:val="000000"/>
          <w:sz w:val="22"/>
        </w:rPr>
        <w:t>Governing Law and Waiver of Right to Trial by Jury.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7.1 </w:t>
      </w:r>
      <w:r>
        <w:rPr>
          <w:rFonts w:ascii="Times New Roman" w:hAnsi="Times New Roman"/>
          <w:smallCaps/>
          <w:color w:val="000000"/>
          <w:sz w:val="22"/>
        </w:rPr>
        <w:t>THIS AMENDMENT SHALL BE CONSTRUED IN ACCORDANCE WITH AND GOVERNED BY THE LAW OF THE STATE OF NEW YORK (EXCEPT FOR THE CONFLICT OF LAWS RULES THEREOF, BUT INCLUDING GENERAL OBLIGATIONS LAW SECTIONS 5-1401 AND 5-1402).</w:t>
      </w:r>
    </w:p>
    <w:p>
      <w:pPr>
        <w:pStyle w:val="TextBody"/>
        <w:bidi w:val="0"/>
        <w:spacing w:before="280" w:after="283"/>
        <w:jc w:val="both"/>
        <w:rPr>
          <w:rFonts w:ascii="Times New Roman" w:hAnsi="Times New Roman"/>
          <w:sz w:val="20"/>
        </w:rPr>
      </w:pPr>
      <w:r>
        <w:rPr>
          <w:rFonts w:ascii="Times New Roman" w:hAnsi="Times New Roman"/>
          <w:smallCaps/>
          <w:color w:val="000000"/>
          <w:sz w:val="22"/>
        </w:rPr>
        <w:t xml:space="preserve">7.2 </w:t>
      </w:r>
      <w:r>
        <w:rPr>
          <w:rFonts w:ascii="Times New Roman" w:hAnsi="Times New Roman"/>
          <w:color w:val="000000"/>
          <w:sz w:val="22"/>
        </w:rPr>
        <w:t>Each of the parties hereto hereby irrevocably and unconditionally submits, for itself and its property to the exclusive jurisdiction of the Supreme Court of the State of New York and of the United States District Court of the Southern District of New York, in each case sitting in New York County, and any appellate court from any thereof (and, to the extent necessary to enforce the Administrative Agent’s or the Lenders’ rights under the Loan Documents, courts where Collateral may be located or deemed to be located and any appellate court thereof), in any action or proceeding arising out of or relating to any Loan Document, or for recognition or enforcement of any judgment relating to any Loan Document,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7.3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w:t>
      </w:r>
      <w:r>
        <w:rPr>
          <w:rFonts w:ascii="Times New Roman" w:hAnsi="Times New Roman"/>
          <w:color w:val="000000"/>
          <w:sz w:val="22"/>
          <w:u w:val="single"/>
        </w:rPr>
        <w:t>Section 7.2</w:t>
      </w:r>
      <w:r>
        <w:rPr>
          <w:rFonts w:ascii="Times New Roman" w:hAnsi="Times New Roman"/>
          <w:color w:val="000000"/>
          <w:sz w:val="22"/>
        </w:rPr>
        <w:t>. Each of the parties hereto hereby irrevocably waives, to the fullest extent permitted by law, the defense of an inconvenient forum to the maintenance of such action or proceeding in any such court.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7.4 Each party to this Amendment irrevocably consents to service of process in the manner provided for notices in Section 9.01 of the Credit Agreement. Nothing in this Amendment or any other Loan Document will affect the right of any party to this Amendment to serve process in any other manner permitted by law.</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7.5 </w:t>
      </w:r>
      <w:r>
        <w:rPr>
          <w:rFonts w:ascii="Times New Roman" w:hAnsi="Times New Roman"/>
          <w:i/>
          <w:color w:val="000000"/>
          <w:sz w:val="22"/>
        </w:rPr>
        <w:t xml:space="preserve">WAIVER OF JURY TRIAL. </w:t>
      </w:r>
      <w:r>
        <w:rPr>
          <w:rFonts w:ascii="Times New Roman" w:hAnsi="Times New Roman"/>
          <w:color w:val="000000"/>
          <w:sz w:val="22"/>
        </w:rPr>
        <w:t>EACH PARTY HERETO HEREBY WAIVES, TO THE FULLEST EXTENT PERMITTED BY APPLICABLE LAW, ANY RIGHT IT MAY HAVE TO A TRIAL BY JURY IN ANY LEGAL PROCEEDING DIRECTLY OR INDIRECTLY ARISING OUT OF OR RELATING TO THIS AMENDMENT,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HAVE BEEN INDUCED TO ENTER INTO THIS AGREEMENT BY, AMONG OTHER THINGS, THE MUTUAL WAIVERS AND CERTIFICATIONS IN THIS SECTION.</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8. </w:t>
      </w:r>
      <w:r>
        <w:rPr>
          <w:rFonts w:ascii="Times New Roman" w:hAnsi="Times New Roman"/>
          <w:i/>
          <w:color w:val="000000"/>
          <w:sz w:val="22"/>
        </w:rPr>
        <w:t>Binding Effect</w:t>
      </w:r>
      <w:r>
        <w:rPr>
          <w:rFonts w:ascii="Times New Roman" w:hAnsi="Times New Roman"/>
          <w:color w:val="000000"/>
          <w:sz w:val="22"/>
        </w:rPr>
        <w:t>. This Amendment shall be binding upon and inure to the benefit of each of the parties hereto and their respective successors and permitted assigns.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9. </w:t>
      </w:r>
      <w:r>
        <w:rPr>
          <w:rFonts w:ascii="Times New Roman" w:hAnsi="Times New Roman"/>
          <w:i/>
          <w:color w:val="000000"/>
          <w:sz w:val="22"/>
        </w:rPr>
        <w:t>Further Assurances</w:t>
      </w:r>
      <w:r>
        <w:rPr>
          <w:rFonts w:ascii="Times New Roman" w:hAnsi="Times New Roman"/>
          <w:color w:val="000000"/>
          <w:sz w:val="22"/>
        </w:rPr>
        <w:t>. Each of the Loan Parties shall execute and deliver such additional documents and take such additional action as may be reasonably requested by the Administrative Agent or the Lenders to effectuate the provisions and purposes of this Amendment.</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10. </w:t>
      </w:r>
      <w:r>
        <w:rPr>
          <w:rFonts w:ascii="Times New Roman" w:hAnsi="Times New Roman"/>
          <w:i/>
          <w:color w:val="000000"/>
          <w:sz w:val="22"/>
        </w:rPr>
        <w:t>Amendment; Final Agreement</w:t>
      </w:r>
      <w:r>
        <w:rPr>
          <w:rFonts w:ascii="Times New Roman" w:hAnsi="Times New Roman"/>
          <w:color w:val="000000"/>
          <w:sz w:val="22"/>
        </w:rPr>
        <w:t xml:space="preserve">. This Amendment may not be amended, supplemented, or otherwise modified except by a written agreement entered into in accordance with Section 9.02 of the Credit Agreement. </w:t>
      </w:r>
      <w:r>
        <w:rPr>
          <w:rFonts w:ascii="Times New Roman" w:hAnsi="Times New Roman"/>
          <w:smallCaps/>
          <w:color w:val="000000"/>
          <w:sz w:val="22"/>
        </w:rPr>
        <w:t>This Amendment represents the final agreement between the parties and may not be contradicted by evidence of prior, contemporaneous or subsequent oral agreements of the parties.</w:t>
      </w:r>
      <w:r>
        <w:rPr>
          <w:rFonts w:ascii="Times New Roman" w:hAnsi="Times New Roman"/>
          <w:smallCaps/>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11. </w:t>
      </w:r>
      <w:r>
        <w:rPr>
          <w:rFonts w:ascii="Times New Roman" w:hAnsi="Times New Roman"/>
          <w:i/>
          <w:color w:val="000000"/>
          <w:sz w:val="22"/>
        </w:rPr>
        <w:t>Fees and Expenses.</w:t>
      </w:r>
      <w:r>
        <w:rPr>
          <w:rFonts w:ascii="Times New Roman" w:hAnsi="Times New Roman"/>
          <w:color w:val="000000"/>
          <w:sz w:val="20"/>
        </w:rPr>
        <w:t xml:space="preserve"> </w:t>
      </w:r>
      <w:r>
        <w:rPr>
          <w:rFonts w:ascii="Times New Roman" w:hAnsi="Times New Roman"/>
          <w:color w:val="000000"/>
          <w:sz w:val="22"/>
        </w:rPr>
        <w:t>The Borrower shall pay all reasonable and documented fees, costs and expenses incurred by the Administrative Agent and the Lenders to the extent required pursuant to Section 9.03 of the Credit Agreement in connection with this Amendment and the other instruments and documents being executed and delivered in connection herewith and the transactions contemplated hereby and matters herein.</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12. </w:t>
      </w:r>
      <w:r>
        <w:rPr>
          <w:rFonts w:ascii="Times New Roman" w:hAnsi="Times New Roman"/>
          <w:i/>
          <w:color w:val="000000"/>
          <w:sz w:val="22"/>
        </w:rPr>
        <w:t>Counterparts.</w:t>
      </w:r>
      <w:r>
        <w:rPr>
          <w:rFonts w:ascii="Times New Roman" w:hAnsi="Times New Roman"/>
          <w:color w:val="000000"/>
          <w:sz w:val="20"/>
        </w:rPr>
        <w:t xml:space="preserve"> </w:t>
      </w:r>
      <w:r>
        <w:rPr>
          <w:rFonts w:ascii="Times New Roman" w:hAnsi="Times New Roman"/>
          <w:color w:val="000000"/>
          <w:sz w:val="22"/>
        </w:rPr>
        <w:t>This Amendment may be executed in counterparts and by different parties on separate counterpart signature pages, each of which constitutes an original and all of which taken together constitute one and the same instrument. Delivery of a counterpart hereof by facsimile transmission or by e</w:t>
        <w:noBreakHyphen/>
        <w:t xml:space="preserve">mail transmission of an Adobe portable document format file (also known as a </w:t>
      </w:r>
      <w:r>
        <w:rPr>
          <w:rFonts w:ascii="Times New Roman" w:hAnsi="Times New Roman"/>
          <w:color w:val="000000"/>
          <w:sz w:val="20"/>
        </w:rPr>
        <w:t>“</w:t>
      </w:r>
      <w:r>
        <w:rPr>
          <w:rFonts w:ascii="Times New Roman" w:hAnsi="Times New Roman"/>
          <w:i/>
          <w:color w:val="000000"/>
          <w:sz w:val="22"/>
        </w:rPr>
        <w:t>PDF”</w:t>
      </w:r>
      <w:r>
        <w:rPr>
          <w:rFonts w:ascii="Times New Roman" w:hAnsi="Times New Roman"/>
          <w:color w:val="000000"/>
          <w:sz w:val="20"/>
        </w:rPr>
        <w:t xml:space="preserve"> </w:t>
      </w:r>
      <w:r>
        <w:rPr>
          <w:rFonts w:ascii="Times New Roman" w:hAnsi="Times New Roman"/>
          <w:color w:val="000000"/>
          <w:sz w:val="22"/>
        </w:rPr>
        <w:t>file) shall be effective as delivery of a manually executed counterpart hereof.</w:t>
      </w:r>
      <w:r>
        <w:rPr>
          <w:rFonts w:ascii="Times New Roman" w:hAnsi="Times New Roman"/>
          <w:color w:val="000000"/>
          <w:sz w:val="20"/>
        </w:rPr>
        <w:t xml:space="preserve"> </w:t>
      </w:r>
    </w:p>
    <w:p>
      <w:pPr>
        <w:pStyle w:val="TextBody"/>
        <w:bidi w:val="0"/>
        <w:spacing w:before="400" w:after="283"/>
        <w:jc w:val="center"/>
        <w:rPr>
          <w:rFonts w:ascii="Times New Roman" w:hAnsi="Times New Roman"/>
          <w:smallCaps/>
          <w:color w:val="000000"/>
          <w:sz w:val="22"/>
        </w:rPr>
      </w:pPr>
      <w:r>
        <w:rPr>
          <w:rFonts w:ascii="Times New Roman" w:hAnsi="Times New Roman"/>
          <w:smallCaps/>
          <w:color w:val="000000"/>
          <w:sz w:val="22"/>
        </w:rPr>
        <w:t>[Remainder of Page Intentionally Left Blank; Signature Pages to Follow]</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This Second Amendment to Amended and Restated Credit Agreement is entered into as of the date and year first above written.</w:t>
      </w:r>
    </w:p>
    <w:p>
      <w:pPr>
        <w:pStyle w:val="TextBody"/>
        <w:bidi w:val="0"/>
        <w:spacing w:before="280" w:after="283"/>
        <w:jc w:val="left"/>
        <w:rPr>
          <w:rFonts w:ascii="Times New Roman" w:hAnsi="Times New Roman"/>
          <w:i/>
          <w:smallCaps/>
          <w:color w:val="000000"/>
          <w:sz w:val="22"/>
        </w:rPr>
      </w:pPr>
      <w:r>
        <w:rPr>
          <w:rFonts w:ascii="Times New Roman" w:hAnsi="Times New Roman"/>
          <w:i/>
          <w:smallCaps/>
          <w:color w:val="000000"/>
          <w:sz w:val="22"/>
        </w:rPr>
        <w:t>Borrower</w:t>
      </w:r>
    </w:p>
    <w:p>
      <w:pPr>
        <w:pStyle w:val="TextBody"/>
        <w:bidi w:val="0"/>
        <w:spacing w:before="280" w:after="283"/>
        <w:jc w:val="left"/>
        <w:rPr>
          <w:rFonts w:ascii="Times New Roman" w:hAnsi="Times New Roman"/>
          <w:b/>
          <w:smallCaps/>
          <w:color w:val="000000"/>
          <w:sz w:val="22"/>
        </w:rPr>
      </w:pPr>
      <w:r>
        <w:rPr>
          <w:rFonts w:ascii="Times New Roman" w:hAnsi="Times New Roman"/>
          <w:b/>
          <w:smallCaps/>
          <w:color w:val="000000"/>
          <w:sz w:val="22"/>
        </w:rPr>
        <w:t>Eastman Kodak Company</w:t>
      </w:r>
    </w:p>
    <w:p>
      <w:pPr>
        <w:pStyle w:val="TextBody"/>
        <w:bidi w:val="0"/>
        <w:spacing w:before="280" w:after="283"/>
        <w:jc w:val="left"/>
        <w:rPr/>
      </w:pPr>
      <w:r>
        <w:rPr/>
        <w:t> </w:t>
      </w:r>
    </w:p>
    <w:p>
      <w:pPr>
        <w:pStyle w:val="TextBody"/>
        <w:bidi w:val="0"/>
        <w:spacing w:before="28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[Second Amendment to Amended and Restated Credit Agreement – Eastman Kodak Company]</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smallCaps/>
          <w:color w:val="000000"/>
          <w:sz w:val="22"/>
        </w:rPr>
      </w:pPr>
      <w:r>
        <w:rPr>
          <w:rFonts w:ascii="Times New Roman" w:hAnsi="Times New Roman"/>
          <w:i/>
          <w:smallCaps/>
          <w:color w:val="000000"/>
          <w:sz w:val="22"/>
        </w:rPr>
        <w:t>Other Loan Parties</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(Near East), Inc.</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Americas, Ltd.</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left"/>
        <w:rPr/>
      </w:pPr>
      <w:r>
        <w:rPr/>
        <w:t> </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Eastman Kodak International Capital Company, Inc.</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 President &amp; Treasurer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smallCaps/>
          <w:color w:val="000000"/>
          <w:sz w:val="22"/>
        </w:rPr>
        <w:t>Kodak International Finance Limited</w:t>
      </w:r>
      <w:r>
        <w:rPr>
          <w:rFonts w:ascii="Times New Roman" w:hAnsi="Times New Roman"/>
          <w:smallCaps/>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Canada ULC</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Philippines, Ltd.</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Graphic Systems Services, Inc.</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 and Treasurer</w:t>
      </w:r>
    </w:p>
    <w:p>
      <w:pPr>
        <w:pStyle w:val="TextBody"/>
        <w:bidi w:val="0"/>
        <w:jc w:val="left"/>
        <w:rPr/>
      </w:pPr>
      <w:r>
        <w:rPr/>
        <w:t> </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Limited</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Helen Griffiths</w:t>
      </w:r>
    </w:p>
    <w:p>
      <w:pPr>
        <w:pStyle w:val="TextBody"/>
        <w:bidi w:val="0"/>
        <w:jc w:val="left"/>
        <w:rPr>
          <w:rFonts w:ascii="Times New Roman" w:hAnsi="Times New Roman"/>
          <w:sz w:val="20"/>
        </w:rPr>
      </w:pPr>
      <w:r>
        <w:rPr>
          <w:rFonts w:ascii="Times New Roman" w:hAnsi="Times New Roman"/>
          <w:color w:val="000000"/>
          <w:sz w:val="22"/>
        </w:rPr>
        <w:t>Name: Helen Griffiths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[Second Amendment to Amended and Restated Credit Agreement – Eastman Kodak Company]</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Accepted and agreed to.</w:t>
      </w:r>
    </w:p>
    <w:p>
      <w:pPr>
        <w:pStyle w:val="TextBody"/>
        <w:bidi w:val="0"/>
        <w:spacing w:before="280" w:after="560"/>
        <w:jc w:val="left"/>
        <w:rPr>
          <w:rFonts w:ascii="Times New Roman" w:hAnsi="Times New Roman"/>
          <w:sz w:val="20"/>
        </w:rPr>
      </w:pPr>
      <w:r>
        <w:rPr>
          <w:rFonts w:ascii="Times New Roman" w:hAnsi="Times New Roman"/>
          <w:b/>
          <w:smallCaps/>
          <w:color w:val="000000"/>
          <w:sz w:val="22"/>
        </w:rPr>
        <w:t>ALTER DOMUS (US) LLC</w:t>
      </w:r>
      <w:r>
        <w:rPr>
          <w:rFonts w:ascii="Times New Roman" w:hAnsi="Times New Roman"/>
          <w:smallCaps/>
          <w:color w:val="000000"/>
          <w:sz w:val="22"/>
        </w:rPr>
        <w:t>,</w:t>
      </w:r>
      <w:r>
        <w:rPr>
          <w:rFonts w:ascii="Times New Roman" w:hAnsi="Times New Roman"/>
          <w:color w:val="000000"/>
          <w:sz w:val="20"/>
        </w:rPr>
        <w:t xml:space="preserve"> </w:t>
      </w:r>
      <w:r>
        <w:rPr>
          <w:rFonts w:ascii="Times New Roman" w:hAnsi="Times New Roman"/>
          <w:color w:val="000000"/>
          <w:sz w:val="22"/>
        </w:rPr>
        <w:t>as Administrative Agent</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Trybula</w:t>
      </w:r>
    </w:p>
    <w:p>
      <w:pPr>
        <w:pStyle w:val="TextBody"/>
        <w:bidi w:val="0"/>
        <w:jc w:val="left"/>
        <w:rPr>
          <w:rFonts w:ascii="Times New Roman" w:hAnsi="Times New Roman"/>
          <w:color w:val="000000"/>
          <w:sz w:val="22"/>
        </w:rPr>
      </w:pPr>
      <w:r>
        <w:rPr>
          <w:rFonts w:ascii="Times New Roman" w:hAnsi="Times New Roman"/>
          <w:color w:val="000000"/>
          <w:sz w:val="22"/>
        </w:rPr>
        <w:t>Name: Matthew Trybula</w:t>
      </w:r>
    </w:p>
    <w:p>
      <w:pPr>
        <w:pStyle w:val="TextBody"/>
        <w:bidi w:val="0"/>
        <w:jc w:val="left"/>
        <w:rPr>
          <w:rFonts w:ascii="Times New Roman" w:hAnsi="Times New Roman"/>
          <w:color w:val="000000"/>
          <w:sz w:val="22"/>
        </w:rPr>
      </w:pPr>
      <w:r>
        <w:rPr>
          <w:rFonts w:ascii="Times New Roman" w:hAnsi="Times New Roman"/>
          <w:color w:val="000000"/>
          <w:sz w:val="22"/>
        </w:rPr>
        <w:t>Title: Associate Counsel</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[Second Amendment to Amended and Restated Credit Agreement – Eastman Kodak Company]</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KENNEDY LEWIS (EU) SPV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Melissa Griffiths</w:t>
      </w:r>
    </w:p>
    <w:p>
      <w:pPr>
        <w:pStyle w:val="TextBody"/>
        <w:bidi w:val="0"/>
        <w:jc w:val="left"/>
        <w:rPr>
          <w:rFonts w:ascii="Times New Roman" w:hAnsi="Times New Roman"/>
          <w:color w:val="000000"/>
          <w:sz w:val="22"/>
        </w:rPr>
      </w:pPr>
      <w:r>
        <w:rPr>
          <w:rFonts w:ascii="Times New Roman" w:hAnsi="Times New Roman"/>
          <w:color w:val="000000"/>
          <w:sz w:val="22"/>
        </w:rPr>
        <w:t>Name: Melissa Griffiths</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KLIM DELTA HQC3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Melissa Griffiths</w:t>
      </w:r>
    </w:p>
    <w:p>
      <w:pPr>
        <w:pStyle w:val="TextBody"/>
        <w:bidi w:val="0"/>
        <w:jc w:val="left"/>
        <w:rPr>
          <w:rFonts w:ascii="Times New Roman" w:hAnsi="Times New Roman"/>
          <w:color w:val="000000"/>
          <w:sz w:val="22"/>
        </w:rPr>
      </w:pPr>
      <w:r>
        <w:rPr>
          <w:rFonts w:ascii="Times New Roman" w:hAnsi="Times New Roman"/>
          <w:color w:val="000000"/>
          <w:sz w:val="22"/>
        </w:rPr>
        <w:t>Name: Melissa Griffiths</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KENNEDY LEWIS CAPITAL PARTNERS</w:t>
      </w:r>
    </w:p>
    <w:p>
      <w:pPr>
        <w:pStyle w:val="TextBody"/>
        <w:bidi w:val="0"/>
        <w:jc w:val="left"/>
        <w:rPr>
          <w:rFonts w:ascii="Times New Roman" w:hAnsi="Times New Roman"/>
          <w:color w:val="000000"/>
          <w:sz w:val="22"/>
        </w:rPr>
      </w:pPr>
      <w:r>
        <w:rPr>
          <w:rFonts w:ascii="Times New Roman" w:hAnsi="Times New Roman"/>
          <w:color w:val="000000"/>
          <w:sz w:val="22"/>
        </w:rPr>
        <w:t>MASTER FUND II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Melissa Griffiths</w:t>
      </w:r>
    </w:p>
    <w:p>
      <w:pPr>
        <w:pStyle w:val="TextBody"/>
        <w:bidi w:val="0"/>
        <w:jc w:val="left"/>
        <w:rPr>
          <w:rFonts w:ascii="Times New Roman" w:hAnsi="Times New Roman"/>
          <w:color w:val="000000"/>
          <w:sz w:val="22"/>
        </w:rPr>
      </w:pPr>
      <w:r>
        <w:rPr>
          <w:rFonts w:ascii="Times New Roman" w:hAnsi="Times New Roman"/>
          <w:color w:val="000000"/>
          <w:sz w:val="22"/>
        </w:rPr>
        <w:t>Name: Melissa Griffiths</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[Second Amendment to Amended and Restated Credit Agreement – Eastman Kodak Company]</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KENNEDY LEWIS CAPITAL PARTNERS</w:t>
      </w:r>
    </w:p>
    <w:p>
      <w:pPr>
        <w:pStyle w:val="TextBody"/>
        <w:bidi w:val="0"/>
        <w:jc w:val="left"/>
        <w:rPr>
          <w:rFonts w:ascii="Times New Roman" w:hAnsi="Times New Roman"/>
          <w:color w:val="000000"/>
          <w:sz w:val="22"/>
        </w:rPr>
      </w:pPr>
      <w:r>
        <w:rPr>
          <w:rFonts w:ascii="Times New Roman" w:hAnsi="Times New Roman"/>
          <w:color w:val="000000"/>
          <w:sz w:val="22"/>
        </w:rPr>
        <w:t>MASTER FUND III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Melissa Griffiths</w:t>
      </w:r>
    </w:p>
    <w:p>
      <w:pPr>
        <w:pStyle w:val="TextBody"/>
        <w:bidi w:val="0"/>
        <w:jc w:val="left"/>
        <w:rPr>
          <w:rFonts w:ascii="Times New Roman" w:hAnsi="Times New Roman"/>
          <w:color w:val="000000"/>
          <w:sz w:val="22"/>
        </w:rPr>
      </w:pPr>
      <w:r>
        <w:rPr>
          <w:rFonts w:ascii="Times New Roman" w:hAnsi="Times New Roman"/>
          <w:color w:val="000000"/>
          <w:sz w:val="22"/>
        </w:rPr>
        <w:t>Name: Melissa Griffiths</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KLCP CO-INVESTMENT OPPORTUNITIES III</w:t>
      </w:r>
    </w:p>
    <w:p>
      <w:pPr>
        <w:pStyle w:val="TextBody"/>
        <w:bidi w:val="0"/>
        <w:jc w:val="left"/>
        <w:rPr>
          <w:rFonts w:ascii="Times New Roman" w:hAnsi="Times New Roman"/>
          <w:color w:val="000000"/>
          <w:sz w:val="22"/>
        </w:rPr>
      </w:pPr>
      <w:r>
        <w:rPr>
          <w:rFonts w:ascii="Times New Roman" w:hAnsi="Times New Roman"/>
          <w:color w:val="000000"/>
          <w:sz w:val="22"/>
        </w:rPr>
        <w:t>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Melissa Griffiths</w:t>
      </w:r>
    </w:p>
    <w:p>
      <w:pPr>
        <w:pStyle w:val="TextBody"/>
        <w:bidi w:val="0"/>
        <w:jc w:val="left"/>
        <w:rPr>
          <w:rFonts w:ascii="Times New Roman" w:hAnsi="Times New Roman"/>
          <w:color w:val="000000"/>
          <w:sz w:val="22"/>
        </w:rPr>
      </w:pPr>
      <w:r>
        <w:rPr>
          <w:rFonts w:ascii="Times New Roman" w:hAnsi="Times New Roman"/>
          <w:color w:val="000000"/>
          <w:sz w:val="22"/>
        </w:rPr>
        <w:t>Name: Melissa Griffiths</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KITKA FUND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Melissa Griffiths</w:t>
      </w:r>
    </w:p>
    <w:p>
      <w:pPr>
        <w:pStyle w:val="TextBody"/>
        <w:bidi w:val="0"/>
        <w:jc w:val="left"/>
        <w:rPr>
          <w:rFonts w:ascii="Times New Roman" w:hAnsi="Times New Roman"/>
          <w:color w:val="000000"/>
          <w:sz w:val="22"/>
        </w:rPr>
      </w:pPr>
      <w:r>
        <w:rPr>
          <w:rFonts w:ascii="Times New Roman" w:hAnsi="Times New Roman"/>
          <w:color w:val="000000"/>
          <w:sz w:val="22"/>
        </w:rPr>
        <w:t>Name: Melissa Griffiths</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[Second Amendment to Amended and Restated Credit Agreement – Eastman Kodak Company]</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FP CREDIT PARTNERS II AIV, L.P., as a Lender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L.P.</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Management,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Scott Eisenberg</w:t>
      </w:r>
    </w:p>
    <w:p>
      <w:pPr>
        <w:pStyle w:val="TextBody"/>
        <w:bidi w:val="0"/>
        <w:jc w:val="left"/>
        <w:rPr>
          <w:rFonts w:ascii="Times New Roman" w:hAnsi="Times New Roman"/>
          <w:color w:val="000000"/>
          <w:sz w:val="22"/>
        </w:rPr>
      </w:pPr>
      <w:r>
        <w:rPr>
          <w:rFonts w:ascii="Times New Roman" w:hAnsi="Times New Roman"/>
          <w:color w:val="000000"/>
          <w:sz w:val="22"/>
        </w:rPr>
        <w:t>Name: Scott Eisenberg</w:t>
      </w:r>
    </w:p>
    <w:p>
      <w:pPr>
        <w:pStyle w:val="TextBody"/>
        <w:bidi w:val="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FP CREDIT PARTNERS PHOENIX II AIV, L.P., as a Lender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L.P.</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Management,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Scott Eisenberg</w:t>
      </w:r>
    </w:p>
    <w:p>
      <w:pPr>
        <w:pStyle w:val="TextBody"/>
        <w:bidi w:val="0"/>
        <w:jc w:val="left"/>
        <w:rPr>
          <w:rFonts w:ascii="Times New Roman" w:hAnsi="Times New Roman"/>
          <w:color w:val="000000"/>
          <w:sz w:val="22"/>
        </w:rPr>
      </w:pPr>
      <w:r>
        <w:rPr>
          <w:rFonts w:ascii="Times New Roman" w:hAnsi="Times New Roman"/>
          <w:color w:val="000000"/>
          <w:sz w:val="22"/>
        </w:rPr>
        <w:t>Name: Scott Eisenberg</w:t>
      </w:r>
    </w:p>
    <w:p>
      <w:pPr>
        <w:pStyle w:val="TextBody"/>
        <w:bidi w:val="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[Second Amendment to Amended and Restated Credit Agreement – Eastman Kodak Company]</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8" w:name="kodk-ex31_1.htm"/>
      <w:bookmarkStart w:id="69" w:name="kskodkex31_1"/>
      <w:bookmarkEnd w:id="68"/>
      <w:bookmarkEnd w:id="69"/>
      <w:r>
        <w:rPr>
          <w:rFonts w:ascii="sans-serif" w:hAnsi="sans-serif"/>
          <w:b/>
          <w:color w:val="000000"/>
          <w:sz w:val="19"/>
        </w:rPr>
        <w:t>Exhibit (31.1)</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center"/>
        <w:rPr/>
      </w:pPr>
      <w:r>
        <w:rPr/>
        <w:t> </w:t>
      </w:r>
    </w:p>
    <w:p>
      <w:pPr>
        <w:pStyle w:val="TextBody"/>
        <w:bidi w:val="0"/>
        <w:jc w:val="left"/>
        <w:rPr>
          <w:rFonts w:ascii="sans-serif" w:hAnsi="sans-serif"/>
          <w:color w:val="000000"/>
          <w:sz w:val="19"/>
        </w:rPr>
      </w:pPr>
      <w:r>
        <w:rPr>
          <w:rFonts w:ascii="sans-serif" w:hAnsi="sans-serif"/>
          <w:color w:val="000000"/>
          <w:sz w:val="19"/>
        </w:rPr>
        <w:t>I, James V. Continenza,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James V. Continenza</w:t>
      </w:r>
    </w:p>
    <w:p>
      <w:pPr>
        <w:pStyle w:val="TextBody"/>
        <w:bidi w:val="0"/>
        <w:jc w:val="left"/>
        <w:rPr>
          <w:rFonts w:ascii="sans-serif" w:hAnsi="sans-serif"/>
          <w:color w:val="000000"/>
          <w:sz w:val="19"/>
        </w:rPr>
      </w:pPr>
      <w:r>
        <w:rPr>
          <w:rFonts w:ascii="sans-serif" w:hAnsi="sans-serif"/>
          <w:color w:val="000000"/>
          <w:sz w:val="19"/>
        </w:rPr>
        <w:t>James V. Continenza</w:t>
      </w:r>
    </w:p>
    <w:p>
      <w:pPr>
        <w:pStyle w:val="TextBody"/>
        <w:bidi w:val="0"/>
        <w:jc w:val="left"/>
        <w:rPr>
          <w:rFonts w:ascii="sans-serif" w:hAnsi="sans-serif"/>
          <w:color w:val="000000"/>
          <w:sz w:val="19"/>
        </w:rPr>
      </w:pPr>
      <w:r>
        <w:rPr>
          <w:rFonts w:ascii="sans-serif" w:hAnsi="sans-serif"/>
          <w:color w:val="000000"/>
          <w:sz w:val="19"/>
        </w:rPr>
        <w:t>Executive Chairman and</w:t>
      </w:r>
    </w:p>
    <w:p>
      <w:pPr>
        <w:pStyle w:val="TextBody"/>
        <w:bidi w:val="0"/>
        <w:jc w:val="left"/>
        <w:rPr>
          <w:rFonts w:ascii="sans-serif" w:hAnsi="sans-serif"/>
          <w:color w:val="000000"/>
          <w:sz w:val="19"/>
        </w:rPr>
      </w:pPr>
      <w:r>
        <w:rPr>
          <w:rFonts w:ascii="sans-serif" w:hAnsi="sans-serif"/>
          <w:color w:val="000000"/>
          <w:sz w:val="19"/>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May 8, 2025</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70" w:name="kodk-ex31_2.htm"/>
      <w:bookmarkStart w:id="71" w:name="kskodkex31_2"/>
      <w:bookmarkEnd w:id="70"/>
      <w:bookmarkEnd w:id="71"/>
      <w:r>
        <w:rPr>
          <w:rFonts w:ascii="sans-serif" w:hAnsi="sans-serif"/>
          <w:b/>
          <w:color w:val="000000"/>
          <w:sz w:val="19"/>
        </w:rPr>
        <w:t>Exhibit (31.2)</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I, David E. Bullwinkle,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David E. Bullwinkle</w:t>
      </w:r>
    </w:p>
    <w:p>
      <w:pPr>
        <w:pStyle w:val="TextBody"/>
        <w:bidi w:val="0"/>
        <w:jc w:val="left"/>
        <w:rPr>
          <w:rFonts w:ascii="sans-serif" w:hAnsi="sans-serif"/>
          <w:color w:val="000000"/>
          <w:sz w:val="19"/>
        </w:rPr>
      </w:pPr>
      <w:r>
        <w:rPr>
          <w:rFonts w:ascii="sans-serif" w:hAnsi="sans-serif"/>
          <w:color w:val="000000"/>
          <w:sz w:val="19"/>
        </w:rPr>
        <w:t>David E. Bullwinkle</w:t>
      </w:r>
    </w:p>
    <w:p>
      <w:pPr>
        <w:pStyle w:val="TextBody"/>
        <w:bidi w:val="0"/>
        <w:jc w:val="left"/>
        <w:rPr>
          <w:rFonts w:ascii="Times New Roman" w:hAnsi="Times New Roman"/>
          <w:sz w:val="20"/>
        </w:rPr>
      </w:pPr>
      <w:r>
        <w:rPr>
          <w:rFonts w:ascii="sans-serif" w:hAnsi="sans-serif"/>
          <w:color w:val="000000"/>
          <w:sz w:val="19"/>
        </w:rPr>
        <w:t xml:space="preserve">Chief Financial Officer </w:t>
      </w:r>
      <w:r>
        <w:rPr>
          <w:rFonts w:ascii="sans-serif" w:hAnsi="sans-serif"/>
          <w:color w:val="000000"/>
          <w:sz w:val="20"/>
        </w:rPr>
        <w:t>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May 8, 2025</w:t>
      </w:r>
    </w:p>
    <w:p>
      <w:pPr>
        <w:pStyle w:val="HorizontalLine"/>
        <w:pBdr>
          <w:bottom w:val="double" w:sz="2" w:space="0" w:color="808080"/>
        </w:pBdr>
        <w:bidi w:val="0"/>
        <w:spacing w:before="0" w:after="283"/>
        <w:jc w:val="left"/>
        <w:rPr/>
      </w:pPr>
      <w:r>
        <w:rPr/>
      </w:r>
    </w:p>
    <w:p>
      <w:pPr>
        <w:pStyle w:val="TextBody"/>
        <w:bidi w:val="0"/>
        <w:jc w:val="right"/>
        <w:rPr/>
      </w:pPr>
      <w:bookmarkStart w:id="72" w:name="kodk-ex32_1.htm"/>
      <w:bookmarkStart w:id="73" w:name="kskodkex32_1"/>
      <w:bookmarkEnd w:id="72"/>
      <w:bookmarkEnd w:id="73"/>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March 31, 2025,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James V. Continenza</w:t>
      </w:r>
    </w:p>
    <w:p>
      <w:pPr>
        <w:pStyle w:val="TextBody"/>
        <w:bidi w:val="0"/>
        <w:jc w:val="left"/>
        <w:rPr>
          <w:rFonts w:ascii="sans-serif" w:hAnsi="sans-serif"/>
          <w:color w:val="000000"/>
          <w:sz w:val="20"/>
        </w:rPr>
      </w:pPr>
      <w:r>
        <w:rPr>
          <w:rFonts w:ascii="sans-serif" w:hAnsi="sans-serif"/>
          <w:color w:val="000000"/>
          <w:sz w:val="20"/>
        </w:rPr>
        <w:t>James V. Continenza</w:t>
      </w:r>
    </w:p>
    <w:p>
      <w:pPr>
        <w:pStyle w:val="TextBody"/>
        <w:bidi w:val="0"/>
        <w:jc w:val="left"/>
        <w:rPr>
          <w:rFonts w:ascii="sans-serif" w:hAnsi="sans-serif"/>
          <w:color w:val="000000"/>
          <w:sz w:val="20"/>
        </w:rPr>
      </w:pPr>
      <w:r>
        <w:rPr>
          <w:rFonts w:ascii="sans-serif" w:hAnsi="sans-serif"/>
          <w:color w:val="000000"/>
          <w:sz w:val="20"/>
        </w:rPr>
        <w:t>Executive Chairman and</w:t>
      </w:r>
    </w:p>
    <w:p>
      <w:pPr>
        <w:pStyle w:val="TextBody"/>
        <w:bidi w:val="0"/>
        <w:jc w:val="left"/>
        <w:rPr>
          <w:rFonts w:ascii="sans-serif" w:hAnsi="sans-serif"/>
          <w:color w:val="000000"/>
          <w:sz w:val="20"/>
        </w:rPr>
      </w:pPr>
      <w:r>
        <w:rPr>
          <w:rFonts w:ascii="sans-serif" w:hAnsi="sans-serif"/>
          <w:color w:val="000000"/>
          <w:sz w:val="20"/>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May 8,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74" w:name="kodk-ex32_2.htm"/>
      <w:bookmarkStart w:id="75" w:name="kskodkex32_2"/>
      <w:bookmarkEnd w:id="74"/>
      <w:bookmarkEnd w:id="75"/>
      <w:r>
        <w:rPr/>
        <w:t> </w:t>
      </w:r>
      <w:r>
        <w:br w:type="page"/>
      </w:r>
    </w:p>
    <w:p>
      <w:pPr>
        <w:pStyle w:val="TextBody"/>
        <w:bidi w:val="0"/>
        <w:jc w:val="right"/>
        <w:rPr>
          <w:rFonts w:ascii="Times New Roman" w:hAnsi="Times New Roman"/>
          <w:sz w:val="20"/>
        </w:rPr>
      </w:pPr>
      <w:r>
        <w:rPr>
          <w:rFonts w:ascii="sans-serif" w:hAnsi="sans-serif"/>
          <w:b/>
          <w:color w:val="000000"/>
          <w:sz w:val="20"/>
        </w:rPr>
        <w:t>Exhibit (32.2)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March 31, 2025, as filed with the Securities and Exchange Commission on the date hereof (the "Report"), I, David E. Bullwinkle, Chief Financial Officer and Senior Vice President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David E. Bullwinkle</w:t>
      </w:r>
    </w:p>
    <w:p>
      <w:pPr>
        <w:pStyle w:val="TextBody"/>
        <w:bidi w:val="0"/>
        <w:jc w:val="left"/>
        <w:rPr>
          <w:rFonts w:ascii="sans-serif" w:hAnsi="sans-serif"/>
          <w:color w:val="000000"/>
          <w:sz w:val="20"/>
        </w:rPr>
      </w:pPr>
      <w:r>
        <w:rPr>
          <w:rFonts w:ascii="sans-serif" w:hAnsi="sans-serif"/>
          <w:color w:val="000000"/>
          <w:sz w:val="20"/>
        </w:rPr>
        <w:t>David E. Bullwinkle</w:t>
      </w:r>
    </w:p>
    <w:p>
      <w:pPr>
        <w:pStyle w:val="TextBody"/>
        <w:bidi w:val="0"/>
        <w:jc w:val="left"/>
        <w:rPr>
          <w:rFonts w:ascii="sans-serif" w:hAnsi="sans-serif"/>
          <w:color w:val="000000"/>
          <w:sz w:val="20"/>
        </w:rPr>
      </w:pPr>
      <w:r>
        <w:rPr>
          <w:rFonts w:ascii="sans-serif" w:hAnsi="sans-serif"/>
          <w:color w:val="000000"/>
          <w:sz w:val="20"/>
        </w:rPr>
        <w:t>Chief Financial Officer 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May 8, 2025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235/000119312513354928/d591063dex41.htm" TargetMode="External"/><Relationship Id="rId3" Type="http://schemas.openxmlformats.org/officeDocument/2006/relationships/hyperlink" Target="https://www.sec.gov/Archives/edgar/data/31235/000156459016029358/kodk-ex31_26.htm" TargetMode="External"/><Relationship Id="rId4" Type="http://schemas.openxmlformats.org/officeDocument/2006/relationships/hyperlink" Target="https://www.sec.gov/Archives/edgar/data/31235/000119312519243935/d803063dex31.htm" TargetMode="External"/><Relationship Id="rId5" Type="http://schemas.openxmlformats.org/officeDocument/2006/relationships/hyperlink" Target="https://www.sec.gov/Archives/edgar/data/31235/000119312519243935/d803063dex32.htm" TargetMode="External"/><Relationship Id="rId6" Type="http://schemas.openxmlformats.org/officeDocument/2006/relationships/hyperlink" Target="https://www.sec.gov/Archives/edgar/data/31235/000156459020058718/kodk-ex31_14.htm" TargetMode="External"/><Relationship Id="rId7" Type="http://schemas.openxmlformats.org/officeDocument/2006/relationships/hyperlink" Target="https://www.sec.gov/Archives/edgar/data/31235/000119312521062328/d468860dex31.htm" TargetMode="External"/><Relationship Id="rId8" Type="http://schemas.openxmlformats.org/officeDocument/2006/relationships/hyperlink" Target="https://www.sec.gov/Archives/edgar/data/31235/000119312521062328/d468860dex32.htm" TargetMode="External"/><Relationship Id="rId9" Type="http://schemas.openxmlformats.org/officeDocument/2006/relationships/hyperlink" Target="https://www.sec.gov/Archives/edgar/data/31235/000156459020024666/kodk-ex35_31.htm" TargetMode="External"/><Relationship Id="rId10" Type="http://schemas.openxmlformats.org/officeDocument/2006/relationships/hyperlink" Target="https://www.sec.gov/Archives/edgar/data/31235/000095017025040256/kodk-ex10_28.htm" TargetMode="External"/><Relationship Id="rId11" Type="http://schemas.openxmlformats.org/officeDocument/2006/relationships/hyperlink" Target="https://www.sec.gov/Archives/edgar/data/31235/000095017025040256/kodk-ex10_3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26284</Words>
  <Characters>141571</Characters>
  <CharactersWithSpaces>169154</CharactersWithSpaces>
  <Paragraphs>6089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