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-611505</wp:posOffset>
            </wp:positionV>
            <wp:extent cx="57150" cy="6248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-611505</wp:posOffset>
            </wp:positionV>
            <wp:extent cx="57150" cy="624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723900</wp:posOffset>
            </wp:positionV>
            <wp:extent cx="6997065" cy="8719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871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CONTINENZA JAMES V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EASTMAN KODAK COMPANY 343 STATE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271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EASTMAN KODAK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KODK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700" w:hanging="9"/>
        <w:spacing w:after="0" w:line="248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8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Executive Chairman and CEO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1" w:space="720"/>
            <w:col w:w="3349"/>
          </w:cols>
          <w:pgMar w:left="460" w:top="215" w:right="359" w:bottom="0" w:gutter="0" w:footer="0" w:header="0"/>
          <w:type w:val="continuous"/>
        </w:sectPr>
      </w:pPr>
    </w:p>
    <w:p>
      <w:pPr>
        <w:spacing w:after="0" w:line="20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14650</w:t>
            </w: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Stock, par value $.01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02/26/2026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100,000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3,150,896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Stock, par value $.01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02/26/2026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39,350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7.53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3,111,546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00"/>
                <w:w w:val="9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w w:val="97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3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92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2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2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3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5,000,000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5,000,000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00"/>
                <w:w w:val="9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w w:val="97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7"/>
              </w:rPr>
              <w:t>(4)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196,336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196,336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00"/>
                <w:w w:val="9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w w:val="97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7"/>
              </w:rPr>
              <w:t>(5)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114,943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114,943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00"/>
                <w:w w:val="9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w w:val="97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7"/>
              </w:rPr>
              <w:t>(6)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163,613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163,613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92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2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2"/>
              </w:rPr>
              <w:t>(7)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241,589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241,589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02/19/2029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298,780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298,780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6.03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02/19/2029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298,780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298,780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12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02/19/2029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170,733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170,733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02/19/2029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350,000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-5616575</wp:posOffset>
            </wp:positionV>
            <wp:extent cx="28575" cy="5744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574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280035</wp:posOffset>
            </wp:positionH>
            <wp:positionV relativeFrom="page">
              <wp:posOffset>88900</wp:posOffset>
            </wp:positionV>
            <wp:extent cx="7047865" cy="21634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2163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6.03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40" w:hanging="122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units, which convert into common stock on a one-for-one basis ("RSUs"), vested on 2/26/2026.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2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cover tax withholding obligations on the vesting of RSUs.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2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RSUs will vest annually in five equal installments commencing 12/31/2026, except as otherwise provided in the award notice or the employment agreement between the reporting person and the Company.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2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 will vest on 11/29/2026, except as otherwise provided in the award notice or the employment agreement between the reporting person and the Company.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hanging="2"/>
        <w:spacing w:after="0" w:line="245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 will vest in substantially equal installments on each of 11/29/2026 and 11/29/2027, except as otherwise provided in the award notice or the employment agreement between the reporting person and the Company.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hanging="2"/>
        <w:spacing w:after="0" w:line="245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 will vest in substantially equal installments on each of 11/29/2026, 11/29/2027 and 11/29/2028, except as otherwise provided in the award notice or the employment agreement between the reporting person and the Company.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540" w:hanging="2"/>
        <w:spacing w:after="0" w:line="245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a right to receive one share of common stock and becomes payable at the election of Mr. Continenza in the year following the year of his separation from service as a director in either a single lump sum payment or in a maximum of ten annual installments.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2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is fully vested as of the date of this report.</w:t>
      </w:r>
    </w:p>
    <w:p>
      <w:pPr>
        <w:ind w:left="6580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Roger W. Byrd, Attorney-in-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03/02/2026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4177030</wp:posOffset>
            </wp:positionH>
            <wp:positionV relativeFrom="paragraph">
              <wp:posOffset>-26670</wp:posOffset>
            </wp:positionV>
            <wp:extent cx="13239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 for James V. Continenza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4177030</wp:posOffset>
            </wp:positionH>
            <wp:positionV relativeFrom="paragraph">
              <wp:posOffset>-15875</wp:posOffset>
            </wp:positionV>
            <wp:extent cx="12192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5575935</wp:posOffset>
            </wp:positionH>
            <wp:positionV relativeFrom="paragraph">
              <wp:posOffset>-79375</wp:posOffset>
            </wp:positionV>
            <wp:extent cx="47371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20" w:right="3760" w:hanging="2"/>
        <w:spacing w:after="0" w:line="328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9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97594" TargetMode="External"/><Relationship Id="rId14" Type="http://schemas.openxmlformats.org/officeDocument/2006/relationships/hyperlink" Target="http://www.sec.gov/cgi-bin/browse-edgar?action=getcompany&amp;CIK=00000312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2026-03-02T15:47:06Z</dcterms:created>
  <dcterms:modified xsi:type="dcterms:W3CDTF">2026-03-02T15:47:06Z</dcterms:modified>
</cp:coreProperties>
</file>