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287655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304165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64770</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24"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79375</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78" w:lineRule="exact"/>
        <w:rPr>
          <w:sz w:val="24"/>
          <w:szCs w:val="24"/>
          <w:color w:val="auto"/>
        </w:rPr>
      </w:pPr>
    </w:p>
    <w:p>
      <w:pPr>
        <w:ind w:left="4020" w:right="2400" w:hanging="4016"/>
        <w:spacing w:after="0" w:line="454" w:lineRule="auto"/>
        <w:tabs>
          <w:tab w:leader="none" w:pos="452"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year ended December 31, 2021 or</w:t>
      </w:r>
    </w:p>
    <w:p>
      <w:pPr>
        <w:ind w:left="460" w:hanging="456"/>
        <w:spacing w:after="0" w:line="221" w:lineRule="auto"/>
        <w:tabs>
          <w:tab w:leader="none" w:pos="460" w:val="left"/>
        </w:tabs>
        <w:numPr>
          <w:ilvl w:val="0"/>
          <w:numId w:val="2"/>
        </w:numPr>
        <w:rPr>
          <w:rFonts w:ascii="MS PGothic" w:cs="MS PGothic" w:eastAsia="MS PGothic" w:hAnsi="MS PGothic"/>
          <w:sz w:val="4"/>
          <w:szCs w:val="4"/>
          <w:color w:val="auto"/>
          <w:highlight w:val="black"/>
        </w:rPr>
      </w:pPr>
      <w:r>
        <w:rPr>
          <w:rFonts w:ascii="Arial" w:cs="Arial" w:eastAsia="Arial" w:hAnsi="Arial"/>
          <w:sz w:val="4"/>
          <w:szCs w:val="4"/>
          <w:b w:val="1"/>
          <w:bCs w:val="1"/>
          <w:color w:val="auto"/>
        </w:rPr>
        <w:t>TRANSITION REPORT PURSUANT TO SECTION 13 OR 15(d) OF THE SECURITIES EXCHANGE ACT OF 1934 FOR THE</w:t>
      </w:r>
    </w:p>
    <w:p>
      <w:pPr>
        <w:spacing w:after="0" w:line="195" w:lineRule="exact"/>
        <w:rPr>
          <w:sz w:val="24"/>
          <w:szCs w:val="24"/>
          <w:color w:val="auto"/>
        </w:rPr>
      </w:pPr>
    </w:p>
    <w:p>
      <w:pPr>
        <w:ind w:left="460"/>
        <w:spacing w:after="0"/>
        <w:tabs>
          <w:tab w:leader="none" w:pos="3780" w:val="left"/>
        </w:tabs>
        <w:rPr>
          <w:sz w:val="20"/>
          <w:szCs w:val="20"/>
          <w:color w:val="auto"/>
        </w:rPr>
      </w:pPr>
      <w:r>
        <w:rPr>
          <w:rFonts w:ascii="Arial" w:cs="Arial" w:eastAsia="Arial" w:hAnsi="Arial"/>
          <w:sz w:val="17"/>
          <w:szCs w:val="17"/>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3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77470</wp:posOffset>
            </wp:positionV>
            <wp:extent cx="1430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31"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EASTMAN KODAK COMPANY</w:t>
      </w:r>
    </w:p>
    <w:p>
      <w:pPr>
        <w:spacing w:after="0" w:line="3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56515</wp:posOffset>
            </wp:positionV>
            <wp:extent cx="143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740" w:type="dxa"/>
            <w:vAlign w:val="bottom"/>
            <w:gridSpan w:val="4"/>
          </w:tcPr>
          <w:p>
            <w:pPr>
              <w:jc w:val="center"/>
              <w:ind w:left="825"/>
              <w:spacing w:after="0"/>
              <w:rPr>
                <w:sz w:val="20"/>
                <w:szCs w:val="20"/>
                <w:color w:val="auto"/>
              </w:rPr>
            </w:pPr>
            <w:r>
              <w:rPr>
                <w:rFonts w:ascii="Arial" w:cs="Arial" w:eastAsia="Arial" w:hAnsi="Arial"/>
                <w:sz w:val="17"/>
                <w:szCs w:val="17"/>
                <w:b w:val="1"/>
                <w:bCs w:val="1"/>
                <w:color w:val="auto"/>
              </w:rPr>
              <w:t>NEW JERSEY</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20" w:type="dxa"/>
            <w:vAlign w:val="bottom"/>
          </w:tcPr>
          <w:p>
            <w:pPr>
              <w:jc w:val="right"/>
              <w:ind w:right="2407"/>
              <w:spacing w:after="0"/>
              <w:rPr>
                <w:sz w:val="20"/>
                <w:szCs w:val="20"/>
                <w:color w:val="auto"/>
              </w:rPr>
            </w:pPr>
            <w:r>
              <w:rPr>
                <w:rFonts w:ascii="Arial" w:cs="Arial" w:eastAsia="Arial" w:hAnsi="Arial"/>
                <w:sz w:val="17"/>
                <w:szCs w:val="17"/>
                <w:b w:val="1"/>
                <w:bCs w:val="1"/>
                <w:color w:val="auto"/>
              </w:rPr>
              <w:t>16-0417150</w:t>
            </w:r>
          </w:p>
        </w:tc>
      </w:tr>
      <w:tr>
        <w:trPr>
          <w:trHeight w:val="130"/>
        </w:trPr>
        <w:tc>
          <w:tcPr>
            <w:tcW w:w="4740" w:type="dxa"/>
            <w:vAlign w:val="bottom"/>
            <w:gridSpan w:val="4"/>
          </w:tcPr>
          <w:p>
            <w:pPr>
              <w:jc w:val="center"/>
              <w:ind w:left="825"/>
              <w:spacing w:after="0" w:line="130" w:lineRule="exact"/>
              <w:rPr>
                <w:sz w:val="20"/>
                <w:szCs w:val="20"/>
                <w:color w:val="auto"/>
              </w:rPr>
            </w:pPr>
            <w:r>
              <w:rPr>
                <w:rFonts w:ascii="Arial" w:cs="Arial" w:eastAsia="Arial" w:hAnsi="Arial"/>
                <w:sz w:val="12"/>
                <w:szCs w:val="12"/>
                <w:b w:val="1"/>
                <w:bCs w:val="1"/>
                <w:color w:val="auto"/>
                <w:w w:val="91"/>
              </w:rPr>
              <w:t>(State or other jurisdiction of incorporation or organization)</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920" w:type="dxa"/>
            <w:vAlign w:val="bottom"/>
          </w:tcPr>
          <w:p>
            <w:pPr>
              <w:jc w:val="center"/>
              <w:ind w:right="1827"/>
              <w:spacing w:after="0" w:line="130" w:lineRule="exact"/>
              <w:rPr>
                <w:sz w:val="20"/>
                <w:szCs w:val="20"/>
                <w:color w:val="auto"/>
              </w:rPr>
            </w:pPr>
            <w:r>
              <w:rPr>
                <w:rFonts w:ascii="Arial" w:cs="Arial" w:eastAsia="Arial" w:hAnsi="Arial"/>
                <w:sz w:val="12"/>
                <w:szCs w:val="12"/>
                <w:b w:val="1"/>
                <w:bCs w:val="1"/>
                <w:color w:val="auto"/>
                <w:w w:val="94"/>
              </w:rPr>
              <w:t>(I.R.S. Employer Identification No.)</w:t>
            </w:r>
          </w:p>
        </w:tc>
      </w:tr>
      <w:tr>
        <w:trPr>
          <w:trHeight w:val="209"/>
        </w:trPr>
        <w:tc>
          <w:tcPr>
            <w:tcW w:w="4740" w:type="dxa"/>
            <w:vAlign w:val="bottom"/>
            <w:gridSpan w:val="4"/>
          </w:tcPr>
          <w:p>
            <w:pPr>
              <w:jc w:val="center"/>
              <w:ind w:left="825"/>
              <w:spacing w:after="0"/>
              <w:rPr>
                <w:sz w:val="20"/>
                <w:szCs w:val="20"/>
                <w:color w:val="auto"/>
              </w:rPr>
            </w:pPr>
            <w:r>
              <w:rPr>
                <w:rFonts w:ascii="Arial" w:cs="Arial" w:eastAsia="Arial" w:hAnsi="Arial"/>
                <w:sz w:val="17"/>
                <w:szCs w:val="17"/>
                <w:b w:val="1"/>
                <w:bCs w:val="1"/>
                <w:color w:val="auto"/>
              </w:rPr>
              <w:t>343 STATE STREET, ROCHESTER, NEW YORK</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20" w:type="dxa"/>
            <w:vAlign w:val="bottom"/>
          </w:tcPr>
          <w:p>
            <w:pPr>
              <w:jc w:val="right"/>
              <w:ind w:right="2607"/>
              <w:spacing w:after="0"/>
              <w:rPr>
                <w:sz w:val="20"/>
                <w:szCs w:val="20"/>
                <w:color w:val="auto"/>
              </w:rPr>
            </w:pPr>
            <w:r>
              <w:rPr>
                <w:rFonts w:ascii="Arial" w:cs="Arial" w:eastAsia="Arial" w:hAnsi="Arial"/>
                <w:sz w:val="17"/>
                <w:szCs w:val="17"/>
                <w:b w:val="1"/>
                <w:bCs w:val="1"/>
                <w:color w:val="auto"/>
              </w:rPr>
              <w:t>14650</w:t>
            </w:r>
          </w:p>
        </w:tc>
      </w:tr>
      <w:tr>
        <w:trPr>
          <w:trHeight w:val="158"/>
        </w:trPr>
        <w:tc>
          <w:tcPr>
            <w:tcW w:w="4740" w:type="dxa"/>
            <w:vAlign w:val="bottom"/>
            <w:gridSpan w:val="4"/>
          </w:tcPr>
          <w:p>
            <w:pPr>
              <w:jc w:val="center"/>
              <w:ind w:left="825"/>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20" w:type="dxa"/>
            <w:vAlign w:val="bottom"/>
          </w:tcPr>
          <w:p>
            <w:pPr>
              <w:jc w:val="center"/>
              <w:ind w:right="1807"/>
              <w:spacing w:after="0"/>
              <w:rPr>
                <w:sz w:val="20"/>
                <w:szCs w:val="20"/>
                <w:color w:val="auto"/>
              </w:rPr>
            </w:pPr>
            <w:r>
              <w:rPr>
                <w:rFonts w:ascii="Arial" w:cs="Arial" w:eastAsia="Arial" w:hAnsi="Arial"/>
                <w:sz w:val="12"/>
                <w:szCs w:val="12"/>
                <w:b w:val="1"/>
                <w:bCs w:val="1"/>
                <w:color w:val="auto"/>
                <w:w w:val="94"/>
              </w:rPr>
              <w:t>(Zip Code)</w:t>
            </w:r>
          </w:p>
        </w:tc>
      </w:tr>
      <w:tr>
        <w:trPr>
          <w:trHeight w:val="237"/>
        </w:trPr>
        <w:tc>
          <w:tcPr>
            <w:tcW w:w="11340" w:type="dxa"/>
            <w:vAlign w:val="bottom"/>
            <w:gridSpan w:val="9"/>
          </w:tcPr>
          <w:p>
            <w:pPr>
              <w:jc w:val="center"/>
              <w:ind w:right="27"/>
              <w:spacing w:after="0"/>
              <w:rPr>
                <w:sz w:val="20"/>
                <w:szCs w:val="20"/>
                <w:color w:val="auto"/>
              </w:rPr>
            </w:pPr>
            <w:r>
              <w:rPr>
                <w:rFonts w:ascii="Arial" w:cs="Arial" w:eastAsia="Arial" w:hAnsi="Arial"/>
                <w:sz w:val="17"/>
                <w:szCs w:val="17"/>
                <w:b w:val="1"/>
                <w:bCs w:val="1"/>
                <w:color w:val="auto"/>
                <w:w w:val="91"/>
              </w:rPr>
              <w:t>Registrant’s telephone number, including area code: (585) 724-4000</w:t>
            </w:r>
          </w:p>
        </w:tc>
      </w:tr>
      <w:tr>
        <w:trPr>
          <w:trHeight w:val="91"/>
        </w:trPr>
        <w:tc>
          <w:tcPr>
            <w:tcW w:w="4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920" w:type="dxa"/>
            <w:vAlign w:val="bottom"/>
          </w:tcPr>
          <w:p>
            <w:pPr>
              <w:spacing w:after="0"/>
              <w:rPr>
                <w:sz w:val="7"/>
                <w:szCs w:val="7"/>
                <w:color w:val="auto"/>
              </w:rPr>
            </w:pPr>
          </w:p>
        </w:tc>
      </w:tr>
      <w:tr>
        <w:trPr>
          <w:trHeight w:val="193"/>
        </w:trPr>
        <w:tc>
          <w:tcPr>
            <w:tcW w:w="7420" w:type="dxa"/>
            <w:vAlign w:val="bottom"/>
            <w:gridSpan w:val="8"/>
          </w:tcPr>
          <w:p>
            <w:pPr>
              <w:jc w:val="center"/>
              <w:ind w:left="3745"/>
              <w:spacing w:after="0"/>
              <w:rPr>
                <w:sz w:val="20"/>
                <w:szCs w:val="20"/>
                <w:color w:val="auto"/>
              </w:rPr>
            </w:pPr>
            <w:r>
              <w:rPr>
                <w:rFonts w:ascii="Arial" w:cs="Arial" w:eastAsia="Arial" w:hAnsi="Arial"/>
                <w:sz w:val="15"/>
                <w:szCs w:val="15"/>
                <w:color w:val="auto"/>
                <w:w w:val="89"/>
              </w:rPr>
              <w:t>Securities registered pursuant to Section 12(b) of the Act:</w:t>
            </w:r>
          </w:p>
        </w:tc>
        <w:tc>
          <w:tcPr>
            <w:tcW w:w="3920" w:type="dxa"/>
            <w:vAlign w:val="bottom"/>
          </w:tcPr>
          <w:p>
            <w:pPr>
              <w:spacing w:after="0"/>
              <w:rPr>
                <w:sz w:val="16"/>
                <w:szCs w:val="16"/>
                <w:color w:val="auto"/>
              </w:rPr>
            </w:pPr>
          </w:p>
        </w:tc>
      </w:tr>
      <w:tr>
        <w:trPr>
          <w:trHeight w:val="210"/>
        </w:trPr>
        <w:tc>
          <w:tcPr>
            <w:tcW w:w="47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Title of each class</w:t>
            </w:r>
          </w:p>
        </w:tc>
        <w:tc>
          <w:tcPr>
            <w:tcW w:w="268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9"/>
              </w:rPr>
              <w:t>Trading Symbol(s)</w:t>
            </w:r>
          </w:p>
        </w:tc>
        <w:tc>
          <w:tcPr>
            <w:tcW w:w="3920" w:type="dxa"/>
            <w:vAlign w:val="bottom"/>
          </w:tcPr>
          <w:p>
            <w:pPr>
              <w:jc w:val="center"/>
              <w:ind w:right="1027"/>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87"/>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8"/>
              </w:rPr>
              <w:t>Common stock, par value $0.01 per share</w:t>
            </w:r>
          </w:p>
        </w:tc>
        <w:tc>
          <w:tcPr>
            <w:tcW w:w="120" w:type="dxa"/>
            <w:vAlign w:val="bottom"/>
          </w:tcPr>
          <w:p>
            <w:pPr>
              <w:spacing w:after="0"/>
              <w:rPr>
                <w:sz w:val="16"/>
                <w:szCs w:val="16"/>
                <w:color w:val="auto"/>
              </w:rPr>
            </w:pPr>
          </w:p>
        </w:tc>
        <w:tc>
          <w:tcPr>
            <w:tcW w:w="280" w:type="dxa"/>
            <w:vAlign w:val="bottom"/>
            <w:tcBorders>
              <w:top w:val="single" w:sz="8" w:color="auto"/>
            </w:tcBorders>
            <w:gridSpan w:val="2"/>
          </w:tcPr>
          <w:p>
            <w:pPr>
              <w:spacing w:after="0"/>
              <w:rPr>
                <w:sz w:val="16"/>
                <w:szCs w:val="16"/>
                <w:color w:val="auto"/>
              </w:rPr>
            </w:pPr>
          </w:p>
        </w:tc>
        <w:tc>
          <w:tcPr>
            <w:tcW w:w="1420" w:type="dxa"/>
            <w:vAlign w:val="bottom"/>
            <w:tcBorders>
              <w:top w:val="single" w:sz="8" w:color="auto"/>
            </w:tcBorders>
          </w:tcPr>
          <w:p>
            <w:pPr>
              <w:jc w:val="center"/>
              <w:ind w:right="208"/>
              <w:spacing w:after="0"/>
              <w:rPr>
                <w:sz w:val="20"/>
                <w:szCs w:val="20"/>
                <w:color w:val="auto"/>
              </w:rPr>
            </w:pPr>
            <w:r>
              <w:rPr>
                <w:rFonts w:ascii="Arial" w:cs="Arial" w:eastAsia="Arial" w:hAnsi="Arial"/>
                <w:sz w:val="15"/>
                <w:szCs w:val="15"/>
                <w:color w:val="auto"/>
                <w:w w:val="98"/>
              </w:rPr>
              <w:t>KODK</w:t>
            </w:r>
          </w:p>
        </w:tc>
        <w:tc>
          <w:tcPr>
            <w:tcW w:w="100" w:type="dxa"/>
            <w:vAlign w:val="bottom"/>
          </w:tcPr>
          <w:p>
            <w:pPr>
              <w:spacing w:after="0"/>
              <w:rPr>
                <w:sz w:val="16"/>
                <w:szCs w:val="16"/>
                <w:color w:val="auto"/>
              </w:rPr>
            </w:pPr>
          </w:p>
        </w:tc>
        <w:tc>
          <w:tcPr>
            <w:tcW w:w="1160" w:type="dxa"/>
            <w:vAlign w:val="bottom"/>
            <w:tcBorders>
              <w:top w:val="single" w:sz="8" w:color="auto"/>
            </w:tcBorders>
            <w:gridSpan w:val="2"/>
          </w:tcPr>
          <w:p>
            <w:pPr>
              <w:spacing w:after="0"/>
              <w:rPr>
                <w:sz w:val="16"/>
                <w:szCs w:val="16"/>
                <w:color w:val="auto"/>
              </w:rPr>
            </w:pPr>
          </w:p>
        </w:tc>
        <w:tc>
          <w:tcPr>
            <w:tcW w:w="3920" w:type="dxa"/>
            <w:vAlign w:val="bottom"/>
            <w:tcBorders>
              <w:top w:val="single" w:sz="8" w:color="auto"/>
            </w:tcBorders>
          </w:tcPr>
          <w:p>
            <w:pPr>
              <w:jc w:val="center"/>
              <w:ind w:right="1027"/>
              <w:spacing w:after="0"/>
              <w:rPr>
                <w:sz w:val="20"/>
                <w:szCs w:val="20"/>
                <w:color w:val="auto"/>
              </w:rPr>
            </w:pPr>
            <w:r>
              <w:rPr>
                <w:rFonts w:ascii="Arial" w:cs="Arial" w:eastAsia="Arial" w:hAnsi="Arial"/>
                <w:sz w:val="15"/>
                <w:szCs w:val="15"/>
                <w:color w:val="auto"/>
                <w:w w:val="88"/>
              </w:rPr>
              <w:t>New York Stock Exchange</w:t>
            </w:r>
          </w:p>
        </w:tc>
      </w:tr>
    </w:tbl>
    <w:p>
      <w:pPr>
        <w:spacing w:after="0" w:line="51"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0" w:lineRule="exact"/>
        <w:rPr>
          <w:sz w:val="24"/>
          <w:szCs w:val="24"/>
          <w:color w:val="auto"/>
        </w:rPr>
      </w:pPr>
    </w:p>
    <w:p>
      <w:pPr>
        <w:ind w:right="34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14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22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4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16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4"/>
        </w:trPr>
        <w:tc>
          <w:tcPr>
            <w:tcW w:w="24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16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24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8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82" w:lineRule="exact"/>
        <w:rPr>
          <w:sz w:val="24"/>
          <w:szCs w:val="24"/>
          <w:color w:val="auto"/>
        </w:rPr>
      </w:pPr>
    </w:p>
    <w:p>
      <w:pPr>
        <w:ind w:right="5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 w:lineRule="exact"/>
        <w:rPr>
          <w:sz w:val="24"/>
          <w:szCs w:val="24"/>
          <w:color w:val="auto"/>
        </w:rPr>
      </w:pPr>
    </w:p>
    <w:p>
      <w:pPr>
        <w:ind w:right="14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ind w:right="300"/>
        <w:spacing w:after="0" w:line="237" w:lineRule="auto"/>
        <w:rPr>
          <w:sz w:val="20"/>
          <w:szCs w:val="20"/>
          <w:color w:val="auto"/>
        </w:rPr>
      </w:pPr>
      <w:r>
        <w:rPr>
          <w:rFonts w:ascii="Arial" w:cs="Arial" w:eastAsia="Arial" w:hAnsi="Arial"/>
          <w:sz w:val="14"/>
          <w:szCs w:val="14"/>
          <w:color w:val="auto"/>
        </w:rPr>
        <w:t>The aggregate market value of the voting common equity held by non-affiliates of the Registrant, based on the closing price of the shares of common stock on June 30, 2021, was approximately $548 million.</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8, 2022 was 78,739,304.</w:t>
      </w:r>
    </w:p>
    <w:p>
      <w:pPr>
        <w:spacing w:after="0" w:line="81"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DOCUMENTS INCORPORATED BY REFERENCE</w:t>
      </w:r>
    </w:p>
    <w:p>
      <w:pPr>
        <w:ind w:right="380"/>
        <w:spacing w:after="0" w:line="228" w:lineRule="auto"/>
        <w:rPr>
          <w:sz w:val="20"/>
          <w:szCs w:val="20"/>
          <w:color w:val="auto"/>
        </w:rPr>
      </w:pPr>
      <w:r>
        <w:rPr>
          <w:rFonts w:ascii="Arial" w:cs="Arial" w:eastAsia="Arial" w:hAnsi="Arial"/>
          <w:sz w:val="14"/>
          <w:szCs w:val="14"/>
          <w:color w:val="auto"/>
        </w:rPr>
        <w:t>Portions of the definitive Proxy Statement for the registrant’s Annual Meeting of Shareholders to be held on May 18, 2022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549910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58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40" w:type="dxa"/>
            <w:vAlign w:val="bottom"/>
            <w:gridSpan w:val="16"/>
          </w:tcPr>
          <w:p>
            <w:pPr>
              <w:jc w:val="center"/>
              <w:ind w:right="3100"/>
              <w:spacing w:after="0"/>
              <w:rPr>
                <w:sz w:val="20"/>
                <w:szCs w:val="20"/>
                <w:color w:val="auto"/>
              </w:rPr>
            </w:pPr>
            <w:r>
              <w:rPr>
                <w:rFonts w:ascii="Arial" w:cs="Arial" w:eastAsia="Arial" w:hAnsi="Arial"/>
                <w:sz w:val="17"/>
                <w:szCs w:val="17"/>
                <w:b w:val="1"/>
                <w:bCs w:val="1"/>
                <w:color w:val="auto"/>
                <w:w w:val="93"/>
              </w:rPr>
              <w:t>Eastman Kodak Company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40" w:type="dxa"/>
            <w:vAlign w:val="bottom"/>
            <w:gridSpan w:val="16"/>
          </w:tcPr>
          <w:p>
            <w:pPr>
              <w:jc w:val="center"/>
              <w:ind w:right="3080"/>
              <w:spacing w:after="0"/>
              <w:rPr>
                <w:sz w:val="20"/>
                <w:szCs w:val="20"/>
                <w:color w:val="auto"/>
              </w:rPr>
            </w:pPr>
            <w:r>
              <w:rPr>
                <w:rFonts w:ascii="Arial" w:cs="Arial" w:eastAsia="Arial" w:hAnsi="Arial"/>
                <w:sz w:val="17"/>
                <w:szCs w:val="17"/>
                <w:b w:val="1"/>
                <w:bCs w:val="1"/>
                <w:color w:val="auto"/>
                <w:w w:val="97"/>
              </w:rPr>
              <w:t>Form 10-K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gridSpan w:val="16"/>
          </w:tcPr>
          <w:p>
            <w:pPr>
              <w:jc w:val="center"/>
              <w:ind w:right="3100"/>
              <w:spacing w:after="0"/>
              <w:rPr>
                <w:sz w:val="20"/>
                <w:szCs w:val="20"/>
                <w:color w:val="auto"/>
              </w:rPr>
            </w:pPr>
            <w:r>
              <w:rPr>
                <w:rFonts w:ascii="Arial" w:cs="Arial" w:eastAsia="Arial" w:hAnsi="Arial"/>
                <w:sz w:val="17"/>
                <w:szCs w:val="17"/>
                <w:b w:val="1"/>
                <w:bCs w:val="1"/>
                <w:color w:val="auto"/>
                <w:w w:val="91"/>
              </w:rPr>
              <w:t>December 31, 2021</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40" w:type="dxa"/>
            <w:vAlign w:val="bottom"/>
            <w:gridSpan w:val="16"/>
          </w:tcPr>
          <w:p>
            <w:pPr>
              <w:jc w:val="center"/>
              <w:ind w:right="3080"/>
              <w:spacing w:after="0"/>
              <w:rPr>
                <w:sz w:val="20"/>
                <w:szCs w:val="20"/>
                <w:color w:val="auto"/>
              </w:rPr>
            </w:pPr>
            <w:r>
              <w:rPr>
                <w:rFonts w:ascii="Arial" w:cs="Arial" w:eastAsia="Arial" w:hAnsi="Arial"/>
                <w:sz w:val="17"/>
                <w:szCs w:val="17"/>
                <w:b w:val="1"/>
                <w:bCs w:val="1"/>
                <w:color w:val="auto"/>
                <w:w w:val="90"/>
              </w:rPr>
              <w:t>Table of Contents</w:t>
            </w:r>
          </w:p>
        </w:tc>
        <w:tc>
          <w:tcPr>
            <w:tcW w:w="940" w:type="dxa"/>
            <w:vAlign w:val="bottom"/>
            <w:gridSpan w:val="3"/>
            <w:vMerge w:val="restart"/>
          </w:tcPr>
          <w:p>
            <w:pPr>
              <w:ind w:left="580"/>
              <w:spacing w:after="0"/>
              <w:rPr>
                <w:sz w:val="20"/>
                <w:szCs w:val="20"/>
                <w:color w:val="auto"/>
              </w:rPr>
            </w:pPr>
            <w:r>
              <w:rPr>
                <w:rFonts w:ascii="Arial" w:cs="Arial" w:eastAsia="Arial" w:hAnsi="Arial"/>
                <w:sz w:val="17"/>
                <w:szCs w:val="17"/>
                <w:b w:val="1"/>
                <w:bCs w:val="1"/>
                <w:color w:val="auto"/>
                <w:w w:val="83"/>
              </w:rPr>
              <w:t>Page</w:t>
            </w: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jc w:val="center"/>
              <w:ind w:right="3900"/>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340" w:type="dxa"/>
            <w:vAlign w:val="bottom"/>
          </w:tcPr>
          <w:p>
            <w:pPr>
              <w:spacing w:after="0"/>
              <w:rPr>
                <w:sz w:val="20"/>
                <w:szCs w:val="20"/>
                <w:color w:val="auto"/>
              </w:rPr>
            </w:pPr>
            <w:r>
              <w:rPr>
                <w:rFonts w:ascii="Arial" w:cs="Arial" w:eastAsia="Arial" w:hAnsi="Arial"/>
                <w:sz w:val="17"/>
                <w:szCs w:val="17"/>
                <w:color w:val="auto"/>
              </w:rPr>
              <w:t>Item 1.</w:t>
            </w:r>
          </w:p>
        </w:tc>
        <w:tc>
          <w:tcPr>
            <w:tcW w:w="402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440" w:type="dxa"/>
            <w:vAlign w:val="bottom"/>
            <w:tcBorders>
              <w:top w:val="single" w:sz="8" w:color="0000EE"/>
            </w:tcBorders>
            <w:gridSpan w:val="2"/>
          </w:tcPr>
          <w:p>
            <w:pPr>
              <w:spacing w:after="0"/>
              <w:rPr>
                <w:sz w:val="24"/>
                <w:szCs w:val="24"/>
                <w:color w:val="auto"/>
              </w:rPr>
            </w:pPr>
          </w:p>
        </w:tc>
        <w:tc>
          <w:tcPr>
            <w:tcW w:w="3900" w:type="dxa"/>
            <w:vAlign w:val="bottom"/>
            <w:gridSpan w:val="10"/>
          </w:tcPr>
          <w:p>
            <w:pPr>
              <w:spacing w:after="0"/>
              <w:rPr>
                <w:sz w:val="24"/>
                <w:szCs w:val="24"/>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Risk Factors</w:t>
              </w:r>
            </w:hyperlink>
          </w:p>
        </w:tc>
        <w:tc>
          <w:tcPr>
            <w:tcW w:w="7480" w:type="dxa"/>
            <w:vAlign w:val="bottom"/>
            <w:gridSpan w:val="28"/>
          </w:tcPr>
          <w:p>
            <w:pPr>
              <w:spacing w:after="0"/>
              <w:rPr>
                <w:sz w:val="17"/>
                <w:szCs w:val="17"/>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line="189" w:lineRule="exact"/>
              <w:rPr>
                <w:sz w:val="20"/>
                <w:szCs w:val="20"/>
                <w:color w:val="auto"/>
              </w:rPr>
            </w:pPr>
            <w:r>
              <w:rPr>
                <w:rFonts w:ascii="Arial" w:cs="Arial" w:eastAsia="Arial" w:hAnsi="Arial"/>
                <w:sz w:val="17"/>
                <w:szCs w:val="17"/>
                <w:color w:val="auto"/>
              </w:rPr>
              <w:t>Item 1B.</w:t>
            </w:r>
          </w:p>
        </w:tc>
        <w:tc>
          <w:tcPr>
            <w:tcW w:w="1980" w:type="dxa"/>
            <w:vAlign w:val="bottom"/>
            <w:tcBorders>
              <w:bottom w:val="single" w:sz="8" w:color="0000EE"/>
            </w:tcBorders>
            <w:gridSpan w:val="11"/>
          </w:tcPr>
          <w:p>
            <w:pPr>
              <w:spacing w:after="0" w:line="189" w:lineRule="exact"/>
              <w:rPr>
                <w:rFonts w:ascii="Arial" w:cs="Arial" w:eastAsia="Arial" w:hAnsi="Arial"/>
                <w:sz w:val="17"/>
                <w:szCs w:val="17"/>
                <w:color w:val="0000EE"/>
                <w:w w:val="92"/>
              </w:rPr>
            </w:pPr>
            <w:hyperlink w:anchor="page24">
              <w:r>
                <w:rPr>
                  <w:rFonts w:ascii="Arial" w:cs="Arial" w:eastAsia="Arial" w:hAnsi="Arial"/>
                  <w:sz w:val="17"/>
                  <w:szCs w:val="17"/>
                  <w:color w:val="0000EE"/>
                  <w:w w:val="92"/>
                </w:rPr>
                <w:t>Unresolved Staff Comments</w:t>
              </w:r>
            </w:hyperlink>
          </w:p>
        </w:tc>
        <w:tc>
          <w:tcPr>
            <w:tcW w:w="6380" w:type="dxa"/>
            <w:vAlign w:val="bottom"/>
            <w:gridSpan w:val="21"/>
          </w:tcPr>
          <w:p>
            <w:pPr>
              <w:spacing w:after="0"/>
              <w:rPr>
                <w:sz w:val="16"/>
                <w:szCs w:val="16"/>
                <w:color w:val="auto"/>
              </w:rPr>
            </w:pPr>
          </w:p>
        </w:tc>
        <w:tc>
          <w:tcPr>
            <w:tcW w:w="860" w:type="dxa"/>
            <w:vAlign w:val="bottom"/>
            <w:gridSpan w:val="2"/>
          </w:tcPr>
          <w:p>
            <w:pPr>
              <w:jc w:val="center"/>
              <w:ind w:left="593"/>
              <w:spacing w:after="0" w:line="189" w:lineRule="exact"/>
              <w:rPr>
                <w:sz w:val="20"/>
                <w:szCs w:val="20"/>
                <w:color w:val="auto"/>
              </w:rPr>
            </w:pPr>
            <w:r>
              <w:rPr>
                <w:rFonts w:ascii="Arial" w:cs="Arial" w:eastAsia="Arial" w:hAnsi="Arial"/>
                <w:sz w:val="17"/>
                <w:szCs w:val="17"/>
                <w:color w:val="auto"/>
                <w:w w:val="94"/>
              </w:rPr>
              <w:t>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2.</w:t>
            </w:r>
          </w:p>
        </w:tc>
        <w:tc>
          <w:tcPr>
            <w:tcW w:w="8360" w:type="dxa"/>
            <w:vAlign w:val="bottom"/>
            <w:gridSpan w:val="32"/>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Properties</w:t>
              </w:r>
            </w:hyperlink>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3.</w:t>
            </w:r>
          </w:p>
        </w:tc>
        <w:tc>
          <w:tcPr>
            <w:tcW w:w="130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4">
              <w:r>
                <w:rPr>
                  <w:rFonts w:ascii="Arial" w:cs="Arial" w:eastAsia="Arial" w:hAnsi="Arial"/>
                  <w:sz w:val="17"/>
                  <w:szCs w:val="17"/>
                  <w:color w:val="0000EE"/>
                  <w:w w:val="90"/>
                </w:rPr>
                <w:t>Legal Proceedings</w:t>
              </w:r>
            </w:hyperlink>
          </w:p>
        </w:tc>
        <w:tc>
          <w:tcPr>
            <w:tcW w:w="7060" w:type="dxa"/>
            <w:vAlign w:val="bottom"/>
            <w:gridSpan w:val="25"/>
          </w:tcPr>
          <w:p>
            <w:pPr>
              <w:spacing w:after="0"/>
              <w:rPr>
                <w:sz w:val="17"/>
                <w:szCs w:val="17"/>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4.</w:t>
            </w:r>
          </w:p>
        </w:tc>
        <w:tc>
          <w:tcPr>
            <w:tcW w:w="1740" w:type="dxa"/>
            <w:vAlign w:val="bottom"/>
            <w:tcBorders>
              <w:bottom w:val="single" w:sz="8" w:color="0000EE"/>
            </w:tcBorders>
            <w:gridSpan w:val="10"/>
          </w:tcPr>
          <w:p>
            <w:pPr>
              <w:spacing w:after="0"/>
              <w:rPr>
                <w:rFonts w:ascii="Arial" w:cs="Arial" w:eastAsia="Arial" w:hAnsi="Arial"/>
                <w:sz w:val="17"/>
                <w:szCs w:val="17"/>
                <w:color w:val="0000EE"/>
                <w:w w:val="94"/>
              </w:rPr>
            </w:pPr>
            <w:hyperlink w:anchor="page24">
              <w:r>
                <w:rPr>
                  <w:rFonts w:ascii="Arial" w:cs="Arial" w:eastAsia="Arial" w:hAnsi="Arial"/>
                  <w:sz w:val="17"/>
                  <w:szCs w:val="17"/>
                  <w:color w:val="0000EE"/>
                  <w:w w:val="94"/>
                </w:rPr>
                <w:t>Mine Safety Disclosures</w:t>
              </w:r>
            </w:hyperlink>
          </w:p>
        </w:tc>
        <w:tc>
          <w:tcPr>
            <w:tcW w:w="6620" w:type="dxa"/>
            <w:vAlign w:val="bottom"/>
            <w:gridSpan w:val="22"/>
          </w:tcPr>
          <w:p>
            <w:pPr>
              <w:spacing w:after="0"/>
              <w:rPr>
                <w:sz w:val="17"/>
                <w:szCs w:val="17"/>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8360" w:type="dxa"/>
            <w:vAlign w:val="bottom"/>
            <w:gridSpan w:val="32"/>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Information About its Executive Officers</w:t>
              </w:r>
            </w:hyperlink>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1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EE"/>
            </w:tcBorders>
            <w:gridSpan w:val="4"/>
          </w:tcPr>
          <w:p>
            <w:pPr>
              <w:jc w:val="center"/>
              <w:spacing w:after="0"/>
              <w:rPr>
                <w:sz w:val="20"/>
                <w:szCs w:val="20"/>
                <w:color w:val="auto"/>
              </w:rPr>
            </w:pPr>
            <w:r>
              <w:rPr>
                <w:rFonts w:ascii="Arial" w:cs="Arial" w:eastAsia="Arial" w:hAnsi="Arial"/>
                <w:sz w:val="17"/>
                <w:szCs w:val="17"/>
                <w:b w:val="1"/>
                <w:bCs w:val="1"/>
                <w:color w:val="0000EE"/>
              </w:rPr>
              <w:t>Part II</w:t>
            </w:r>
          </w:p>
        </w:tc>
        <w:tc>
          <w:tcPr>
            <w:tcW w:w="386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1340" w:type="dxa"/>
            <w:vAlign w:val="bottom"/>
          </w:tcPr>
          <w:p>
            <w:pPr>
              <w:spacing w:after="0"/>
              <w:rPr>
                <w:sz w:val="20"/>
                <w:szCs w:val="20"/>
                <w:color w:val="auto"/>
              </w:rPr>
            </w:pPr>
            <w:r>
              <w:rPr>
                <w:rFonts w:ascii="Arial" w:cs="Arial" w:eastAsia="Arial" w:hAnsi="Arial"/>
                <w:sz w:val="17"/>
                <w:szCs w:val="17"/>
                <w:color w:val="auto"/>
              </w:rPr>
              <w:t>Item 5.</w:t>
            </w:r>
          </w:p>
        </w:tc>
        <w:tc>
          <w:tcPr>
            <w:tcW w:w="778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27">
              <w:r>
                <w:rPr>
                  <w:rFonts w:ascii="Arial" w:cs="Arial" w:eastAsia="Arial" w:hAnsi="Arial"/>
                  <w:sz w:val="17"/>
                  <w:szCs w:val="17"/>
                  <w:color w:val="0000EE"/>
                  <w:w w:val="92"/>
                </w:rPr>
                <w:t>Market for Registrant's Common Equity, Related Stockholder Matters and Issuer Purchases of Equity Securities</w:t>
              </w:r>
            </w:hyperlink>
          </w:p>
        </w:tc>
        <w:tc>
          <w:tcPr>
            <w:tcW w:w="580" w:type="dxa"/>
            <w:vAlign w:val="bottom"/>
          </w:tcPr>
          <w:p>
            <w:pPr>
              <w:spacing w:after="0"/>
              <w:rPr>
                <w:sz w:val="24"/>
                <w:szCs w:val="24"/>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6.</w:t>
            </w:r>
          </w:p>
        </w:tc>
        <w:tc>
          <w:tcPr>
            <w:tcW w:w="70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29">
              <w:r>
                <w:rPr>
                  <w:rFonts w:ascii="Arial" w:cs="Arial" w:eastAsia="Arial" w:hAnsi="Arial"/>
                  <w:sz w:val="17"/>
                  <w:szCs w:val="17"/>
                  <w:color w:val="0000EE"/>
                  <w:w w:val="90"/>
                </w:rPr>
                <w:t>Reserved</w:t>
              </w:r>
            </w:hyperlink>
          </w:p>
        </w:tc>
        <w:tc>
          <w:tcPr>
            <w:tcW w:w="7660" w:type="dxa"/>
            <w:vAlign w:val="bottom"/>
            <w:gridSpan w:val="30"/>
          </w:tcPr>
          <w:p>
            <w:pPr>
              <w:spacing w:after="0"/>
              <w:rPr>
                <w:sz w:val="17"/>
                <w:szCs w:val="17"/>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7.</w:t>
            </w:r>
          </w:p>
        </w:tc>
        <w:tc>
          <w:tcPr>
            <w:tcW w:w="6220" w:type="dxa"/>
            <w:vAlign w:val="bottom"/>
            <w:tcBorders>
              <w:bottom w:val="single" w:sz="8" w:color="0000EE"/>
            </w:tcBorders>
            <w:gridSpan w:val="28"/>
          </w:tcPr>
          <w:p>
            <w:pPr>
              <w:spacing w:after="0"/>
              <w:rPr>
                <w:rFonts w:ascii="Arial" w:cs="Arial" w:eastAsia="Arial" w:hAnsi="Arial"/>
                <w:sz w:val="17"/>
                <w:szCs w:val="17"/>
                <w:color w:val="0000EE"/>
                <w:w w:val="92"/>
              </w:rPr>
            </w:pPr>
            <w:hyperlink w:anchor="page30">
              <w:r>
                <w:rPr>
                  <w:rFonts w:ascii="Arial" w:cs="Arial" w:eastAsia="Arial" w:hAnsi="Arial"/>
                  <w:sz w:val="17"/>
                  <w:szCs w:val="17"/>
                  <w:color w:val="0000EE"/>
                  <w:w w:val="92"/>
                </w:rPr>
                <w:t>Management's Discussion and Analysis of Financial Condition and Results of Operations</w:t>
              </w:r>
            </w:hyperlink>
          </w:p>
        </w:tc>
        <w:tc>
          <w:tcPr>
            <w:tcW w:w="2140" w:type="dxa"/>
            <w:vAlign w:val="bottom"/>
            <w:gridSpan w:val="4"/>
          </w:tcPr>
          <w:p>
            <w:pPr>
              <w:spacing w:after="0"/>
              <w:rPr>
                <w:sz w:val="17"/>
                <w:szCs w:val="17"/>
                <w:color w:val="auto"/>
              </w:rPr>
            </w:pPr>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8360" w:type="dxa"/>
            <w:vAlign w:val="bottom"/>
            <w:gridSpan w:val="32"/>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Liquidity and Capital Resources</w:t>
              </w:r>
            </w:hyperlink>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7A.</w:t>
            </w:r>
          </w:p>
        </w:tc>
        <w:tc>
          <w:tcPr>
            <w:tcW w:w="8360" w:type="dxa"/>
            <w:vAlign w:val="bottom"/>
            <w:gridSpan w:val="32"/>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Quantitative and Qualitative Disclosures About Market Risk</w:t>
              </w:r>
            </w:hyperlink>
          </w:p>
        </w:tc>
        <w:tc>
          <w:tcPr>
            <w:tcW w:w="860" w:type="dxa"/>
            <w:vAlign w:val="bottom"/>
            <w:gridSpan w:val="2"/>
          </w:tcPr>
          <w:p>
            <w:pPr>
              <w:jc w:val="center"/>
              <w:ind w:left="593"/>
              <w:spacing w:after="0"/>
              <w:rPr>
                <w:sz w:val="20"/>
                <w:szCs w:val="20"/>
                <w:color w:val="auto"/>
              </w:rPr>
            </w:pPr>
            <w:r>
              <w:rPr>
                <w:rFonts w:ascii="Arial" w:cs="Arial" w:eastAsia="Arial" w:hAnsi="Arial"/>
                <w:sz w:val="17"/>
                <w:szCs w:val="17"/>
                <w:color w:val="auto"/>
                <w:w w:val="94"/>
              </w:rPr>
              <w:t>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line="189" w:lineRule="exact"/>
              <w:rPr>
                <w:sz w:val="20"/>
                <w:szCs w:val="20"/>
                <w:color w:val="auto"/>
              </w:rPr>
            </w:pPr>
            <w:r>
              <w:rPr>
                <w:rFonts w:ascii="Arial" w:cs="Arial" w:eastAsia="Arial" w:hAnsi="Arial"/>
                <w:sz w:val="17"/>
                <w:szCs w:val="17"/>
                <w:color w:val="auto"/>
              </w:rPr>
              <w:t>Item 8.</w:t>
            </w:r>
          </w:p>
        </w:tc>
        <w:tc>
          <w:tcPr>
            <w:tcW w:w="322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1"/>
              </w:rPr>
            </w:pPr>
            <w:hyperlink w:anchor="page52">
              <w:r>
                <w:rPr>
                  <w:rFonts w:ascii="Arial" w:cs="Arial" w:eastAsia="Arial" w:hAnsi="Arial"/>
                  <w:sz w:val="17"/>
                  <w:szCs w:val="17"/>
                  <w:color w:val="0000EE"/>
                  <w:w w:val="91"/>
                </w:rPr>
                <w:t>Financial Statements and Supplementary Data</w:t>
              </w:r>
            </w:hyperlink>
          </w:p>
        </w:tc>
        <w:tc>
          <w:tcPr>
            <w:tcW w:w="980" w:type="dxa"/>
            <w:vAlign w:val="bottom"/>
            <w:tcBorders>
              <w:top w:val="single" w:sz="8" w:color="0000EE"/>
            </w:tcBorders>
            <w:gridSpan w:val="5"/>
          </w:tcPr>
          <w:p>
            <w:pPr>
              <w:spacing w:after="0"/>
              <w:rPr>
                <w:sz w:val="16"/>
                <w:szCs w:val="16"/>
                <w:color w:val="auto"/>
              </w:rPr>
            </w:pPr>
          </w:p>
        </w:tc>
        <w:tc>
          <w:tcPr>
            <w:tcW w:w="4160" w:type="dxa"/>
            <w:vAlign w:val="bottom"/>
            <w:gridSpan w:val="11"/>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color w:val="auto"/>
                <w:w w:val="94"/>
              </w:rPr>
              <w:t>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9.</w:t>
            </w:r>
          </w:p>
        </w:tc>
        <w:tc>
          <w:tcPr>
            <w:tcW w:w="8360" w:type="dxa"/>
            <w:vAlign w:val="bottom"/>
            <w:gridSpan w:val="32"/>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Changes in and Disagreements With Accountants on Accounting and Financial Disclosure</w:t>
              </w:r>
            </w:hyperlink>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130</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9A.</w:t>
            </w:r>
          </w:p>
        </w:tc>
        <w:tc>
          <w:tcPr>
            <w:tcW w:w="172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0"/>
              </w:rPr>
            </w:pPr>
            <w:hyperlink w:anchor="page130">
              <w:r>
                <w:rPr>
                  <w:rFonts w:ascii="Arial" w:cs="Arial" w:eastAsia="Arial" w:hAnsi="Arial"/>
                  <w:sz w:val="17"/>
                  <w:szCs w:val="17"/>
                  <w:color w:val="0000EE"/>
                  <w:w w:val="90"/>
                </w:rPr>
                <w:t>Controls and Procedures</w:t>
              </w:r>
            </w:hyperlink>
          </w:p>
        </w:tc>
        <w:tc>
          <w:tcPr>
            <w:tcW w:w="4560" w:type="dxa"/>
            <w:vAlign w:val="bottom"/>
            <w:tcBorders>
              <w:top w:val="single" w:sz="8" w:color="0000EE"/>
            </w:tcBorders>
            <w:gridSpan w:val="20"/>
          </w:tcPr>
          <w:p>
            <w:pPr>
              <w:spacing w:after="0"/>
              <w:rPr>
                <w:sz w:val="17"/>
                <w:szCs w:val="17"/>
                <w:color w:val="auto"/>
              </w:rPr>
            </w:pPr>
          </w:p>
        </w:tc>
        <w:tc>
          <w:tcPr>
            <w:tcW w:w="2080" w:type="dxa"/>
            <w:vAlign w:val="bottom"/>
            <w:gridSpan w:val="3"/>
          </w:tcPr>
          <w:p>
            <w:pPr>
              <w:spacing w:after="0"/>
              <w:rPr>
                <w:sz w:val="17"/>
                <w:szCs w:val="17"/>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130</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9B.</w:t>
            </w:r>
          </w:p>
        </w:tc>
        <w:tc>
          <w:tcPr>
            <w:tcW w:w="1280" w:type="dxa"/>
            <w:vAlign w:val="bottom"/>
            <w:tcBorders>
              <w:bottom w:val="single" w:sz="8" w:color="0000EE"/>
            </w:tcBorders>
            <w:gridSpan w:val="6"/>
          </w:tcPr>
          <w:p>
            <w:pPr>
              <w:spacing w:after="0"/>
              <w:rPr>
                <w:rFonts w:ascii="Arial" w:cs="Arial" w:eastAsia="Arial" w:hAnsi="Arial"/>
                <w:sz w:val="17"/>
                <w:szCs w:val="17"/>
                <w:color w:val="0000EE"/>
                <w:w w:val="95"/>
              </w:rPr>
            </w:pPr>
            <w:hyperlink w:anchor="page130">
              <w:r>
                <w:rPr>
                  <w:rFonts w:ascii="Arial" w:cs="Arial" w:eastAsia="Arial" w:hAnsi="Arial"/>
                  <w:sz w:val="17"/>
                  <w:szCs w:val="17"/>
                  <w:color w:val="0000EE"/>
                  <w:w w:val="95"/>
                </w:rPr>
                <w:t>Other Information</w:t>
              </w:r>
            </w:hyperlink>
          </w:p>
        </w:tc>
        <w:tc>
          <w:tcPr>
            <w:tcW w:w="7080" w:type="dxa"/>
            <w:vAlign w:val="bottom"/>
            <w:gridSpan w:val="26"/>
          </w:tcPr>
          <w:p>
            <w:pPr>
              <w:spacing w:after="0"/>
              <w:rPr>
                <w:sz w:val="17"/>
                <w:szCs w:val="17"/>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130</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9C.</w:t>
            </w:r>
          </w:p>
        </w:tc>
        <w:tc>
          <w:tcPr>
            <w:tcW w:w="8360" w:type="dxa"/>
            <w:vAlign w:val="bottom"/>
            <w:gridSpan w:val="32"/>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Disclosure Regarding Foreign Jurisdictions that Prevent Inspections</w:t>
              </w:r>
            </w:hyperlink>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130</w:t>
            </w:r>
          </w:p>
        </w:tc>
        <w:tc>
          <w:tcPr>
            <w:tcW w:w="0" w:type="dxa"/>
            <w:vAlign w:val="bottom"/>
          </w:tcPr>
          <w:p>
            <w:pPr>
              <w:spacing w:after="0"/>
              <w:rPr>
                <w:sz w:val="1"/>
                <w:szCs w:val="1"/>
                <w:color w:val="auto"/>
              </w:rPr>
            </w:pPr>
          </w:p>
        </w:tc>
      </w:tr>
      <w:tr>
        <w:trPr>
          <w:trHeight w:val="462"/>
        </w:trPr>
        <w:tc>
          <w:tcPr>
            <w:tcW w:w="1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bottom w:val="single" w:sz="8" w:color="0000EE"/>
            </w:tcBorders>
            <w:gridSpan w:val="8"/>
          </w:tcPr>
          <w:p>
            <w:pPr>
              <w:jc w:val="center"/>
              <w:spacing w:after="0"/>
              <w:rPr>
                <w:rFonts w:ascii="Arial" w:cs="Arial" w:eastAsia="Arial" w:hAnsi="Arial"/>
                <w:sz w:val="17"/>
                <w:szCs w:val="17"/>
                <w:b w:val="1"/>
                <w:bCs w:val="1"/>
                <w:color w:val="0000EE"/>
              </w:rPr>
            </w:pPr>
            <w:hyperlink w:anchor="page131">
              <w:r>
                <w:rPr>
                  <w:rFonts w:ascii="Arial" w:cs="Arial" w:eastAsia="Arial" w:hAnsi="Arial"/>
                  <w:sz w:val="17"/>
                  <w:szCs w:val="17"/>
                  <w:b w:val="1"/>
                  <w:bCs w:val="1"/>
                  <w:color w:val="0000EE"/>
                </w:rPr>
                <w:t>Part III</w:t>
              </w:r>
            </w:hyperlink>
          </w:p>
        </w:tc>
        <w:tc>
          <w:tcPr>
            <w:tcW w:w="180" w:type="dxa"/>
            <w:vAlign w:val="bottom"/>
            <w:tcBorders>
              <w:top w:val="single" w:sz="8" w:color="0000EE"/>
            </w:tcBorders>
          </w:tcPr>
          <w:p>
            <w:pPr>
              <w:spacing w:after="0"/>
              <w:rPr>
                <w:sz w:val="24"/>
                <w:szCs w:val="24"/>
                <w:color w:val="auto"/>
              </w:rPr>
            </w:pPr>
          </w:p>
        </w:tc>
        <w:tc>
          <w:tcPr>
            <w:tcW w:w="364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340" w:type="dxa"/>
            <w:vAlign w:val="bottom"/>
          </w:tcPr>
          <w:p>
            <w:pPr>
              <w:spacing w:after="0"/>
              <w:rPr>
                <w:sz w:val="20"/>
                <w:szCs w:val="20"/>
                <w:color w:val="auto"/>
              </w:rPr>
            </w:pPr>
            <w:r>
              <w:rPr>
                <w:rFonts w:ascii="Arial" w:cs="Arial" w:eastAsia="Arial" w:hAnsi="Arial"/>
                <w:sz w:val="17"/>
                <w:szCs w:val="17"/>
                <w:color w:val="auto"/>
              </w:rPr>
              <w:t>Item 10.</w:t>
            </w:r>
          </w:p>
        </w:tc>
        <w:tc>
          <w:tcPr>
            <w:tcW w:w="396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131">
              <w:r>
                <w:rPr>
                  <w:rFonts w:ascii="Arial" w:cs="Arial" w:eastAsia="Arial" w:hAnsi="Arial"/>
                  <w:sz w:val="17"/>
                  <w:szCs w:val="17"/>
                  <w:color w:val="0000EE"/>
                  <w:w w:val="92"/>
                </w:rPr>
                <w:t>Directors, Executive Officers and Corporate Governance</w:t>
              </w:r>
            </w:hyperlink>
          </w:p>
        </w:tc>
        <w:tc>
          <w:tcPr>
            <w:tcW w:w="4400" w:type="dxa"/>
            <w:vAlign w:val="bottom"/>
            <w:gridSpan w:val="15"/>
          </w:tcPr>
          <w:p>
            <w:pPr>
              <w:spacing w:after="0"/>
              <w:rPr>
                <w:sz w:val="24"/>
                <w:szCs w:val="24"/>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131</w:t>
            </w:r>
          </w:p>
        </w:tc>
        <w:tc>
          <w:tcPr>
            <w:tcW w:w="0" w:type="dxa"/>
            <w:vAlign w:val="bottom"/>
          </w:tcPr>
          <w:p>
            <w:pPr>
              <w:spacing w:after="0"/>
              <w:rPr>
                <w:sz w:val="1"/>
                <w:szCs w:val="1"/>
                <w:color w:val="auto"/>
              </w:rPr>
            </w:pPr>
          </w:p>
        </w:tc>
      </w:tr>
      <w:tr>
        <w:trPr>
          <w:trHeight w:val="188"/>
        </w:trPr>
        <w:tc>
          <w:tcPr>
            <w:tcW w:w="1340" w:type="dxa"/>
            <w:vAlign w:val="bottom"/>
          </w:tcPr>
          <w:p>
            <w:pPr>
              <w:spacing w:after="0" w:line="189" w:lineRule="exact"/>
              <w:rPr>
                <w:sz w:val="20"/>
                <w:szCs w:val="20"/>
                <w:color w:val="auto"/>
              </w:rPr>
            </w:pPr>
            <w:r>
              <w:rPr>
                <w:rFonts w:ascii="Arial" w:cs="Arial" w:eastAsia="Arial" w:hAnsi="Arial"/>
                <w:sz w:val="17"/>
                <w:szCs w:val="17"/>
                <w:color w:val="auto"/>
              </w:rPr>
              <w:t>Item 11.</w:t>
            </w:r>
          </w:p>
        </w:tc>
        <w:tc>
          <w:tcPr>
            <w:tcW w:w="8360" w:type="dxa"/>
            <w:vAlign w:val="bottom"/>
            <w:gridSpan w:val="32"/>
          </w:tcPr>
          <w:p>
            <w:pPr>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Executive Compensation</w:t>
              </w:r>
            </w:hyperlink>
          </w:p>
        </w:tc>
        <w:tc>
          <w:tcPr>
            <w:tcW w:w="940" w:type="dxa"/>
            <w:vAlign w:val="bottom"/>
            <w:gridSpan w:val="3"/>
          </w:tcPr>
          <w:p>
            <w:pPr>
              <w:jc w:val="center"/>
              <w:ind w:left="513"/>
              <w:spacing w:after="0" w:line="189" w:lineRule="exact"/>
              <w:rPr>
                <w:sz w:val="20"/>
                <w:szCs w:val="20"/>
                <w:color w:val="auto"/>
              </w:rPr>
            </w:pPr>
            <w:r>
              <w:rPr>
                <w:rFonts w:ascii="Arial" w:cs="Arial" w:eastAsia="Arial" w:hAnsi="Arial"/>
                <w:sz w:val="17"/>
                <w:szCs w:val="17"/>
                <w:color w:val="auto"/>
                <w:w w:val="91"/>
              </w:rPr>
              <w:t>131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40" w:type="dxa"/>
            <w:vAlign w:val="bottom"/>
          </w:tcPr>
          <w:p>
            <w:pPr>
              <w:spacing w:after="0" w:line="189" w:lineRule="exact"/>
              <w:rPr>
                <w:sz w:val="20"/>
                <w:szCs w:val="20"/>
                <w:color w:val="auto"/>
              </w:rPr>
            </w:pPr>
            <w:r>
              <w:rPr>
                <w:rFonts w:ascii="Arial" w:cs="Arial" w:eastAsia="Arial" w:hAnsi="Arial"/>
                <w:sz w:val="17"/>
                <w:szCs w:val="17"/>
                <w:color w:val="auto"/>
              </w:rPr>
              <w:t>Item 12.</w:t>
            </w:r>
          </w:p>
        </w:tc>
        <w:tc>
          <w:tcPr>
            <w:tcW w:w="7040" w:type="dxa"/>
            <w:vAlign w:val="bottom"/>
            <w:tcBorders>
              <w:bottom w:val="single" w:sz="8" w:color="0000EE"/>
            </w:tcBorders>
            <w:gridSpan w:val="30"/>
          </w:tcPr>
          <w:p>
            <w:pPr>
              <w:spacing w:after="0" w:line="189" w:lineRule="exact"/>
              <w:rPr>
                <w:rFonts w:ascii="Arial" w:cs="Arial" w:eastAsia="Arial" w:hAnsi="Arial"/>
                <w:sz w:val="17"/>
                <w:szCs w:val="17"/>
                <w:color w:val="0000EE"/>
                <w:w w:val="92"/>
              </w:rPr>
            </w:pPr>
            <w:hyperlink w:anchor="page131">
              <w:r>
                <w:rPr>
                  <w:rFonts w:ascii="Arial" w:cs="Arial" w:eastAsia="Arial" w:hAnsi="Arial"/>
                  <w:sz w:val="17"/>
                  <w:szCs w:val="17"/>
                  <w:color w:val="0000EE"/>
                  <w:w w:val="92"/>
                </w:rPr>
                <w:t>Security Ownership of Certain Beneficial Owners and Management and Related Stockholder Matters</w:t>
              </w:r>
            </w:hyperlink>
          </w:p>
        </w:tc>
        <w:tc>
          <w:tcPr>
            <w:tcW w:w="1320" w:type="dxa"/>
            <w:vAlign w:val="bottom"/>
            <w:gridSpan w:val="2"/>
          </w:tcPr>
          <w:p>
            <w:pPr>
              <w:spacing w:after="0"/>
              <w:rPr>
                <w:sz w:val="17"/>
                <w:szCs w:val="17"/>
                <w:color w:val="auto"/>
              </w:rPr>
            </w:pPr>
          </w:p>
        </w:tc>
        <w:tc>
          <w:tcPr>
            <w:tcW w:w="940" w:type="dxa"/>
            <w:vAlign w:val="bottom"/>
            <w:gridSpan w:val="3"/>
          </w:tcPr>
          <w:p>
            <w:pPr>
              <w:jc w:val="center"/>
              <w:ind w:left="513"/>
              <w:spacing w:after="0" w:line="189" w:lineRule="exact"/>
              <w:rPr>
                <w:sz w:val="20"/>
                <w:szCs w:val="20"/>
                <w:color w:val="auto"/>
              </w:rPr>
            </w:pPr>
            <w:r>
              <w:rPr>
                <w:rFonts w:ascii="Arial" w:cs="Arial" w:eastAsia="Arial" w:hAnsi="Arial"/>
                <w:sz w:val="17"/>
                <w:szCs w:val="17"/>
                <w:color w:val="auto"/>
                <w:w w:val="91"/>
              </w:rPr>
              <w:t>131</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13.</w:t>
            </w:r>
          </w:p>
        </w:tc>
        <w:tc>
          <w:tcPr>
            <w:tcW w:w="8360" w:type="dxa"/>
            <w:vAlign w:val="bottom"/>
            <w:gridSpan w:val="32"/>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Certain Relationships and Related Transactions, and Director Independence</w:t>
              </w:r>
            </w:hyperlink>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132</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14.</w:t>
            </w:r>
          </w:p>
        </w:tc>
        <w:tc>
          <w:tcPr>
            <w:tcW w:w="5260" w:type="dxa"/>
            <w:vAlign w:val="bottom"/>
            <w:tcBorders>
              <w:top w:val="single" w:sz="8" w:color="0000EE"/>
            </w:tcBorders>
            <w:gridSpan w:val="27"/>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Principal Accounting Fees and Services</w:t>
              </w:r>
            </w:hyperlink>
          </w:p>
        </w:tc>
        <w:tc>
          <w:tcPr>
            <w:tcW w:w="3100" w:type="dxa"/>
            <w:vAlign w:val="bottom"/>
            <w:gridSpan w:val="5"/>
          </w:tcPr>
          <w:p>
            <w:pPr>
              <w:spacing w:after="0"/>
              <w:rPr>
                <w:sz w:val="17"/>
                <w:szCs w:val="17"/>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132</w:t>
            </w:r>
          </w:p>
        </w:tc>
        <w:tc>
          <w:tcPr>
            <w:tcW w:w="0" w:type="dxa"/>
            <w:vAlign w:val="bottom"/>
          </w:tcPr>
          <w:p>
            <w:pPr>
              <w:spacing w:after="0"/>
              <w:rPr>
                <w:sz w:val="1"/>
                <w:szCs w:val="1"/>
                <w:color w:val="auto"/>
              </w:rPr>
            </w:pPr>
          </w:p>
        </w:tc>
      </w:tr>
      <w:tr>
        <w:trPr>
          <w:trHeight w:val="462"/>
        </w:trPr>
        <w:tc>
          <w:tcPr>
            <w:tcW w:w="1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4"/>
          </w:tcPr>
          <w:p>
            <w:pPr>
              <w:jc w:val="center"/>
              <w:ind w:right="3840"/>
              <w:spacing w:after="0"/>
              <w:rPr>
                <w:rFonts w:ascii="Arial" w:cs="Arial" w:eastAsia="Arial" w:hAnsi="Arial"/>
                <w:sz w:val="17"/>
                <w:szCs w:val="17"/>
                <w:b w:val="1"/>
                <w:bCs w:val="1"/>
                <w:color w:val="0000EE"/>
              </w:rPr>
            </w:pPr>
            <w:hyperlink w:anchor="page133">
              <w:r>
                <w:rPr>
                  <w:rFonts w:ascii="Arial" w:cs="Arial" w:eastAsia="Arial" w:hAnsi="Arial"/>
                  <w:sz w:val="17"/>
                  <w:szCs w:val="17"/>
                  <w:b w:val="1"/>
                  <w:bCs w:val="1"/>
                  <w:color w:val="0000EE"/>
                </w:rPr>
                <w:t>Part IV</w:t>
              </w:r>
            </w:hyperlink>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340" w:type="dxa"/>
            <w:vAlign w:val="bottom"/>
          </w:tcPr>
          <w:p>
            <w:pPr>
              <w:spacing w:after="0"/>
              <w:rPr>
                <w:sz w:val="20"/>
                <w:szCs w:val="20"/>
                <w:color w:val="auto"/>
              </w:rPr>
            </w:pPr>
            <w:r>
              <w:rPr>
                <w:rFonts w:ascii="Arial" w:cs="Arial" w:eastAsia="Arial" w:hAnsi="Arial"/>
                <w:sz w:val="17"/>
                <w:szCs w:val="17"/>
                <w:color w:val="auto"/>
              </w:rPr>
              <w:t>Item 15.</w:t>
            </w:r>
          </w:p>
        </w:tc>
        <w:tc>
          <w:tcPr>
            <w:tcW w:w="3980" w:type="dxa"/>
            <w:vAlign w:val="bottom"/>
            <w:gridSpan w:val="18"/>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Financial Statement Schedules, Exhibits</w:t>
              </w:r>
            </w:hyperlink>
          </w:p>
        </w:tc>
        <w:tc>
          <w:tcPr>
            <w:tcW w:w="540" w:type="dxa"/>
            <w:vAlign w:val="bottom"/>
            <w:tcBorders>
              <w:top w:val="single" w:sz="8" w:color="0000EE"/>
            </w:tcBorders>
            <w:gridSpan w:val="6"/>
          </w:tcPr>
          <w:p>
            <w:pPr>
              <w:spacing w:after="0"/>
              <w:rPr>
                <w:sz w:val="24"/>
                <w:szCs w:val="24"/>
                <w:color w:val="auto"/>
              </w:rPr>
            </w:pPr>
          </w:p>
        </w:tc>
        <w:tc>
          <w:tcPr>
            <w:tcW w:w="3840" w:type="dxa"/>
            <w:vAlign w:val="bottom"/>
            <w:gridSpan w:val="8"/>
          </w:tcPr>
          <w:p>
            <w:pPr>
              <w:spacing w:after="0"/>
              <w:rPr>
                <w:sz w:val="24"/>
                <w:szCs w:val="24"/>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133</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2800" w:type="dxa"/>
            <w:vAlign w:val="bottom"/>
            <w:tcBorders>
              <w:top w:val="single" w:sz="8" w:color="0000EE"/>
            </w:tcBorders>
            <w:gridSpan w:val="14"/>
          </w:tcPr>
          <w:p>
            <w:pPr>
              <w:spacing w:after="0"/>
              <w:rPr>
                <w:rFonts w:ascii="Arial" w:cs="Arial" w:eastAsia="Arial" w:hAnsi="Arial"/>
                <w:sz w:val="17"/>
                <w:szCs w:val="17"/>
                <w:color w:val="0000EE"/>
              </w:rPr>
            </w:pPr>
            <w:hyperlink w:anchor="page134">
              <w:r>
                <w:rPr>
                  <w:rFonts w:ascii="Arial" w:cs="Arial" w:eastAsia="Arial" w:hAnsi="Arial"/>
                  <w:sz w:val="17"/>
                  <w:szCs w:val="17"/>
                  <w:color w:val="0000EE"/>
                </w:rPr>
                <w:t>Index to Exhibits</w:t>
              </w:r>
            </w:hyperlink>
          </w:p>
        </w:tc>
        <w:tc>
          <w:tcPr>
            <w:tcW w:w="5560" w:type="dxa"/>
            <w:vAlign w:val="bottom"/>
            <w:gridSpan w:val="18"/>
          </w:tcPr>
          <w:p>
            <w:pPr>
              <w:spacing w:after="0"/>
              <w:rPr>
                <w:sz w:val="17"/>
                <w:szCs w:val="17"/>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60" w:type="dxa"/>
            <w:vAlign w:val="bottom"/>
            <w:gridSpan w:val="2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Item 16.</w:t>
            </w:r>
          </w:p>
        </w:tc>
        <w:tc>
          <w:tcPr>
            <w:tcW w:w="8360" w:type="dxa"/>
            <w:vAlign w:val="bottom"/>
            <w:gridSpan w:val="32"/>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Form 10-K Summary</w:t>
              </w:r>
            </w:hyperlink>
            <w:r>
              <w:rPr>
                <w:rFonts w:ascii="Arial" w:cs="Arial" w:eastAsia="Arial" w:hAnsi="Arial"/>
                <w:sz w:val="17"/>
                <w:szCs w:val="17"/>
                <w:color w:val="000000"/>
              </w:rPr>
              <w:t>.</w:t>
            </w: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139</w:t>
            </w: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88"/>
              </w:rPr>
            </w:pPr>
            <w:hyperlink w:anchor="page140">
              <w:r>
                <w:rPr>
                  <w:rFonts w:ascii="Arial" w:cs="Arial" w:eastAsia="Arial" w:hAnsi="Arial"/>
                  <w:sz w:val="17"/>
                  <w:szCs w:val="17"/>
                  <w:color w:val="0000EE"/>
                  <w:w w:val="88"/>
                </w:rPr>
                <w:t>Signatures</w:t>
              </w:r>
            </w:hyperlink>
          </w:p>
        </w:tc>
        <w:tc>
          <w:tcPr>
            <w:tcW w:w="760" w:type="dxa"/>
            <w:vAlign w:val="bottom"/>
            <w:tcBorders>
              <w:top w:val="single" w:sz="8" w:color="0000EE"/>
            </w:tcBorders>
            <w:gridSpan w:val="5"/>
          </w:tcPr>
          <w:p>
            <w:pPr>
              <w:spacing w:after="0"/>
              <w:rPr>
                <w:sz w:val="17"/>
                <w:szCs w:val="17"/>
                <w:color w:val="auto"/>
              </w:rPr>
            </w:pPr>
          </w:p>
        </w:tc>
        <w:tc>
          <w:tcPr>
            <w:tcW w:w="6860" w:type="dxa"/>
            <w:vAlign w:val="bottom"/>
            <w:gridSpan w:val="24"/>
          </w:tcPr>
          <w:p>
            <w:pPr>
              <w:spacing w:after="0"/>
              <w:rPr>
                <w:sz w:val="17"/>
                <w:szCs w:val="17"/>
                <w:color w:val="auto"/>
              </w:rPr>
            </w:pPr>
          </w:p>
        </w:tc>
        <w:tc>
          <w:tcPr>
            <w:tcW w:w="940" w:type="dxa"/>
            <w:vAlign w:val="bottom"/>
            <w:gridSpan w:val="3"/>
          </w:tcPr>
          <w:p>
            <w:pPr>
              <w:jc w:val="center"/>
              <w:ind w:left="513"/>
              <w:spacing w:after="0"/>
              <w:rPr>
                <w:sz w:val="20"/>
                <w:szCs w:val="20"/>
                <w:color w:val="auto"/>
              </w:rPr>
            </w:pPr>
            <w:r>
              <w:rPr>
                <w:rFonts w:ascii="Arial" w:cs="Arial" w:eastAsia="Arial" w:hAnsi="Arial"/>
                <w:sz w:val="17"/>
                <w:szCs w:val="17"/>
                <w:color w:val="auto"/>
                <w:w w:val="91"/>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53975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640"/>
          </w:cols>
          <w:pgMar w:left="360" w:top="329" w:right="8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When used in this report, unless otherwise indicated, “we,” “our,” “us,” the “Company” and “Kodak” refer to the consolidated company on the basis of consolidation described in Note 1 to the consolidated financial statements in Part II, Item 8, “Financial Statements and Supplementary Data” of this Form 10-K Report.</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Kodak is a global manufacturer focused on commercial print and advanced materials and chemicals. Kodak provides industry-leading hardware, software, consumables and services primarily to customers in commercial print, packaging, publishing, manufacturing and entertainment. With 31,000 patents earned over 130 years of R&amp;D, we believe in the power of technology and science to enhance what the world sees and creates. Our innovative, award-winning products, combined with our customer-first approach, allow us to attract customers worldwide. Kodak is committed to environmental stewardship, including industry leadership in developing sustainable solutions for print.</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Company was founded by George Eastman in 1880 and incorporated in 1901 in the State of New Jersey. Kodak is headquartered in Rochester, New York.</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BUSINESS</w:t>
      </w:r>
    </w:p>
    <w:p>
      <w:pPr>
        <w:spacing w:after="0" w:line="3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Kodak’s operations are classified into four reportable segments: Traditional Printing, Digital Printing, Advanced Materials and Chemicals and Brand. The balance of Kodak’s continuing operations, which do not meet the criteria of a reportable segment, are reported in All Other and primarily represent the Eastman Business Park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Traditional Printing</w:t>
      </w:r>
    </w:p>
    <w:p>
      <w:pPr>
        <w:spacing w:after="0" w:line="31"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The Traditional Printing segment is comprised of Prepress Solutions, which includes Kodak’s digital offset plate offerings and computer-to-plate (“CTP”) imaging solutions. The Traditional Printing segment provides digital and traditional product and service offerings to a variety of commercial industries, including commercial print, direct mail, book publishing, newspapers and magazines and packaging.</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segment is experiencing challenges from higher raw material and other supply chain costs,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long-term market dynamics on pricing and volume pressures through innovations in Kodak product lines.</w:t>
      </w:r>
    </w:p>
    <w:p>
      <w:pPr>
        <w:spacing w:after="0" w:line="20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goal of Prepress Solutions is to pursue a contract-based, stable and recurring cash flow-generative business model. The average duration of customer contracts is two years. These contracts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Traditional Printing products and services are sold globally to customers through both a direct sales team as well as indirectly through dealers and channel partners.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Kodak’s primary competitors are Fuji and Agfa. Kodak expects to benefit from current industry trends, including customers’ increasing focus on sustainability initiatives, which may strengthen demand for Kodak’s process-free solutions.</w:t>
      </w:r>
    </w:p>
    <w:p>
      <w:pPr>
        <w:spacing w:after="0" w:line="185"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Digital offset plate offerings include KODAK SONORA Process Free Plates. Instead of the traditional process in which a plate is run through processing equipment containing a solution of developer, chemicals and water to set the image, KODAK SONORA Process Free Plates enable printers to set the image on the platesetter, then go directly to press. There’s also no processing variability, so process-free plate users benefit from more consistent and stable plates.</w:t>
      </w:r>
    </w:p>
    <w:p>
      <w:pPr>
        <w:spacing w:after="0" w:line="1" w:lineRule="exact"/>
        <w:rPr>
          <w:sz w:val="20"/>
          <w:szCs w:val="20"/>
          <w:color w:val="auto"/>
        </w:rPr>
      </w:pPr>
    </w:p>
    <w:p>
      <w:pPr>
        <w:ind w:right="200"/>
        <w:spacing w:after="0" w:line="339" w:lineRule="auto"/>
        <w:rPr>
          <w:sz w:val="20"/>
          <w:szCs w:val="20"/>
          <w:color w:val="auto"/>
        </w:rPr>
      </w:pPr>
      <w:r>
        <w:rPr>
          <w:rFonts w:ascii="Arial" w:cs="Arial" w:eastAsia="Arial" w:hAnsi="Arial"/>
          <w:sz w:val="15"/>
          <w:szCs w:val="15"/>
          <w:color w:val="auto"/>
        </w:rPr>
        <w:t>It’s designed to be a much more environmentally friendly approach that could eliminate all processing chemicals, water and excess energy and waste from the plate-making process. These plates are designed to deliver cost savings and efficiency for customers and promote environmental sustainability practices.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3" w:name="page4"/>
    <w:bookmarkEnd w:id="3"/>
    <w:p>
      <w:pPr>
        <w:ind w:right="580"/>
        <w:spacing w:after="0" w:line="286" w:lineRule="auto"/>
        <w:rPr>
          <w:sz w:val="20"/>
          <w:szCs w:val="20"/>
          <w:color w:val="auto"/>
        </w:rPr>
      </w:pPr>
      <w:r>
        <w:rPr>
          <w:rFonts w:ascii="Arial" w:cs="Arial" w:eastAsia="Arial" w:hAnsi="Arial"/>
          <w:sz w:val="17"/>
          <w:szCs w:val="17"/>
          <w:color w:val="auto"/>
        </w:rPr>
        <w:t>Net sales for Traditional Printing accounted for 57%, 58% and 59% of Kodak’s total net revenue for the years ended December 31, 2021,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Traditional Printing segment also provides service and support related to these products.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September 1, 2019 Kodak established a strategic relationship with Lucky HuaGuang Graphics Co. Ltd (“HuaGuang”) in the People’s Republic of China. The relationship is comprised of an agreement under which Kodak sold its shares of the Kodak (China) Graphic Communication Co. Ltd. entity, which included the offset printing plates facility in Xiamen, China, and related assets and liabilities, to HuaGuang; a supply agreement for HuaGuang to help Kodak fulfill customer demand and a license agreement under which Kodak licensed its plates technology, including its Sonora Process Free plates technology, to HuaGuang with the intent of expanding the plates market in China. Upon the establishment of the relationship, Kodak received net cash proceeds of $30 million, of which $13 million was received in the United States. As part of the arrangement, Kodak established an escrow in China to secure minimum payments required under the supply agreement. The escrow balance as of December 31, 2021 approximated $4 million.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Digital Printing</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Digital Printing segment contains Electrophotographic Printing Solutions, Prosper, Versamark and Software. Digital Printing products include high-quality digital printing solutions using electrically charged toner-based technology, production press systems, consumables (primarily ink), inkjet components, software and services. Digital Printing products are distributed directly by Kodak and indirectly through dealers. The markets that the Digital Printing segment serves are highly competitive in variable printing applications like direct mail, newspapers, books, and packaging/labels. Key competitors are HP, Canon, Ricoh and Screen. Products and services included in Kodak’s offerings are described below.</w:t>
      </w:r>
    </w:p>
    <w:p>
      <w:pPr>
        <w:spacing w:after="0" w:line="73" w:lineRule="exact"/>
        <w:rPr>
          <w:sz w:val="20"/>
          <w:szCs w:val="20"/>
          <w:color w:val="auto"/>
        </w:rPr>
      </w:pPr>
    </w:p>
    <w:p>
      <w:pPr>
        <w:ind w:left="360" w:hanging="356"/>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Electrophotographic Printing Solutions:</w:t>
      </w:r>
    </w:p>
    <w:p>
      <w:pPr>
        <w:spacing w:after="0" w:line="221" w:lineRule="exact"/>
        <w:rPr>
          <w:rFonts w:ascii="Arial" w:cs="Arial" w:eastAsia="Arial" w:hAnsi="Arial"/>
          <w:sz w:val="17"/>
          <w:szCs w:val="17"/>
          <w:color w:val="auto"/>
        </w:rPr>
      </w:pPr>
    </w:p>
    <w:p>
      <w:pPr>
        <w:ind w:left="740" w:right="160" w:hanging="371"/>
        <w:spacing w:after="0" w:line="286" w:lineRule="auto"/>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NEXFINITY printers produce high-quality, differentiated printing of short-run, personalized print applications, such as direct mail, books, marketing collateral and photo products.</w:t>
      </w:r>
    </w:p>
    <w:p>
      <w:pPr>
        <w:spacing w:after="0" w:line="159" w:lineRule="exact"/>
        <w:rPr>
          <w:rFonts w:ascii="Arial" w:cs="Arial" w:eastAsia="Arial" w:hAnsi="Arial"/>
          <w:sz w:val="17"/>
          <w:szCs w:val="17"/>
          <w:color w:val="auto"/>
        </w:rPr>
      </w:pPr>
    </w:p>
    <w:p>
      <w:pPr>
        <w:ind w:left="740" w:right="440" w:hanging="371"/>
        <w:spacing w:after="0" w:line="271" w:lineRule="auto"/>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ASCEND printer is a new electrophotographic press aimed at the retail, point of purchase and packaging markets. ASCEND printers enable customers to print and embellish on heavyweight stocks and are designed for customers looking to create sort-run packaging, displays and signage. The ASCEND printers are anticipated to be available mid-2022.</w:t>
      </w:r>
    </w:p>
    <w:p>
      <w:pPr>
        <w:spacing w:after="0" w:line="171" w:lineRule="exact"/>
        <w:rPr>
          <w:rFonts w:ascii="Arial" w:cs="Arial" w:eastAsia="Arial" w:hAnsi="Arial"/>
          <w:sz w:val="17"/>
          <w:szCs w:val="17"/>
          <w:color w:val="auto"/>
        </w:rPr>
      </w:pPr>
    </w:p>
    <w:p>
      <w:pPr>
        <w:ind w:left="360" w:hanging="356"/>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Prosper:</w:t>
      </w:r>
    </w:p>
    <w:p>
      <w:pPr>
        <w:spacing w:after="0" w:line="247" w:lineRule="exact"/>
        <w:rPr>
          <w:rFonts w:ascii="Arial" w:cs="Arial" w:eastAsia="Arial" w:hAnsi="Arial"/>
          <w:sz w:val="17"/>
          <w:szCs w:val="17"/>
          <w:color w:val="auto"/>
        </w:rPr>
      </w:pPr>
    </w:p>
    <w:p>
      <w:pPr>
        <w:ind w:left="740" w:hanging="371"/>
        <w:spacing w:after="0" w:line="278" w:lineRule="auto"/>
        <w:tabs>
          <w:tab w:leader="none" w:pos="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on a variety of substrates.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70" w:lineRule="exact"/>
        <w:rPr>
          <w:rFonts w:ascii="Arial" w:cs="Arial" w:eastAsia="Arial" w:hAnsi="Arial"/>
          <w:sz w:val="16"/>
          <w:szCs w:val="16"/>
          <w:color w:val="auto"/>
        </w:rPr>
      </w:pPr>
    </w:p>
    <w:p>
      <w:pPr>
        <w:ind w:left="740" w:right="340" w:hanging="371"/>
        <w:spacing w:after="0" w:line="271" w:lineRule="auto"/>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focus of the Prosper business is on developing innovative solutions for customers which includes Kodak’s next generation inkjet platform, Ultrastream, with solutions that place writing systems in OEM products and systems as well as direct sale press products that widens its reach into applications for packaging and décor and expands the substrate range to include plastics.</w:t>
      </w:r>
    </w:p>
    <w:p>
      <w:pPr>
        <w:spacing w:after="0" w:line="200" w:lineRule="exact"/>
        <w:rPr>
          <w:rFonts w:ascii="Arial" w:cs="Arial" w:eastAsia="Arial" w:hAnsi="Arial"/>
          <w:sz w:val="17"/>
          <w:szCs w:val="17"/>
          <w:color w:val="auto"/>
        </w:rPr>
      </w:pPr>
    </w:p>
    <w:p>
      <w:pPr>
        <w:spacing w:after="0" w:line="231" w:lineRule="exact"/>
        <w:rPr>
          <w:rFonts w:ascii="Arial" w:cs="Arial" w:eastAsia="Arial" w:hAnsi="Arial"/>
          <w:sz w:val="17"/>
          <w:szCs w:val="17"/>
          <w:color w:val="auto"/>
        </w:rPr>
      </w:pPr>
    </w:p>
    <w:p>
      <w:pPr>
        <w:ind w:left="360" w:hanging="356"/>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Versamark:</w:t>
      </w:r>
    </w:p>
    <w:p>
      <w:pPr>
        <w:spacing w:after="0" w:line="247" w:lineRule="exact"/>
        <w:rPr>
          <w:rFonts w:ascii="Arial" w:cs="Arial" w:eastAsia="Arial" w:hAnsi="Arial"/>
          <w:sz w:val="17"/>
          <w:szCs w:val="17"/>
          <w:color w:val="auto"/>
        </w:rPr>
      </w:pPr>
    </w:p>
    <w:p>
      <w:pPr>
        <w:ind w:left="740" w:right="340" w:hanging="371"/>
        <w:spacing w:after="0" w:line="298" w:lineRule="auto"/>
        <w:tabs>
          <w:tab w:leader="none" w:pos="74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The KODAK VERSAMARK Products are the predecessor products to the PROSPER business. Kodak has ceased manufacturing VERSAMARK Press Systems. Users of KODAK VERSAMARK products continue to purchase ink and other consumables as well as service from</w:t>
      </w:r>
    </w:p>
    <w:p>
      <w:pPr>
        <w:ind w:left="740"/>
        <w:spacing w:after="0"/>
        <w:rPr>
          <w:rFonts w:ascii="Arial" w:cs="Arial" w:eastAsia="Arial" w:hAnsi="Arial"/>
          <w:sz w:val="15"/>
          <w:szCs w:val="15"/>
          <w:color w:val="auto"/>
        </w:rPr>
      </w:pPr>
      <w:r>
        <w:rPr>
          <w:rFonts w:ascii="Arial" w:cs="Arial" w:eastAsia="Arial" w:hAnsi="Arial"/>
          <w:sz w:val="17"/>
          <w:szCs w:val="17"/>
          <w:color w:val="auto"/>
        </w:rPr>
        <w:t>Kodak. Applications of the VERSAMARK products include publishing, transactional, commercial print and direct mail.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 w:name="page5"/>
    <w:bookmarkEnd w:id="4"/>
    <w:p>
      <w:pPr>
        <w:ind w:left="360" w:hanging="356"/>
        <w:spacing w:after="0"/>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Software:</w:t>
      </w:r>
    </w:p>
    <w:p>
      <w:pPr>
        <w:spacing w:after="0" w:line="247" w:lineRule="exact"/>
        <w:rPr>
          <w:rFonts w:ascii="Arial" w:cs="Arial" w:eastAsia="Arial" w:hAnsi="Arial"/>
          <w:sz w:val="17"/>
          <w:szCs w:val="17"/>
          <w:color w:val="auto"/>
        </w:rPr>
      </w:pPr>
    </w:p>
    <w:p>
      <w:pPr>
        <w:ind w:left="740" w:right="60" w:hanging="371"/>
        <w:spacing w:after="0" w:line="261" w:lineRule="auto"/>
        <w:tabs>
          <w:tab w:leader="none" w:pos="7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Kodak plans to expand the PRINERGY offering with its cloud-based PRINERGY On Demand Platform in early 2022.</w:t>
      </w:r>
    </w:p>
    <w:p>
      <w:pPr>
        <w:spacing w:after="0" w:line="179" w:lineRule="exact"/>
        <w:rPr>
          <w:rFonts w:ascii="Arial" w:cs="Arial" w:eastAsia="Arial" w:hAnsi="Arial"/>
          <w:sz w:val="17"/>
          <w:szCs w:val="17"/>
          <w:color w:val="auto"/>
        </w:rPr>
      </w:pPr>
    </w:p>
    <w:p>
      <w:pPr>
        <w:ind w:left="740" w:right="260" w:hanging="371"/>
        <w:spacing w:after="0" w:line="286" w:lineRule="auto"/>
        <w:tabs>
          <w:tab w:leader="none" w:pos="7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Software business includes digital front-end controllers which manage the delivery of personalized content to digital presses while controlling color and print consistency.</w:t>
      </w:r>
    </w:p>
    <w:p>
      <w:pPr>
        <w:spacing w:after="0" w:line="185" w:lineRule="exact"/>
        <w:rPr>
          <w:sz w:val="20"/>
          <w:szCs w:val="20"/>
          <w:color w:val="auto"/>
        </w:rPr>
      </w:pPr>
    </w:p>
    <w:p>
      <w:pPr>
        <w:ind w:right="800"/>
        <w:spacing w:after="0" w:line="286" w:lineRule="auto"/>
        <w:rPr>
          <w:sz w:val="20"/>
          <w:szCs w:val="20"/>
          <w:color w:val="auto"/>
        </w:rPr>
      </w:pPr>
      <w:r>
        <w:rPr>
          <w:rFonts w:ascii="Arial" w:cs="Arial" w:eastAsia="Arial" w:hAnsi="Arial"/>
          <w:sz w:val="17"/>
          <w:szCs w:val="17"/>
          <w:color w:val="auto"/>
        </w:rPr>
        <w:t>Net sales for Digital Printing accounted for 22%, 23% and 24% of Kodak’s total net revenue for the years ended December 31, 2021, 2020 and 2019,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Materials and Chemicals</w:t>
      </w: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Advanced Materials and Chemicals segment is comprised of three lines of business: Industrial Film and Chemicals, Motion Picture and Advanced Materials and Functional Printing. Kodak Services for Business (“KSB”), which provided business process outsourcing services, was sold to Swiss Post Solutions in December 2020 and Kodakit, which was a platform that connected businesses with professional photographers, was discontinued in October 2019. Kodak’s Advanced Materials and Chemicals products are distributed directly by Kodak and indirectly through dealers. Kodak Alaris, a professional and consumer still photographic film and chemicals customer, represented approximately 32%, 30% and 20% of total Advanced Materials and Chemicals segment revenues in 2021, 2020 and 2019, respectively. Products and services included in Kodak’s offerings are described below.</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Advanced Materials and Chemicals segment includes the Kodak Research Laboratories which conduct research, develop new product or new business opportunities and file patent applications for its inventions and innovations.</w:t>
      </w:r>
    </w:p>
    <w:p>
      <w:pPr>
        <w:spacing w:after="0" w:line="185" w:lineRule="exact"/>
        <w:rPr>
          <w:sz w:val="20"/>
          <w:szCs w:val="20"/>
          <w:color w:val="auto"/>
        </w:rPr>
      </w:pPr>
    </w:p>
    <w:p>
      <w:pPr>
        <w:ind w:right="540"/>
        <w:spacing w:after="0" w:line="319" w:lineRule="auto"/>
        <w:rPr>
          <w:sz w:val="20"/>
          <w:szCs w:val="20"/>
          <w:color w:val="auto"/>
        </w:rPr>
      </w:pPr>
      <w:r>
        <w:rPr>
          <w:rFonts w:ascii="Arial" w:cs="Arial" w:eastAsia="Arial" w:hAnsi="Arial"/>
          <w:sz w:val="16"/>
          <w:szCs w:val="16"/>
          <w:color w:val="auto"/>
        </w:rPr>
        <w:t>The Advanced Materials and Chemicals segment also manages licensing of its intellectual property to third parties and is a supporting participant for any licensing of Kodak intellectual property to a third party. Kodak maintains a large worldwide portfolio of pending applications and issued patents.</w:t>
      </w:r>
    </w:p>
    <w:p>
      <w:pPr>
        <w:spacing w:after="0" w:line="136" w:lineRule="exact"/>
        <w:rPr>
          <w:sz w:val="20"/>
          <w:szCs w:val="20"/>
          <w:color w:val="auto"/>
        </w:rPr>
      </w:pPr>
    </w:p>
    <w:p>
      <w:pPr>
        <w:ind w:left="360" w:hanging="356"/>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Industrial Film and Chemicals</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740" w:right="20" w:hanging="371"/>
        <w:spacing w:after="0" w:line="286" w:lineRule="auto"/>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Offers professional and consumer still photographic film, as well as industrial film, including films used by the electronics industry to produce printed circuit boards.</w:t>
      </w:r>
    </w:p>
    <w:p>
      <w:pPr>
        <w:spacing w:after="0" w:line="185" w:lineRule="exact"/>
        <w:rPr>
          <w:rFonts w:ascii="Arial" w:cs="Arial" w:eastAsia="Arial" w:hAnsi="Arial"/>
          <w:sz w:val="17"/>
          <w:szCs w:val="17"/>
          <w:color w:val="auto"/>
        </w:rPr>
      </w:pPr>
    </w:p>
    <w:p>
      <w:pPr>
        <w:ind w:left="740" w:right="80" w:hanging="371"/>
        <w:spacing w:after="0" w:line="271" w:lineRule="auto"/>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Includes related component businesses: Specialty Chemicals; Solvent Recovery; and Polyester Film. Specialty Chemicals include unregulated key starting materials (“KSMs”) for pharmaceuticals. Kodak intends to continue organic expansion of its KSM production and is exploring opportunities to further expand its pharmaceutical offerings.</w:t>
      </w:r>
    </w:p>
    <w:p>
      <w:pPr>
        <w:spacing w:after="0" w:line="197" w:lineRule="exact"/>
        <w:rPr>
          <w:rFonts w:ascii="Arial" w:cs="Arial" w:eastAsia="Arial" w:hAnsi="Arial"/>
          <w:sz w:val="17"/>
          <w:szCs w:val="17"/>
          <w:color w:val="auto"/>
        </w:rPr>
      </w:pPr>
    </w:p>
    <w:p>
      <w:pPr>
        <w:ind w:left="740" w:hanging="371"/>
        <w:spacing w:after="0"/>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Offers specialty inks and dispersions to third parties.</w:t>
      </w:r>
    </w:p>
    <w:p>
      <w:pPr>
        <w:spacing w:after="0" w:line="247" w:lineRule="exact"/>
        <w:rPr>
          <w:rFonts w:ascii="Arial" w:cs="Arial" w:eastAsia="Arial" w:hAnsi="Arial"/>
          <w:sz w:val="17"/>
          <w:szCs w:val="17"/>
          <w:color w:val="auto"/>
        </w:rPr>
      </w:pPr>
    </w:p>
    <w:p>
      <w:pPr>
        <w:ind w:left="740" w:hanging="371"/>
        <w:spacing w:after="0" w:line="286" w:lineRule="auto"/>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Offers coating and product commercialization services: offerings include both pilot-scale and production scale roll-to-roll coating capabilities utilizing Kodak’s assets and know-how to commercialize and manufacture third party products.</w:t>
      </w:r>
    </w:p>
    <w:p>
      <w:pPr>
        <w:spacing w:after="0" w:line="185" w:lineRule="exact"/>
        <w:rPr>
          <w:rFonts w:ascii="Arial" w:cs="Arial" w:eastAsia="Arial" w:hAnsi="Arial"/>
          <w:sz w:val="17"/>
          <w:szCs w:val="17"/>
          <w:color w:val="auto"/>
        </w:rPr>
      </w:pPr>
    </w:p>
    <w:p>
      <w:pPr>
        <w:ind w:left="740" w:right="280" w:hanging="371"/>
        <w:spacing w:after="0" w:line="286" w:lineRule="auto"/>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Includes Consumer Inkjet Solutions. Starting in 2013, Kodak stopped manufacturing consumer inkjet printers and focused on the sale of ink to its installed printer base. Kodak’s final build of ink inventory was depleted in the second quarter of 2020.</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5" w:name="page6"/>
    <w:bookmarkEnd w:id="5"/>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Motion Picture:</w:t>
      </w:r>
    </w:p>
    <w:p>
      <w:pPr>
        <w:spacing w:after="0" w:line="247" w:lineRule="exact"/>
        <w:rPr>
          <w:rFonts w:ascii="Arial" w:cs="Arial" w:eastAsia="Arial" w:hAnsi="Arial"/>
          <w:sz w:val="17"/>
          <w:szCs w:val="17"/>
          <w:color w:val="auto"/>
        </w:rPr>
      </w:pPr>
    </w:p>
    <w:p>
      <w:pPr>
        <w:ind w:left="740" w:hanging="371"/>
        <w:spacing w:after="0" w:line="286" w:lineRule="auto"/>
        <w:tabs>
          <w:tab w:leader="none" w:pos="74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Includes the motion picture film business serving the entertainment industry. Motion picture products are sold directly to studios, external laboratories and independent filmmakers.</w:t>
      </w:r>
    </w:p>
    <w:p>
      <w:pPr>
        <w:spacing w:after="0" w:line="185" w:lineRule="exact"/>
        <w:rPr>
          <w:rFonts w:ascii="Arial" w:cs="Arial" w:eastAsia="Arial" w:hAnsi="Arial"/>
          <w:sz w:val="17"/>
          <w:szCs w:val="17"/>
          <w:color w:val="auto"/>
        </w:rPr>
      </w:pPr>
    </w:p>
    <w:p>
      <w:pPr>
        <w:ind w:left="740" w:hanging="371"/>
        <w:spacing w:after="0"/>
        <w:tabs>
          <w:tab w:leader="none" w:pos="740" w:val="left"/>
        </w:tabs>
        <w:numPr>
          <w:ilvl w:val="1"/>
          <w:numId w:val="6"/>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 onsite processing services at strategic locations in the U.S. and Europe.</w:t>
      </w:r>
    </w:p>
    <w:p>
      <w:pPr>
        <w:spacing w:after="0" w:line="247" w:lineRule="exact"/>
        <w:rPr>
          <w:rFonts w:ascii="Arial" w:cs="Arial" w:eastAsia="Arial" w:hAnsi="Arial"/>
          <w:sz w:val="17"/>
          <w:szCs w:val="17"/>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Advanced Materials and Functional Printing:</w:t>
      </w:r>
    </w:p>
    <w:p>
      <w:pPr>
        <w:spacing w:after="0" w:line="247" w:lineRule="exact"/>
        <w:rPr>
          <w:rFonts w:ascii="Arial" w:cs="Arial" w:eastAsia="Arial" w:hAnsi="Arial"/>
          <w:sz w:val="17"/>
          <w:szCs w:val="17"/>
          <w:color w:val="auto"/>
        </w:rPr>
      </w:pPr>
    </w:p>
    <w:p>
      <w:pPr>
        <w:jc w:val="both"/>
        <w:ind w:left="740" w:right="180" w:hanging="371"/>
        <w:spacing w:after="0" w:line="323" w:lineRule="auto"/>
        <w:tabs>
          <w:tab w:leader="none" w:pos="740" w:val="left"/>
        </w:tabs>
        <w:numPr>
          <w:ilvl w:val="1"/>
          <w:numId w:val="6"/>
        </w:numPr>
        <w:rPr>
          <w:rFonts w:ascii="Arial" w:cs="Arial" w:eastAsia="Arial" w:hAnsi="Arial"/>
          <w:sz w:val="15"/>
          <w:szCs w:val="15"/>
          <w:color w:val="auto"/>
        </w:rPr>
      </w:pPr>
      <w:r>
        <w:rPr>
          <w:rFonts w:ascii="Arial" w:cs="Arial" w:eastAsia="Arial" w:hAnsi="Arial"/>
          <w:sz w:val="15"/>
          <w:szCs w:val="15"/>
          <w:color w:val="auto"/>
        </w:rPr>
        <w:t>Advanced Materials develops solutions for component smart materials based on the materials science inventions and innovations from the research laboratories. There are multiple applications that Kodak contemplates addressing in this category. Currently, the primary focus is on light blocking particles (Kodalux) for the textile market. In addition, a specialty material is manufactured by this group for use by a 3D printing customer.</w:t>
      </w:r>
    </w:p>
    <w:p>
      <w:pPr>
        <w:spacing w:after="0" w:line="163" w:lineRule="exact"/>
        <w:rPr>
          <w:rFonts w:ascii="Arial" w:cs="Arial" w:eastAsia="Arial" w:hAnsi="Arial"/>
          <w:sz w:val="15"/>
          <w:szCs w:val="15"/>
          <w:color w:val="auto"/>
        </w:rPr>
      </w:pPr>
    </w:p>
    <w:p>
      <w:pPr>
        <w:jc w:val="both"/>
        <w:ind w:left="740" w:right="360" w:hanging="371"/>
        <w:spacing w:after="0" w:line="295" w:lineRule="auto"/>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Functional Printing concentrates on contract manufacturing, development partnerships, and/or licensing opportunities in very high-resolution 3D printing solutions such as printed electronics. Development partnerships may include non-recurring engineering payments for Kodak’s efforts to further develop such technologies into products. Also, a portfolio of products is offered to enable others to utilize functional printing.</w:t>
      </w:r>
    </w:p>
    <w:p>
      <w:pPr>
        <w:spacing w:after="0" w:line="181" w:lineRule="exact"/>
        <w:rPr>
          <w:rFonts w:ascii="Arial" w:cs="Arial" w:eastAsia="Arial" w:hAnsi="Arial"/>
          <w:sz w:val="16"/>
          <w:szCs w:val="16"/>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IP Licensing and Analytical Services</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740" w:right="60" w:hanging="371"/>
        <w:spacing w:after="0" w:line="266" w:lineRule="auto"/>
        <w:tabs>
          <w:tab w:leader="none" w:pos="740" w:val="left"/>
        </w:tabs>
        <w:numPr>
          <w:ilvl w:val="1"/>
          <w:numId w:val="6"/>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 Kodak also provides a wide range of analytical services to external clients at competitive rates.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Refer to the Business Overview and Strategy section of Item 7, “Management’s Discussion and Analysis” for additional information on the opportunities related to Advanced Materials and Chemicals growth initiatives.</w:t>
      </w:r>
    </w:p>
    <w:p>
      <w:pPr>
        <w:spacing w:after="0" w:line="15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sales for Industrial Film and Chemicals accounted for 14%, 13% and 11% of Kodak’s total net revenue for the years ended December 31, 2021,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w:t>
      </w:r>
    </w:p>
    <w:p>
      <w:pPr>
        <w:spacing w:after="0" w:line="31"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color w:val="auto"/>
        </w:rPr>
        <w:t>The Brand segment includes licensing of the Kodak brand to third parties. Kodak currently licenses its brand for use with a range of products including digital, instant print and 35mm film cameras, printing and scanning consumer use devices, batteries, apparel and eyewear. Kodak intends to continue efforts to grow its portfolio of brand licenses to generate both ongoing royalty streams and upfront payments. Brand licensees use the Kodak brand on their products and use their own distribution channels.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31"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color w:val="auto"/>
        </w:rPr>
        <w:t>Discontinued operations of Kodak included the Flexographic Packaging business. Refer to Note 28, “Discontinued Operations” in the Notes to Financial Statements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31" w:lineRule="exact"/>
        <w:rPr>
          <w:sz w:val="20"/>
          <w:szCs w:val="20"/>
          <w:color w:val="auto"/>
        </w:rPr>
      </w:pPr>
    </w:p>
    <w:p>
      <w:pPr>
        <w:ind w:right="740"/>
        <w:spacing w:after="0" w:line="255" w:lineRule="auto"/>
        <w:rPr>
          <w:sz w:val="20"/>
          <w:szCs w:val="20"/>
          <w:color w:val="auto"/>
        </w:rPr>
      </w:pPr>
      <w:r>
        <w:rPr>
          <w:rFonts w:ascii="Arial" w:cs="Arial" w:eastAsia="Arial" w:hAnsi="Arial"/>
          <w:sz w:val="17"/>
          <w:szCs w:val="17"/>
          <w:color w:val="auto"/>
        </w:rPr>
        <w:t>The raw materials used by Kodak are many and varied and are generally readily available. Lithographic aluminum is the primary material used in the manufacture of offset printing plates.</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Kodak procures lithographic aluminum coils from several suppliers with pricing based on prevailing market prices for aluminum. Lithographic aluminum is experiencing significantly increased prices and demand. Electronic components are used in the manufacturing of commercial printers and other electronic devices. The film and chemicals business uses many raw materials, including silver, from a broad range of suppliers. While most raw materials are generally available from multiple sources, certain key electronic components, other components and specialty chemicals included in the finished goods manufactured by Kodak and manufactured by and purchased from Kodak’s third-party suppliers are obtained from single or limited sources, which subjects Kodak to supply risks. Refer to the Executive Overview section of Item 7, “Management’s Discussion and Analysis” for a discussion of the impact of the COVID-19 pandemic and other global events for additional information.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335" w:right="4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SEASONALITY OF BUSINESS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Printing equipment and plate unit sales generally are higher in the fourth quarter, resulting from customer or industry budgeting practices and buying patterns.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31"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consumer inkjet inks and media; custom and specialty materials for 3D printing, functional printing materials, material formulations, and deposition modalities; engineered microparticles for specific functions; security materials; embedded information; and color negative films, processing and print films. Each of these areas is important to existing and emerging business opportunities that bear directly on Kodak's overall business performance.</w:t>
      </w:r>
    </w:p>
    <w:p>
      <w:pPr>
        <w:spacing w:after="0" w:line="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to patents, Kodak’s intellectual property includes know-how in many of the areas noted above, but in other businesses as well, such as manufacturing of KSMs for the pharmaceutical industry.</w:t>
      </w:r>
    </w:p>
    <w:p>
      <w:pPr>
        <w:spacing w:after="0" w:line="15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Kodak is subject to a wide variety of increasingly stringent federal, state, local, and foreign environmental laws and regulations, including laws addressing the discharge of pollutants into the air and water, the management and disposal of hazardous substances and wastes, and the cleanup of contaminated sites. 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 liability for environmental remediation and other environmental costs is accrued when it is considered probable that a liability has been incurred and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amount of loss can be reasonably estimated. Environmental costs and accruals are presently not material to Kodak’s operations, cash flows or financial</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position. Although there is no assurance that existing or future environmental laws applicable to operations or products will not have a material adverse effect 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operations, cash flows or financial condition, Kodak does not currently anticipate material expenditures to comply with environmental laws and regulations.</w:t>
      </w:r>
    </w:p>
    <w:p>
      <w:pPr>
        <w:spacing w:after="0" w:line="24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Kodak is focused on developing and delivering products and technologies that can drive sustainability performance by increasing operational efficiency, minimizing resource use, reducing costs over time and empowering customers to meet their own sustainability objectives.</w:t>
      </w:r>
    </w:p>
    <w:p>
      <w:pPr>
        <w:spacing w:after="0" w:line="18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opportunity to reduce the environmental impact of its products and services is especially great for print products, as commercial printing has historically been a significant source of waste and pollution. Kodak is partnering with the Rochester Institute of Technology’s Pollution Prevention Institute to develop in-house life cycle assessment and carbon foot printing capabilities, which will help identify where the environmental footprint of Kodak’s products can be further reduced.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31"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As of January 1, 2022, Kodak employed approximately 4,200 employees across 35 countries. Kodak’s success greatly depends on identifying, attracting, engaging, developing, and retaining a highly skilled workforce in multiple areas within Kodak.</w:t>
      </w:r>
    </w:p>
    <w:p>
      <w:pPr>
        <w:spacing w:after="0" w:line="19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Kodak utilizes temporary staffing programs to develop a pipeline of talent and provide additional support during peak periods. This includes working closely with local schools to provide apprentice and intern programs. Approximately 2% of its workforce is temporary.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Diversity, Equity and Inclusion</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Kodak is focused on creating an inclusive and creative environment globally. Kodak strives to create a culture of inclusion, reduce bias in its talent practices, and invest in and engage with its communities. Kodak conducts diversity and code of conduct trainings with employees and managers to promote an inclusive and diverse workplace, where all individuals feel respected and part of a team regardless of their race, national origin, ethnicity, gender, age, religion, disability, sexual orientation or gender identity.</w:t>
      </w:r>
    </w:p>
    <w:p>
      <w:pPr>
        <w:spacing w:after="0" w:line="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Kodak has achieved a score of 100% on the Human Rights Campaign Foundation’s Corporate Equality Index for over two decades and is included on its list of “Best Places to Work for LGBTO+ Equality”.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Wellness and Safety</w:t>
      </w:r>
    </w:p>
    <w:p>
      <w:pPr>
        <w:spacing w:after="0" w:line="3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Kodak is dedicated to driving continuous safety improvement across its operations. Kodak’s approach includes identifying and mitigating risk, targeted training, information sharing on safe work practices, and thorough analysis of incidents and near misses.</w:t>
      </w:r>
    </w:p>
    <w:p>
      <w:pPr>
        <w:spacing w:after="0" w:line="19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COVID-19 pandemic magnified the importance of keeping employees safe and healthy. In response to the pandemic, Kodak has taken actions consistent with government mandates and continues to track active cases. The Executive Leadership Team reviews the actions and status of cases on a regular basis. Kodak will continue to emphasize the health and safety of its employees going forward.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31"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Company, About Us, Investor Center, Financials and then SEC Filings.</w:t>
      </w:r>
    </w:p>
    <w:p>
      <w:pPr>
        <w:spacing w:after="0" w:line="17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tab/>
        <w:t>RISK FACTORS</w:t>
      </w:r>
    </w:p>
    <w:p>
      <w:pPr>
        <w:spacing w:after="0" w:line="12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Kodak operates in rapidly changing economic and technological environments which present numerous risks and uncertainties. The risk factors described below, if realized, could have a material adverse effect on Kodak’s business, financial condition, and results of operations and make an investment in our securities risky. You should consider carefully these risks and uncertainties in addition to other information contained in this Annual Report on Form 10-K, including the Management’s Discussion and Analysis of Financial Condition and Results of Operations (“MD&amp;A”) section and the consolidated financial statements and related notes.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Kodak’s Business and Operations</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Kodak’s business, financial condition and results of operations have been and may continue to be adversely affected by global public health pandemics, including the COVID-19 pandemic.</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COVID-19 pandemic has had, or another global health crisis could have material adverse impacts on Kodak’s employees, suppliers, customers, and others’ ability to conduct business. The negative effects associated with the COVID-19 pandemic have, and may continue to have, material adverse effects on our business, financial condition and results of operations. The COVID-19 pandemic has affected large segments of the global economy, including the markets in which we operate.</w:t>
      </w:r>
    </w:p>
    <w:p>
      <w:pPr>
        <w:spacing w:after="0" w:line="110"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pandemic and actions undertaken in response to the pandemic by Kodak, governmental bodies or other groups may have a material adverse effect on our business or our suppliers, distribution channels, and customers, including business shutdowns or disruptions for an indefinite period of time, reduced operations, restrictions or interruptions in shipping, manufacturing or installing products, reduced consumer demand or customers’ ability to make payments.</w:t>
      </w:r>
    </w:p>
    <w:p>
      <w:pPr>
        <w:spacing w:after="0" w:line="200" w:lineRule="exact"/>
        <w:rPr>
          <w:sz w:val="20"/>
          <w:szCs w:val="20"/>
          <w:color w:val="auto"/>
        </w:rPr>
      </w:pPr>
    </w:p>
    <w:p>
      <w:pPr>
        <w:spacing w:after="0" w:line="25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We have and may continue to experience additional operating costs due to increased cost of raw materials and labor, the availability of raw materials and component products, delays in shipping and transportation and slow recovery of customer demand. Kodak’s products contain aluminum, silver, petroleum-based or other commodity-based raw materials, the prices of which have significantly increased, and will likely continue to increase. Ongoing disruptions in our supply chain could affect our ability to meet customer demand for our products and services. Adverse operational and economic circumstances associated with the COVID-19 pandemic could materially affect our business, financial condition or results of operations. The extent to which the COVID-19 pandemic affects our results will depend on future developments, which are highly uncertain and cannot be predicted, including new information which may emerge concerning the severity of COVID-19 and the actions taken in response to the pandemic. For additional discussion regarding known impacts of the COVID-19 pandemic, see Item 7, “Management’s Discussion and Analysis of Financial Condition and Results of Operations“ in this 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The ability to generate positive operating cash flows will be necessary for Kodak to continue to operate our business.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Continued investment, capital needs, restructuring payments, dividends and servicing Kodak’s debt require a significant amount of cash and we may not be able to generate sufficient cash to fund these activities, which could adversely affect our business, financial condition, and results of operations. Kodak has not generated positive operating cash flows without supplementing such cash flow from operations with financing and monetization transactions over the past several years. Kodak’s stable and remaining growth businesses may not grow or continue to generate the same or enough cash flow to offset businesses with declining cash flows and investments needed for certain growth businesses.</w:t>
      </w:r>
    </w:p>
    <w:p>
      <w:pPr>
        <w:spacing w:after="0" w:line="7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It may take Kodak longer to generate positive cash flow from operations than planned, which would have a material adverse effect on our liquidity and financial position. If Kodak is unable to generate positive cash flow from operations for an extended period in the future or to adequately supplement such cash flow from operations, our ability to continue as a going concern could be impaired or limited.</w:t>
      </w:r>
    </w:p>
    <w:p>
      <w:pPr>
        <w:spacing w:after="0" w:line="6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Kodak’s ability to generate cash is subject to general economic, financial, competitive, legal, regulatory and other factors beyond our control. There are no assurances:</w:t>
      </w:r>
    </w:p>
    <w:p>
      <w:pPr>
        <w:spacing w:after="0" w:line="185" w:lineRule="exact"/>
        <w:rPr>
          <w:sz w:val="20"/>
          <w:szCs w:val="20"/>
          <w:color w:val="auto"/>
        </w:rPr>
      </w:pPr>
    </w:p>
    <w:p>
      <w:pPr>
        <w:ind w:left="780" w:hanging="385"/>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businesses will generate sufficient cash flow from operations;</w:t>
      </w:r>
    </w:p>
    <w:p>
      <w:pPr>
        <w:spacing w:after="0" w:line="25" w:lineRule="exact"/>
        <w:rPr>
          <w:rFonts w:ascii="Arial" w:cs="Arial" w:eastAsia="Arial" w:hAnsi="Arial"/>
          <w:sz w:val="17"/>
          <w:szCs w:val="17"/>
          <w:color w:val="auto"/>
        </w:rPr>
      </w:pPr>
    </w:p>
    <w:p>
      <w:pPr>
        <w:ind w:left="780" w:hanging="385"/>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 will be able to repatriate or move cash to locations where and when it is needed;</w:t>
      </w:r>
    </w:p>
    <w:p>
      <w:pPr>
        <w:spacing w:after="0" w:line="12" w:lineRule="exact"/>
        <w:rPr>
          <w:rFonts w:ascii="Arial" w:cs="Arial" w:eastAsia="Arial" w:hAnsi="Arial"/>
          <w:sz w:val="17"/>
          <w:szCs w:val="17"/>
          <w:color w:val="auto"/>
        </w:rPr>
      </w:pPr>
    </w:p>
    <w:p>
      <w:pPr>
        <w:ind w:left="780" w:right="2720" w:hanging="385"/>
        <w:spacing w:after="0" w:line="255"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will meet all the conditions associated with borrowings or issuing letters of credit under the ABL Credit Agreement;</w:t>
      </w:r>
    </w:p>
    <w:p>
      <w:pPr>
        <w:spacing w:after="0" w:line="1" w:lineRule="exact"/>
        <w:rPr>
          <w:rFonts w:ascii="Arial" w:cs="Arial" w:eastAsia="Arial" w:hAnsi="Arial"/>
          <w:sz w:val="17"/>
          <w:szCs w:val="17"/>
          <w:color w:val="auto"/>
        </w:rPr>
      </w:pPr>
    </w:p>
    <w:p>
      <w:pPr>
        <w:ind w:left="780" w:right="2840" w:hanging="385"/>
        <w:spacing w:after="0" w:line="255"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 will realize cost savings, earnings growth and operating improvements resulting from the execution of our business and restructuring plan;</w:t>
      </w:r>
    </w:p>
    <w:p>
      <w:pPr>
        <w:spacing w:after="0" w:line="1" w:lineRule="exact"/>
        <w:rPr>
          <w:rFonts w:ascii="Arial" w:cs="Arial" w:eastAsia="Arial" w:hAnsi="Arial"/>
          <w:sz w:val="17"/>
          <w:szCs w:val="17"/>
          <w:color w:val="auto"/>
        </w:rPr>
      </w:pPr>
    </w:p>
    <w:p>
      <w:pPr>
        <w:ind w:left="780" w:hanging="385"/>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 will not have to expend cash defending lawsuits regardless of the merits of any claims raised; or</w:t>
      </w:r>
    </w:p>
    <w:p>
      <w:pPr>
        <w:spacing w:after="0" w:line="12" w:lineRule="exact"/>
        <w:rPr>
          <w:rFonts w:ascii="Arial" w:cs="Arial" w:eastAsia="Arial" w:hAnsi="Arial"/>
          <w:sz w:val="17"/>
          <w:szCs w:val="17"/>
          <w:color w:val="auto"/>
        </w:rPr>
      </w:pPr>
    </w:p>
    <w:p>
      <w:pPr>
        <w:ind w:left="780" w:hanging="385"/>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Future sources of funding will be available in amounts sufficient to enable funding of our liquidity needs.</w:t>
      </w: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Kodak’s business may not generate cash flow in an amount sufficient to enable us to pay the principal or mandatory redemption price of, or interest and dividends on, the senior secured first lien term loans (the “Term Loans”) borrowed under the Credit Agreement, dated February 26, 2021, by and among the Company, the lenders party thereto (the “Term Loan Lenders”), and Alter Domus (US) LLC, as Administrative Agent (the “Term Loan Credit Agreement”), the 5.0% unsecured convertible notes held by the Term Loan Lenders (the “2021 Convertible Notes”), the 4.0% Series B Convertible Preferred Stock of the Company (the “Series B Preferred Stock”), and the 5.0% Series C Convertible Preferred Stock of the Company (the “Series C Preferred Stock”), or to fund Kodak’s other liquidity needs, including working capital, capital expenditures, product development efforts, restructuring actions, strategic acquisitions, investments and alliances and other general corporate requirements.</w:t>
      </w:r>
    </w:p>
    <w:p>
      <w:pPr>
        <w:spacing w:after="0" w:line="7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If Kodak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our ability to raise additional capital and delay sustained profitability. There are no assurances any of these actions could, if necessary, be taken on commercially reasonable terms, or at all, or they would satisfy Kodak’s liquidity needs.</w:t>
      </w:r>
    </w:p>
    <w:p>
      <w:pPr>
        <w:spacing w:after="0" w:line="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If Kodak is unable to continue successful development, funding, and commercialization of products in businesses upon which we are focused or do so within an acceptable timeframe, Kodak’s financial performance could be adversely affected.</w:t>
      </w:r>
    </w:p>
    <w:p>
      <w:pPr>
        <w:spacing w:after="0" w:line="5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Kodak has focused our investments in print, advanced materials, and chemicals. These investment areas include offset plates and CTP devices, digital printing using commercial inkjet and electrophotography, high resolution functional printing for electronic and optical solutions, specialty chemicals (including pharmaceutical products), coated materials used in electric vehicle/energy storage batteries and smart materials for light control and 3D printing. Each of these businesses requires additional investment and may not be successful. The introduction of successful innovative products at market competitive prices and the achievement of scale are necessary for Kodak to grow these businesses, improve margins and achieve our financial objectives. Additionally, Kodak’s strategy is based on a number of factors and assumptions, some of which are not within our control, such as the actions of third parties. There can be no assurance that we will be able to successfully execute all or any elements of our strategy, or that Kodak’s ability to successfully execute our strategy will be unaffected by external factors. If Kodak is unsuccessful in growing our investment businesses as planned, or perceiving the needs of our target customers, Kodak’s results of operations, financial condition and liquidity could be adversely affected.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9" w:name="page10"/>
    <w:bookmarkEnd w:id="9"/>
    <w:p>
      <w:pPr>
        <w:ind w:right="320"/>
        <w:spacing w:after="0" w:line="286" w:lineRule="auto"/>
        <w:rPr>
          <w:sz w:val="20"/>
          <w:szCs w:val="20"/>
          <w:color w:val="auto"/>
        </w:rPr>
      </w:pPr>
      <w:r>
        <w:rPr>
          <w:rFonts w:ascii="Arial" w:cs="Arial" w:eastAsia="Arial" w:hAnsi="Arial"/>
          <w:sz w:val="17"/>
          <w:szCs w:val="17"/>
          <w:b w:val="1"/>
          <w:bCs w:val="1"/>
          <w:i w:val="1"/>
          <w:iCs w:val="1"/>
          <w:color w:val="auto"/>
        </w:rPr>
        <w:t>If Kodak is unable to successfully or timely implement cost structure reductions, Kodak’s business, financial condition and results of operations could be negatively affected.</w:t>
      </w:r>
    </w:p>
    <w:p>
      <w:pPr>
        <w:spacing w:after="0" w:line="5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Kodak continues to rationalize our workforce and streamline operations to a leaner and more focused organization aligned with our business initiatives. There are no assurances that workforce reductions, restructuring efforts and other cost-saving measures will be successful or the cost savings or other beneficial results will be consistent with expectations. The extent of change across our organizational structure, senior leadership, culture, functional alignment, outsourcing and other areas poses risks in the form of personnel capacity constraints and institutional knowledge loss that could lead to diminished results, compliance issues, and harm to our reputation. If workforce reductions, restructuring efforts and other cost-saving measures are not effectively managed, Kodak may also experience lost sales, harm to our business and customer relationships, adverse effects on employee morale, loss of key employees or other retention issues, product delays and increased costs.</w:t>
      </w:r>
    </w:p>
    <w:p>
      <w:pPr>
        <w:spacing w:after="0" w:line="7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Finally, the timing and implementation of workforce reductions may require compliance with laws and regulations, including local labor laws, and the failure to comply with such requirements may result in damages, fines and penalties. Any of these outcomes could negatively impact Kodak’s business, financial condition, and results of operations.</w:t>
      </w:r>
    </w:p>
    <w:p>
      <w:pPr>
        <w:spacing w:after="0" w:line="67"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b w:val="1"/>
          <w:bCs w:val="1"/>
          <w:i w:val="1"/>
          <w:iCs w:val="1"/>
          <w:color w:val="auto"/>
        </w:rPr>
        <w:t>The loss of one or more of Kodak’s key personnel, or our failure to attract and retain other highly qualified personnel in the future, could harm our business.</w:t>
      </w:r>
    </w:p>
    <w:p>
      <w:pPr>
        <w:spacing w:after="0" w:line="5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order to be successful, Kodak must continue to attract, retain and motivate executives and other key employees across the Company. Hiring and retaining qualified executives, research and engineering professionals, and qualified sales representatives, particularly in Kodak’s targeted growth markets, is critical to our future. The impact of the COVID-19 pandemic has resulted in increased attrition and significant shifts in the labor market and employee expectations. Given that our business is highly technical and specialized, it would be difficult to replace the loss of any of our key employees. Kodak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Kodak’s business and results of operations.</w:t>
      </w:r>
    </w:p>
    <w:p>
      <w:pPr>
        <w:spacing w:after="0" w:line="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Kodak cannot effectively anticipate or rapidly respond to technology trends and develop and market new products to respond to changing customer needs and preferences, our revenue, earnings and cash flow could be adversely affected.</w:t>
      </w:r>
    </w:p>
    <w:p>
      <w:pPr>
        <w:spacing w:after="0" w:line="55"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Kodak generally sells our products in industries which are characterized by rapid technological changes, frequent new product and service introductions and changing industry standards. Kodak’s success depends on our ability to offer differentiated solutions and technologies to capture market share and grow scale. To do so, Kodak must continually develop and introduce new products and services in a timely manner to keep pace with technological developments and achieve customer acceptance. In addition, the services and products we provide to customers may not or may no longer meet the needs of our customers as the business models of our customers evolve. Kodak’s customers may decide to outsource their imaging needs or may purchase imaging services and needs from other suppliers. In addition, it is difficult to predict successfully the products and services our customers will demand. The success of Kodak’s business depends in part on our ability to identify and respond promptly to changes in customer preferences, expectations and needs. If Kodak does not timely assess and respond to changing customer expectations, preferences and needs, our financial condition, results of operations or cash flows could be adversely affected.</w:t>
      </w:r>
    </w:p>
    <w:p>
      <w:pPr>
        <w:spacing w:after="0" w:line="52"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If Kodak is unable to timely anticipate new technology trends, develop improvements to our current technology to address changing customer preferences, and effectively communicate our businesses, products, and the markets we serve, our revenue, earnings and cash flow could be adversely affected.</w:t>
      </w:r>
    </w:p>
    <w:p>
      <w:pPr>
        <w:spacing w:after="0" w:line="3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success of Kodak’s technology development efforts may be affected by the development efforts of our competitors, which may have more financial and other resources to better ascertain technology trends, changing customer preferences, and changing business expectations or models. Kodak’s assessment and response may as a result be incomplete or inferior when compared to our competitors, which could adversely affect our product roadmaps and associated revenue streams.</w:t>
      </w:r>
    </w:p>
    <w:p>
      <w:pPr>
        <w:spacing w:after="0" w:line="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Kodak has reduced the scope of our corporate-focused research and development activities. If our investment in research and product development is inadequate, our response to changing customer needs and changing market dynamics may be too slow and this may adversely affect revenue streams from new products and services.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Kodak’s investment in new products and services that may not achieve expected returns.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our revenue. Kodak may not achieve significant revenue from new product, service, and distribution channel investments for several years, if at all.</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6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If Kodak does not manage product reliability, yield and quality, our product launch plans may be delayed, our financial results may be adversely impacted, and our reputation may be harmed.</w:t>
      </w:r>
    </w:p>
    <w:p>
      <w:pPr>
        <w:spacing w:after="0" w:line="55" w:lineRule="exact"/>
        <w:rPr>
          <w:sz w:val="20"/>
          <w:szCs w:val="20"/>
          <w:color w:val="auto"/>
        </w:rPr>
      </w:pPr>
    </w:p>
    <w:p>
      <w:pPr>
        <w:ind w:right="380"/>
        <w:spacing w:after="0" w:line="357" w:lineRule="auto"/>
        <w:rPr>
          <w:sz w:val="20"/>
          <w:szCs w:val="20"/>
          <w:color w:val="auto"/>
        </w:rPr>
      </w:pPr>
      <w:r>
        <w:rPr>
          <w:rFonts w:ascii="Arial" w:cs="Arial" w:eastAsia="Arial" w:hAnsi="Arial"/>
          <w:sz w:val="15"/>
          <w:szCs w:val="15"/>
          <w:color w:val="auto"/>
        </w:rPr>
        <w:t>In developing, commercializing and manufacturing our products and services, Kodak must adequately address reliability and prevent yield and other quality issues, including defects in our engineering, design and manufacturing processes, as well as defects in third-party components included in our products.</w:t>
      </w:r>
    </w:p>
    <w:p>
      <w:pPr>
        <w:spacing w:after="0" w:line="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Because Kodak’s products are sophisticated and complicated to develop and commercialize with rapid advances in technologies, the occurrence of defects may increase, particularly with the introduction of new product lines.</w:t>
      </w:r>
    </w:p>
    <w:p>
      <w:pPr>
        <w:spacing w:after="0" w:line="55"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Unanticipated issues with product performance may delay product launch plans which could result in additional expenses, lost revenue and earnings. Although Kodak has established internal procedures to minimize risks which may arise from product quality issues, there can be no assurance we will be able to eliminate or mitigate occurrences of these issues and associated liabilities. Product reliability, yield and quality issues can impair our relationships with new or existing customers and adversely affect our brand image; product quality issues can result in recalls, warranty, or other service obligations and litigation; and our reputation as a producer of high quality products could suffer, all of which could adversely affect our business as well as our financial results.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Aging manufacturing facilities and equipment could lead to failures of equipment and systems.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Kodak’s manufacturing facilities are aged, and without significant updates to equipment and systems, will be more prone to failure. Capital improvements to manufacturing facilities are planned but there is risk to manufacturing operations especially due to the complexity of the processes and technology and the loss of knowledge as employees leave who are familiar with the processes and technology. The longer these updates are delayed the higher the risk due to equipment failures, further obsolescence and additional loss of employees with the specific knowledge base. If Kodak’s equipment and systems experience a critical failure, we could experience an interruption of operations, manufacturing delays, increased costs associated with repairs or redesigns of systems and products, loss of sales and customers and damage to Kodak’s reputation, any of which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our products and services properly, our revenue, gross margins and earnings could be adversely impacted.</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 uses a variety of distribution methods to sell and deliver our products and services, including direct sales, third-party resellers, channel partners and distributors. Successfully managing the interaction of direct and indirect channels across customer segments for our products and services is complex. Since each distribution method has distinct risks and financial implications, Kodak’s failure to achieve the most advantageous delivery model for our products and services could adversely affect our revenue and earnings.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Cyber-attacks or other data security incidents that disrupt Kodak’s operations or result in the breach or other compromise of proprietary of confidential information about our workforce, our customers, or other third parties could disrupt our business, harm our reputation, cause us to lose customers, and expose us to costly regulatory enforcement and litigation, any of which could lead to material adverse effects on Kodak’s results of operations, business and financial condition.</w:t>
      </w:r>
    </w:p>
    <w:p>
      <w:pPr>
        <w:spacing w:after="0" w:line="71"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effectively manage our global business, Kodak depends on secure and reliable information technology systems with accurate data. These systems and their underlying infrastructure are provided by a combination of Kodak and third parties, and if unavailable or unreliable, could disrupt Kodak’s operations, causing delays or cancellation of customer orders, impeding the manufacturing or delivery of products, delaying the reporting of financial results, or impacting other business processes critical to running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 w:name="page12"/>
    <w:bookmarkEnd w:id="11"/>
    <w:p>
      <w:pPr>
        <w:ind w:right="120"/>
        <w:spacing w:after="0" w:line="263" w:lineRule="auto"/>
        <w:rPr>
          <w:sz w:val="20"/>
          <w:szCs w:val="20"/>
          <w:color w:val="auto"/>
        </w:rPr>
      </w:pPr>
      <w:r>
        <w:rPr>
          <w:rFonts w:ascii="Arial" w:cs="Arial" w:eastAsia="Arial" w:hAnsi="Arial"/>
          <w:sz w:val="17"/>
          <w:szCs w:val="17"/>
          <w:color w:val="auto"/>
        </w:rPr>
        <w:t>Attacks on IT systems continue to grow in frequency, complexity and sophistication, and Kodak is regularly targeted by unauthorized parties using malicious tactics, code and viruses. The techniques used to obtain unauthorized access, disable or degrade service, or sabotage systems change frequently, are increasingly more complex and sophisticated and may be difficult to detect for long periods of time. Therefore, the system controls and security measures Kodak and other third parties use to prevent, detect and respond to data or cyber security incidents may not be sufficient to anticipate and identify these techniques or implement adequate or timely preventive or responsive measures.</w:t>
      </w:r>
    </w:p>
    <w:p>
      <w:pPr>
        <w:spacing w:after="0" w:line="7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Kodak’s IT systems contain critical information about our business, including intellectual property and confidential information of our customers, business partners, and employees. Cyber-attacks, breaches or defects in our systems could result in unauthorized access to and misuse of our information, corruption of data, or disruption of operations, any of which could have a material adverse impact on Kodak’s business and reputation.</w:t>
      </w:r>
    </w:p>
    <w:p>
      <w:pPr>
        <w:spacing w:after="0" w:line="67"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Kodak also provides IT-based products and services to our customers, and operates services used by our customers and hosted by Kodak. A breach of our security or reliability measures, or those of our third-party service providers, could negatively impact our customers’ operations or data privacy, which could expose Kodak to liability and reputational harm.</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Kodak’s inability to effectively complete and manage strategic transactions could adversely impact our business performance, including our financial results.</w:t>
      </w:r>
    </w:p>
    <w:p>
      <w:pPr>
        <w:spacing w:after="0" w:line="152" w:lineRule="exact"/>
        <w:rPr>
          <w:sz w:val="20"/>
          <w:szCs w:val="20"/>
          <w:color w:val="auto"/>
        </w:rPr>
      </w:pPr>
    </w:p>
    <w:p>
      <w:pPr>
        <w:jc w:val="both"/>
        <w:ind w:right="500"/>
        <w:spacing w:after="0" w:line="271" w:lineRule="auto"/>
        <w:rPr>
          <w:sz w:val="20"/>
          <w:szCs w:val="20"/>
          <w:color w:val="auto"/>
        </w:rPr>
      </w:pPr>
      <w:r>
        <w:rPr>
          <w:rFonts w:ascii="Arial" w:cs="Arial" w:eastAsia="Arial" w:hAnsi="Arial"/>
          <w:sz w:val="17"/>
          <w:szCs w:val="17"/>
          <w:color w:val="auto"/>
        </w:rPr>
        <w:t>From time to time, Kodak may be engaged in discussions with third parties regarding possible investments, acquisitions, strategic alliances, joint ventures, divestitures, asset sales, spin-offs and outsourcing transactions and may enter into agreements relating to such transactions in order to further our business objectives.</w:t>
      </w:r>
    </w:p>
    <w:p>
      <w:pPr>
        <w:spacing w:after="0" w:line="67"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In order to successfully pursue strategic transactions, Kodak must identify suitable sellers, buyers and partners and successfully complete transactions, some of which may be large and complex, and manage post-closing issues such as the elimination of any remaining post-sale costs related to divested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businesses. Transaction risk can be more pronounced for larger and more complicated transactions or when multiple transactions are pursued simultaneously.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Strategic transactions may involve the following risks and challenges that could negatively impact our results of operations:</w:t>
      </w:r>
    </w:p>
    <w:p>
      <w:pPr>
        <w:spacing w:after="0" w:line="105" w:lineRule="exact"/>
        <w:rPr>
          <w:sz w:val="20"/>
          <w:szCs w:val="20"/>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need to obtain required regulatory and other approvals;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need to integrate acquired or combined operations with our business;</w:t>
      </w:r>
    </w:p>
    <w:p>
      <w:pPr>
        <w:spacing w:after="0" w:line="12" w:lineRule="exact"/>
        <w:rPr>
          <w:rFonts w:ascii="Arial" w:cs="Arial" w:eastAsia="Arial" w:hAnsi="Arial"/>
          <w:sz w:val="17"/>
          <w:szCs w:val="17"/>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 loss of key employees;</w:t>
      </w:r>
    </w:p>
    <w:p>
      <w:pPr>
        <w:spacing w:after="0" w:line="12" w:lineRule="exact"/>
        <w:rPr>
          <w:rFonts w:ascii="Arial" w:cs="Arial" w:eastAsia="Arial" w:hAnsi="Arial"/>
          <w:sz w:val="17"/>
          <w:szCs w:val="17"/>
          <w:color w:val="auto"/>
        </w:rPr>
      </w:pPr>
    </w:p>
    <w:p>
      <w:pPr>
        <w:ind w:left="840" w:right="2580" w:hanging="419"/>
        <w:spacing w:after="0" w:line="255"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difficulty in evaluating operating costs, infrastructure requirements, environmental and other liabilities and other factors beyond our control;</w:t>
      </w:r>
    </w:p>
    <w:p>
      <w:pPr>
        <w:spacing w:after="0" w:line="1" w:lineRule="exact"/>
        <w:rPr>
          <w:rFonts w:ascii="Arial" w:cs="Arial" w:eastAsia="Arial" w:hAnsi="Arial"/>
          <w:sz w:val="17"/>
          <w:szCs w:val="17"/>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wrong, inaccurate or changing business assumptions on which such acquisitions or combinations are predicated;</w:t>
      </w:r>
    </w:p>
    <w:p>
      <w:pPr>
        <w:spacing w:after="0" w:line="26" w:lineRule="exact"/>
        <w:rPr>
          <w:rFonts w:ascii="Arial" w:cs="Arial" w:eastAsia="Arial" w:hAnsi="Arial"/>
          <w:sz w:val="17"/>
          <w:szCs w:val="17"/>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 lack of operating experience in new business or geographic areas;</w:t>
      </w:r>
    </w:p>
    <w:p>
      <w:pPr>
        <w:spacing w:after="0" w:line="130" w:lineRule="exact"/>
        <w:rPr>
          <w:rFonts w:ascii="Arial" w:cs="Arial" w:eastAsia="Arial" w:hAnsi="Arial"/>
          <w:sz w:val="17"/>
          <w:szCs w:val="17"/>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in our expenses and working capital requirements;</w:t>
      </w:r>
    </w:p>
    <w:p>
      <w:pPr>
        <w:spacing w:after="0" w:line="25" w:lineRule="exact"/>
        <w:rPr>
          <w:rFonts w:ascii="Arial" w:cs="Arial" w:eastAsia="Arial" w:hAnsi="Arial"/>
          <w:sz w:val="17"/>
          <w:szCs w:val="17"/>
          <w:color w:val="auto"/>
        </w:rPr>
      </w:pPr>
    </w:p>
    <w:p>
      <w:pPr>
        <w:ind w:left="840" w:right="3360" w:hanging="419"/>
        <w:spacing w:after="0" w:line="255"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competition for strategic transactions, which may increase transaction costs and the ability to identify opportunities;</w:t>
      </w:r>
    </w:p>
    <w:p>
      <w:pPr>
        <w:spacing w:after="0" w:line="1" w:lineRule="exact"/>
        <w:rPr>
          <w:rFonts w:ascii="Arial" w:cs="Arial" w:eastAsia="Arial" w:hAnsi="Arial"/>
          <w:sz w:val="17"/>
          <w:szCs w:val="17"/>
          <w:color w:val="auto"/>
        </w:rPr>
      </w:pPr>
    </w:p>
    <w:p>
      <w:pPr>
        <w:ind w:left="840" w:hanging="419"/>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management’s attention may be temporarily diverted; and</w:t>
      </w:r>
    </w:p>
    <w:p>
      <w:pPr>
        <w:spacing w:after="0" w:line="12" w:lineRule="exact"/>
        <w:rPr>
          <w:rFonts w:ascii="Arial" w:cs="Arial" w:eastAsia="Arial" w:hAnsi="Arial"/>
          <w:sz w:val="17"/>
          <w:szCs w:val="17"/>
          <w:color w:val="auto"/>
        </w:rPr>
      </w:pPr>
    </w:p>
    <w:p>
      <w:pPr>
        <w:ind w:left="840" w:right="2600" w:hanging="419"/>
        <w:spacing w:after="0" w:line="271"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possibility we may be required to issue a substantial amount of additional equity or debt securities or assume additional debt in connection with any such transactions.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There are no assurances Kodak will be able to consummate any strategic transactions which we undertake or, if consummated, Kodak will achieve the anticipated levels of cash flows or realize synergies or other anticipated benefits from a strategic transaction. If Kodak fails to identify and successfully complete transactions that further our strategic objectives, we may be required to expend resources to develop products and technology internally, we may be at a competitive disadvantage or we may be adversely affected by negative market perceptions. Any of these factors could have an adverse effect on Kodak’s revenue, gross margins and profitability.</w:t>
      </w:r>
    </w:p>
    <w:p>
      <w:pPr>
        <w:spacing w:after="0" w:line="75"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b w:val="1"/>
          <w:bCs w:val="1"/>
          <w:i w:val="1"/>
          <w:iCs w:val="1"/>
          <w:color w:val="auto"/>
        </w:rPr>
        <w:t>Failure to successfully manage the development and improvement of IT systems could diminish or delay any anticipated efficiencies and operational improvements, and our operations and business could be disrupted.</w:t>
      </w:r>
    </w:p>
    <w:p>
      <w:pPr>
        <w:spacing w:after="0" w:line="55"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Kodak is focused on improvements to IT systems to more effectively manage our global business and implement our strategic plans. If Kodak is unable to successfully manage the development, improvement and transition of IT systems, anticipated efficiencies and operational improvements may be delayed or diminished, and we may experience cost overruns, disruption in our operations, or other business or reputational harm, any of which could have a material adverse effect on Kodak’s results of operations, business and financial condition.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 w:name="page13"/>
    <w:bookmarkEnd w:id="12"/>
    <w:p>
      <w:pPr>
        <w:ind w:right="160"/>
        <w:spacing w:after="0" w:line="286" w:lineRule="auto"/>
        <w:rPr>
          <w:sz w:val="20"/>
          <w:szCs w:val="20"/>
          <w:color w:val="auto"/>
        </w:rPr>
      </w:pPr>
      <w:r>
        <w:rPr>
          <w:rFonts w:ascii="Arial" w:cs="Arial" w:eastAsia="Arial" w:hAnsi="Arial"/>
          <w:sz w:val="17"/>
          <w:szCs w:val="17"/>
          <w:b w:val="1"/>
          <w:bCs w:val="1"/>
          <w:i w:val="1"/>
          <w:iCs w:val="1"/>
          <w:color w:val="auto"/>
        </w:rPr>
        <w:t>If Kodak cannot protect the intellectual property rights on which our business depends, or if third parties assert we violate their intellectual property rights, our revenue, earnings, expenses and liquidity may be adversely impacted.</w:t>
      </w:r>
    </w:p>
    <w:p>
      <w:pPr>
        <w:spacing w:after="0" w:line="5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 key differentiator for Kodak in many of our businesses is our technological advantage over competitors’ products and solutions. Our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w:t>
      </w:r>
    </w:p>
    <w:p>
      <w:pPr>
        <w:spacing w:after="0" w:line="7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Any of Kodak’s direct or indirect intellectual property rights could be challenged, invalidated, circumvented, infringed, diluted, disclosed or misappropriated, or such intellectual property rights may not be sufficient to permit us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w:t>
      </w:r>
    </w:p>
    <w:p>
      <w:pPr>
        <w:spacing w:after="0" w:line="7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Therefore, in certain jurisdictions, Kodak may be unable to protect our proprietary technology adequately against unauthorized third party copying, infringement or use, which could adversely affect our competitive position. Also, some of Kodak’s business and some of our products rely on key technologies developed or licensed by third parties and, because of the rapid pace of technological change in the information technology industry, we may not be able to obtain or continue to obtain licenses and technologies from relevant third parties on reasonable terms, or at all.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Kodak also licenses third parties to use our trademarks.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In an effort to preserve our trademark rights, Kodak enters into license agreements with these third parties which govern the use of our trademarks and requires our licensees to abide by quality control standards with respect to the goods and services they provide under the trademarks. Although Kodak makes efforts to police the use of our trademarks by our licensees, there can be no assurance these efforts will be sufficient to ensure the licensees abide by the terms of their licenses. In the event Kodak’s licensees fail to do so, our trademark rights could be diluted and our reputation harmed by our licensees’ activities. Also, failure by Kodak and our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our trademark rights.</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Kodak has made substantial investments in new, proprietary technologies and has filed patent applications and obtained patents to protect our intellectual property rights in these technologies as well as the interests of our licensees. There can be no assurance Kodak’s patent applications will be approved, any patents issued will be of sufficient scope or strength to provide us with meaningful protection, or such patents will not be challenged by third parties. Furthermore, Kodak may fail to accurately predict all of the countries where patent protection will ultimately be desirable, and if we fail to timely file a patent application in any such country, we may be precluded from doing so at a later date. The patents issuing may vary in scope of coverage depending on the country in which such patents issue.</w:t>
      </w:r>
    </w:p>
    <w:p>
      <w:pPr>
        <w:spacing w:after="0" w:line="74" w:lineRule="exact"/>
        <w:rPr>
          <w:sz w:val="20"/>
          <w:szCs w:val="20"/>
          <w:color w:val="auto"/>
        </w:rPr>
      </w:pPr>
    </w:p>
    <w:p>
      <w:pPr>
        <w:jc w:val="both"/>
        <w:ind w:right="300"/>
        <w:spacing w:after="0" w:line="295" w:lineRule="auto"/>
        <w:rPr>
          <w:sz w:val="20"/>
          <w:szCs w:val="20"/>
          <w:color w:val="auto"/>
        </w:rPr>
      </w:pPr>
      <w:r>
        <w:rPr>
          <w:rFonts w:ascii="Arial" w:cs="Arial" w:eastAsia="Arial" w:hAnsi="Arial"/>
          <w:sz w:val="16"/>
          <w:szCs w:val="16"/>
          <w:color w:val="auto"/>
        </w:rPr>
        <w:t>In addition, the intellectual property rights of others could inhibit Kodak’s ability to conduct our business. Other companies may hold patents on technologies used in Kodak’s industries and some of these companies may be aggressively seeking to expand, enforce or license their patent portfolios. Third parties may claim Kodak and our customers, licensees or other parties indemnified by us are infringing upon their intellectual property rights.</w:t>
      </w:r>
    </w:p>
    <w:p>
      <w:pPr>
        <w:spacing w:after="0" w:line="5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Such claims may be made by competitors seeking to block or limit Kodak’s access to certain markets. Additionally, certain individuals and groups have purchased intellectual property assets for the sole purpose of making claims of infringement and attempting to extract settlements from large companies like Kodak. Even if we believe the claims are without merit, these claims may have the following negative impacts on our business:</w:t>
      </w:r>
    </w:p>
    <w:p>
      <w:pPr>
        <w:spacing w:after="0" w:line="51" w:lineRule="exact"/>
        <w:rPr>
          <w:sz w:val="20"/>
          <w:szCs w:val="20"/>
          <w:color w:val="auto"/>
        </w:rPr>
      </w:pPr>
    </w:p>
    <w:p>
      <w:pPr>
        <w:ind w:left="1800" w:hanging="435"/>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claims can be time consuming and costly to defend and may distract management’s attention and resources;</w:t>
      </w:r>
    </w:p>
    <w:p>
      <w:pPr>
        <w:spacing w:after="0" w:line="25" w:lineRule="exact"/>
        <w:rPr>
          <w:rFonts w:ascii="Arial" w:cs="Arial" w:eastAsia="Arial" w:hAnsi="Arial"/>
          <w:sz w:val="17"/>
          <w:szCs w:val="17"/>
          <w:color w:val="auto"/>
        </w:rPr>
      </w:pPr>
    </w:p>
    <w:p>
      <w:pPr>
        <w:ind w:left="1800" w:right="1140" w:hanging="435"/>
        <w:spacing w:after="0" w:line="255"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claims of intellectual property infringement may require us to redesign affected products, enter into costly settlement or license agreements or pay costly damage awards, or face a temporary or permanent injunction prohibiting us from marketing or selling certain of our products;</w:t>
      </w:r>
    </w:p>
    <w:p>
      <w:pPr>
        <w:spacing w:after="0" w:line="2" w:lineRule="exact"/>
        <w:rPr>
          <w:rFonts w:ascii="Arial" w:cs="Arial" w:eastAsia="Arial" w:hAnsi="Arial"/>
          <w:sz w:val="17"/>
          <w:szCs w:val="17"/>
          <w:color w:val="auto"/>
        </w:rPr>
      </w:pPr>
    </w:p>
    <w:p>
      <w:pPr>
        <w:ind w:left="1800" w:right="980" w:hanging="435"/>
        <w:spacing w:after="0" w:line="255"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even if we have an agreement with a third party to indemnify us against such costs, the indemnifying party may be unable to uphold such party’s contractual obligations; and</w:t>
      </w:r>
    </w:p>
    <w:p>
      <w:pPr>
        <w:spacing w:after="0" w:line="1" w:lineRule="exact"/>
        <w:rPr>
          <w:rFonts w:ascii="Arial" w:cs="Arial" w:eastAsia="Arial" w:hAnsi="Arial"/>
          <w:sz w:val="17"/>
          <w:szCs w:val="17"/>
          <w:color w:val="auto"/>
        </w:rPr>
      </w:pPr>
    </w:p>
    <w:p>
      <w:pPr>
        <w:ind w:left="1800" w:right="1280" w:hanging="435"/>
        <w:spacing w:after="0" w:line="303" w:lineRule="auto"/>
        <w:tabs>
          <w:tab w:leader="none" w:pos="1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cannot or do not license the infringed technology at all, license the technology on reasonable terms or substitute similar technology from another source, Kodak’s revenue and earnings could be adversely impacted.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3" w:name="page14"/>
    <w:bookmarkEnd w:id="13"/>
    <w:p>
      <w:pPr>
        <w:ind w:right="20"/>
        <w:spacing w:after="0" w:line="281" w:lineRule="auto"/>
        <w:rPr>
          <w:sz w:val="20"/>
          <w:szCs w:val="20"/>
          <w:color w:val="auto"/>
        </w:rPr>
      </w:pPr>
      <w:r>
        <w:rPr>
          <w:rFonts w:ascii="Arial" w:cs="Arial" w:eastAsia="Arial" w:hAnsi="Arial"/>
          <w:sz w:val="16"/>
          <w:szCs w:val="16"/>
          <w:color w:val="auto"/>
        </w:rPr>
        <w:t>Finally, Kodak uses open source software in connection with some of our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our business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Impacts of the war in Ukraine are likely to have an adverse impact on the global economy, our business, financial condition and results of operations.</w:t>
      </w: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war in Ukraine, actions taken by Russia, Ukraine and the international community responses, have caused, and will likely continue to cause, decreased availability of components and raw materials, increases in shipping, energy and raw material costs and increased transit times. While we do not believe that we or our suppliers obtain components or materials directly from Russian sources, Russia is a significant source of aluminum and electronic components to various suppliers that may impact our ability to secure these materials from our direct suppliers. Energy costs are a significant component of the cost of producing aluminum, and our aluminum suppliers are based in Europe and may be affected by fluctuations in energy costs resulting from the war in Ukraine. Any escalation of the war in Ukraine, continued transit delays, decreased availability of components and raw materials, increases in shipping, energy and raw material costs associated with the war in Ukraine and compliance with associated economic sanctions could materially affect our business, financial condition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Weakness or worsening of global economic conditions could adversely affect Kodak’s financial performance and liquidity.</w:t>
      </w:r>
    </w:p>
    <w:p>
      <w:pPr>
        <w:spacing w:after="0" w:line="117"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extreme volatility, including as a result of the COVID-19 pandemic and other global events. Economic conditions could accelerate any decline in demand for products, which could also place pressure on our results of operations and liquidity.</w:t>
      </w:r>
    </w:p>
    <w:p>
      <w:pPr>
        <w:spacing w:after="0" w:line="6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 addition, accounts receivable and past due accounts could increase due to a decline in our customers’ ability to pay as a result of an economic downturn, including as a result of the COVID-19 pandemic and other global events, and our liquidity, including our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our ability to meet our anticipated cash needs, impair our liquidity or increase our costs of borrowing.</w:t>
      </w:r>
    </w:p>
    <w:p>
      <w:pPr>
        <w:spacing w:after="0" w:line="7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Following an implementation period after the UK left the EU on 31 January 2020, and as of 1 January 2021 the UK is no longer a member of the EU single market and customs union. The uncertainty concerning </w:t>
      </w:r>
      <w:r>
        <w:rPr>
          <w:rFonts w:ascii="Arial" w:cs="Arial" w:eastAsia="Arial" w:hAnsi="Arial"/>
          <w:sz w:val="16"/>
          <w:szCs w:val="16"/>
          <w:color w:val="333333"/>
        </w:rPr>
        <w:t>Brexit</w:t>
      </w:r>
      <w:r>
        <w:rPr>
          <w:rFonts w:ascii="Arial" w:cs="Arial" w:eastAsia="Arial" w:hAnsi="Arial"/>
          <w:sz w:val="16"/>
          <w:szCs w:val="16"/>
          <w:color w:val="auto"/>
        </w:rPr>
        <w:t xml:space="preserve"> has also caused global stock market volatility and currency exchange rate fluctuations. There may also be broader uncertainty over the position the United States will take with respect to certain treaty and trade relationships with other countries.</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This uncertainty may impact (i) the ability or willingness of non-U.S. companies to transact business in the United States, including with the Company, (ii) regulation and trade agreements affecting U.S. companies, (iii) global stock markets and (iv) general global economic conditions. All of these factors are outside Kodak’s control but may cause us to adjust our strategy in order to compete effectively in global markets and could adversely affect our business, financial condition, results of operations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reputation of Kodak or its brand erodes significantly, it could have a material impact on our financial results.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Kodak’s products and brand have worldwide recognition. Kodak’s reputation, and the reputation of our brand, form the foundation of our relationships with key stakeholders and other constituencies, including customers, suppliers, distributors, channel partners, consumers and investors. Any harm to the reputation of Kodak or our brand could have a material adverse impact on our results of operations, business and financial condition. The value of Kodak’s brand is reflected, in part, in our Brand segment, which licenses the Kodak brand for use by third parties in wide range of products. Consumers and the public may view the products and activities of brand licensees as the products and activities of Kodak. The measures Kodak undertakes to research and manage licensee relationships and assess the quality of their products may not be sufficient to protect against legal proceedings and reputational harm in the event that licensed products and services do not meet consumer expectations for quality and safety. Other factors that could dilute or damage the reputation of Kodak and our brand include the failure of products and services to meet customer expectations, litigation and government investigations, negative or inaccurate comments in the media, including social media, and failure to meet and manage customer and industry expectations regarding the impact of our business on matters of social responsibility and environmental sustainability.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i w:val="1"/>
          <w:iCs w:val="1"/>
          <w:color w:val="auto"/>
        </w:rPr>
        <w:t>Increased competition, including price competition, could have a material adverse impact on Kodak’s revenue, gross margins, cash flow and market share.</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markets in which Kodak does business are highly competitive with large, entrenched, and well financed industry participants, many of which are larger than Kodak. In addition, we encounter aggressive price competition for many of our products and services from numerous companies globally. Any of our competitors may:</w:t>
      </w:r>
    </w:p>
    <w:p>
      <w:pPr>
        <w:spacing w:after="0" w:line="197"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foresee the course of market developments more accurately than Kodak does;</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sell superior products and provide superior services or offer a broader variety of products and services;</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have the ability to produce or supply similar products and services at a lower cost;</w:t>
      </w:r>
    </w:p>
    <w:p>
      <w:pPr>
        <w:spacing w:after="0" w:line="12" w:lineRule="exact"/>
        <w:rPr>
          <w:rFonts w:ascii="Arial" w:cs="Arial" w:eastAsia="Arial" w:hAnsi="Arial"/>
          <w:sz w:val="17"/>
          <w:szCs w:val="17"/>
          <w:color w:val="auto"/>
        </w:rPr>
      </w:pPr>
    </w:p>
    <w:p>
      <w:pPr>
        <w:ind w:left="760" w:right="3340" w:hanging="378"/>
        <w:spacing w:after="0" w:line="255"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have better access to materials and supplies and the ability to acquire materials and supplies at a lower cost;</w:t>
      </w:r>
    </w:p>
    <w:p>
      <w:pPr>
        <w:spacing w:after="0" w:line="1"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 stronger relationships with our suppliers or customers;</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adapt more quickly to new technologies or evolving customer requirements than we do; or</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have access to capital markets or other financing sources on more favorable terms than we can obtain.</w:t>
      </w:r>
    </w:p>
    <w:p>
      <w:pPr>
        <w:spacing w:after="0" w:line="10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As a result, Kodak may not be able to compete successfully with our competitors. Finally, we may not be able to maintain our operating costs or prices at levels which would allow us to compete effectively. Kodak’s results of operations and financial condition may be adversely affected by these and other industry-wide pricing pressures. If our products, services and pricing are not sufficiently competitive with current and future competitors, we could also lose market share, adversely affecting our revenue, gross margins and cash flow.</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Kodak’s future revenue and financial condition.</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Worldwide operations could be subject to earthquakes, power shortages or outages, telecommunications failures, cyber-attacks, terrorism and other physical security threats, water shortages, tsunamis, floods, hurricanes, typhoons, fires, extreme weather conditions, failure of critical infrastructure, medical epidemics, including the COVID-19 pandemic, political or economic instability, including war and protests, and other natural or manmade disasters or business interruptions, for which Kodak is predominantly self-insured. The occurrence of any of these business disruptions could cause disruptions to Kodak’s operations or the operations of our suppliers, distributors and resellers, or customers and have material adverse effect on Kodak’s results of operations and financial condition.</w:t>
      </w:r>
    </w:p>
    <w:p>
      <w:pPr>
        <w:spacing w:after="0" w:line="74" w:lineRule="exact"/>
        <w:rPr>
          <w:sz w:val="20"/>
          <w:szCs w:val="20"/>
          <w:color w:val="auto"/>
        </w:rPr>
      </w:pPr>
    </w:p>
    <w:p>
      <w:pPr>
        <w:ind w:right="320"/>
        <w:spacing w:after="0" w:line="357" w:lineRule="auto"/>
        <w:rPr>
          <w:sz w:val="20"/>
          <w:szCs w:val="20"/>
          <w:color w:val="auto"/>
        </w:rPr>
      </w:pPr>
      <w:r>
        <w:rPr>
          <w:rFonts w:ascii="Arial" w:cs="Arial" w:eastAsia="Arial" w:hAnsi="Arial"/>
          <w:sz w:val="15"/>
          <w:szCs w:val="15"/>
          <w:color w:val="auto"/>
        </w:rPr>
        <w:t>Certain of Kodak’s critical business functions, including our manufacturing and field service operations, cannot be performed remotely, and an inability of Kodak’s employees to physically work at our or our customers’ locations due to disruptions in service could harm Kodak’s operations, perhaps significantly.</w:t>
      </w:r>
    </w:p>
    <w:p>
      <w:pPr>
        <w:spacing w:after="0" w:line="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Kodak relies on third-party suppliers and service providers to support our manufacturing, logistics, and business operations and faces the risks associated with reliance on external business partners.</w:t>
      </w:r>
    </w:p>
    <w:p>
      <w:pPr>
        <w:spacing w:after="0" w:line="5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Kodak relies on third-party suppliers for goods and services to support our manufacturing, logistics, and business operations. To the extent we rely on third-parties, we face the risks that those third parties may not be able to:</w:t>
      </w:r>
    </w:p>
    <w:p>
      <w:pPr>
        <w:spacing w:after="0" w:line="55" w:lineRule="exact"/>
        <w:rPr>
          <w:sz w:val="20"/>
          <w:szCs w:val="20"/>
          <w:color w:val="auto"/>
        </w:rPr>
      </w:pPr>
    </w:p>
    <w:p>
      <w:pPr>
        <w:ind w:left="580" w:hanging="28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supplies and materials necessary to deliver goods or services to Kodak</w:t>
      </w:r>
    </w:p>
    <w:p>
      <w:pPr>
        <w:spacing w:after="0" w:line="25" w:lineRule="exact"/>
        <w:rPr>
          <w:rFonts w:ascii="Arial" w:cs="Arial" w:eastAsia="Arial" w:hAnsi="Arial"/>
          <w:sz w:val="17"/>
          <w:szCs w:val="17"/>
          <w:color w:val="auto"/>
        </w:rPr>
      </w:pPr>
    </w:p>
    <w:p>
      <w:pPr>
        <w:ind w:left="580" w:hanging="28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Mitigate the impact of labor shortages and/or other disruptions;</w:t>
      </w:r>
    </w:p>
    <w:p>
      <w:pPr>
        <w:spacing w:after="0" w:line="12" w:lineRule="exact"/>
        <w:rPr>
          <w:rFonts w:ascii="Arial" w:cs="Arial" w:eastAsia="Arial" w:hAnsi="Arial"/>
          <w:sz w:val="17"/>
          <w:szCs w:val="17"/>
          <w:color w:val="auto"/>
        </w:rPr>
      </w:pPr>
    </w:p>
    <w:p>
      <w:pPr>
        <w:ind w:left="580" w:hanging="28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 manufacturing methods appropriate to Kodak’s products;</w:t>
      </w:r>
    </w:p>
    <w:p>
      <w:pPr>
        <w:spacing w:after="0" w:line="12" w:lineRule="exact"/>
        <w:rPr>
          <w:rFonts w:ascii="Arial" w:cs="Arial" w:eastAsia="Arial" w:hAnsi="Arial"/>
          <w:sz w:val="17"/>
          <w:szCs w:val="17"/>
          <w:color w:val="auto"/>
        </w:rPr>
      </w:pPr>
    </w:p>
    <w:p>
      <w:pPr>
        <w:ind w:left="580" w:hanging="28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an adequate control environment; and</w:t>
      </w:r>
    </w:p>
    <w:p>
      <w:pPr>
        <w:spacing w:after="0" w:line="12" w:lineRule="exact"/>
        <w:rPr>
          <w:rFonts w:ascii="Arial" w:cs="Arial" w:eastAsia="Arial" w:hAnsi="Arial"/>
          <w:sz w:val="17"/>
          <w:szCs w:val="17"/>
          <w:color w:val="auto"/>
        </w:rPr>
      </w:pPr>
    </w:p>
    <w:p>
      <w:pPr>
        <w:ind w:left="580" w:hanging="28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Quickly respond to changes in customer demand for Kodak’s products.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440" w:right="379" w:bottom="1440" w:gutter="0" w:footer="0" w:header="0"/>
        </w:sectPr>
      </w:pPr>
    </w:p>
    <w:bookmarkStart w:id="15" w:name="page16"/>
    <w:bookmarkEnd w:id="15"/>
    <w:p>
      <w:pPr>
        <w:ind w:right="80"/>
        <w:spacing w:after="0" w:line="301" w:lineRule="auto"/>
        <w:rPr>
          <w:sz w:val="20"/>
          <w:szCs w:val="20"/>
          <w:color w:val="auto"/>
        </w:rPr>
      </w:pPr>
      <w:r>
        <w:rPr>
          <w:rFonts w:ascii="Arial" w:cs="Arial" w:eastAsia="Arial" w:hAnsi="Arial"/>
          <w:sz w:val="15"/>
          <w:szCs w:val="15"/>
          <w:color w:val="auto"/>
        </w:rPr>
        <w:t>Suppliers may choose to unilaterally withhold products, components or services. In addition, Kodak may experience shortages in supply and disruptions in service and supply as a result of unexpected demand, transportation and logistical limitations, and/or disruptions or production difficulties at our suppliers, such as disruptions due to fires, medical epidemics, other natural disasters or events outside of a supplier’s control. In addition, disruptions could result from a reduction in the number of our suppliers due to their own financial difficulties or a reduction in the products offered by such suppliers. As a result of the loss of any supplier, or a substantial decrease in the availability of products from our suppliers, Kodak may be unable to meet our customer commitments, our costs could be higher than planned, and our cash flows and the reliability of our products could be negatively impacted. Kodak will vigorously enforce our contractual rights under such circumstances, but there is no guarantee we will be successful in preventing or mitigating the effects of unilateral actions by our suppliers.</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Other supplier problems that Kodak could encounter include electronic component shortages, interruption of IT services, risks related to the duration and termination of our contracts with suppliers for components and materials, non-competitive pricing due to tariffs, and risks related to the ability to obtain products, components or services from single source suppliers on favorable terms or at all. The realization of any of these risks, should alternative third-party relationships not be available or established, could cause interruptions in supply or increases in costs which might result in Kodak’s inability to meet customer demand for our products, damage to our relationships with our customers, and reduced market share, all of which could adversely affect Kodak’s results of operations and financial condition.</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Any significant negative change in the payment terms that Kodak has with our suppliers could adversely affect our liquidity. There is a risk that Kodak’s key suppliers could respond to any actual or apparent decrease in or any concern with our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our supply could be materially disrupted if a significant portion of our key suppliers and vendors took one or more of the actions described above, which could have a material adverse effect on our sales, customer satisfaction, cash flows, liquidity and financial position.</w:t>
      </w:r>
    </w:p>
    <w:p>
      <w:pPr>
        <w:spacing w:after="0" w:line="74" w:lineRule="exact"/>
        <w:rPr>
          <w:sz w:val="20"/>
          <w:szCs w:val="20"/>
          <w:color w:val="auto"/>
        </w:rPr>
      </w:pPr>
    </w:p>
    <w:p>
      <w:pPr>
        <w:ind w:right="200"/>
        <w:spacing w:after="0" w:line="388" w:lineRule="auto"/>
        <w:rPr>
          <w:sz w:val="20"/>
          <w:szCs w:val="20"/>
          <w:color w:val="auto"/>
        </w:rPr>
      </w:pPr>
      <w:r>
        <w:rPr>
          <w:rFonts w:ascii="Arial" w:cs="Arial" w:eastAsia="Arial" w:hAnsi="Arial"/>
          <w:sz w:val="14"/>
          <w:szCs w:val="14"/>
          <w:b w:val="1"/>
          <w:bCs w:val="1"/>
          <w:i w:val="1"/>
          <w:iCs w:val="1"/>
          <w:color w:val="auto"/>
        </w:rPr>
        <w:t>Due to the nature of the products we sell and Kodak’s worldwide distribution, Kodak is exposed to fluctuations in foreign currency exchange rates, interest rates and commodity costs which, together with tariffs that may be imposed, may adversely impact our results of operations and financial position.</w:t>
      </w:r>
    </w:p>
    <w:p>
      <w:pPr>
        <w:ind w:right="220"/>
        <w:spacing w:after="0" w:line="286" w:lineRule="auto"/>
        <w:rPr>
          <w:sz w:val="20"/>
          <w:szCs w:val="20"/>
          <w:color w:val="auto"/>
        </w:rPr>
      </w:pPr>
      <w:r>
        <w:rPr>
          <w:rFonts w:ascii="Arial" w:cs="Arial" w:eastAsia="Arial" w:hAnsi="Arial"/>
          <w:sz w:val="17"/>
          <w:szCs w:val="17"/>
          <w:color w:val="auto"/>
        </w:rPr>
        <w:t>As a result of Kodak’s global operating and financing activities, we are exposed to changes in currency exchange rates and interest rates, which may adversely affect our results of operations and financial position.</w:t>
      </w:r>
    </w:p>
    <w:p>
      <w:pPr>
        <w:spacing w:after="0" w:line="5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Exchange rates and interest rates in markets in which we do business tend to be volatile and, at times, our sales and profitability can be negatively impacted across all of our segments depending upon the value of the U.S. dollar and other major currencies such as the euro, the Japanese yen, the British pound and the Chinese yuan. Tariffs or duties may also be imposed on exported products produced by Kodak, making such products less competitive in jurisdictions imposing such tariffs or duties. If the global economic situation remains uncertain or worsens, there could be further volatility in changes in currency exchange rates, interest rates and commodity prices, which could have negative effects on Kodak’s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faces additional costs and risks associated with our worldwide business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Kodak’s business is subject to additional costs and risks associated with doing business internationally, such as:</w:t>
      </w:r>
    </w:p>
    <w:p>
      <w:pPr>
        <w:spacing w:after="0" w:line="117" w:lineRule="exact"/>
        <w:rPr>
          <w:sz w:val="20"/>
          <w:szCs w:val="20"/>
          <w:color w:val="auto"/>
        </w:rPr>
      </w:pPr>
    </w:p>
    <w:p>
      <w:pPr>
        <w:ind w:left="700" w:hanging="344"/>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 of multiple languages;</w:t>
      </w:r>
    </w:p>
    <w:p>
      <w:pPr>
        <w:spacing w:after="0" w:line="25" w:lineRule="exact"/>
        <w:rPr>
          <w:rFonts w:ascii="Arial" w:cs="Arial" w:eastAsia="Arial" w:hAnsi="Arial"/>
          <w:sz w:val="17"/>
          <w:szCs w:val="17"/>
          <w:color w:val="auto"/>
        </w:rPr>
      </w:pPr>
    </w:p>
    <w:p>
      <w:pPr>
        <w:ind w:left="700" w:right="3140" w:hanging="344"/>
        <w:spacing w:after="0" w:line="25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recruitment of sales and technical support personnel with the skills to design, manufacture, sell and supply products;</w:t>
      </w:r>
    </w:p>
    <w:p>
      <w:pPr>
        <w:spacing w:after="0" w:line="1" w:lineRule="exact"/>
        <w:rPr>
          <w:rFonts w:ascii="Arial" w:cs="Arial" w:eastAsia="Arial" w:hAnsi="Arial"/>
          <w:sz w:val="17"/>
          <w:szCs w:val="17"/>
          <w:color w:val="auto"/>
        </w:rPr>
      </w:pPr>
    </w:p>
    <w:p>
      <w:pPr>
        <w:ind w:left="700" w:right="2780" w:hanging="344"/>
        <w:spacing w:after="0" w:line="25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governmental regulation of imports and exports, including obtaining required import or export approval for our products;</w:t>
      </w:r>
    </w:p>
    <w:p>
      <w:pPr>
        <w:spacing w:after="0" w:line="1" w:lineRule="exact"/>
        <w:rPr>
          <w:rFonts w:ascii="Arial" w:cs="Arial" w:eastAsia="Arial" w:hAnsi="Arial"/>
          <w:sz w:val="17"/>
          <w:szCs w:val="17"/>
          <w:color w:val="auto"/>
        </w:rPr>
      </w:pPr>
    </w:p>
    <w:p>
      <w:pPr>
        <w:ind w:left="700" w:hanging="344"/>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complexity of managing international operations;</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exposure to foreign currency exchange rate fluctuations;</w:t>
      </w:r>
    </w:p>
    <w:p>
      <w:pPr>
        <w:spacing w:after="0" w:line="25" w:lineRule="exact"/>
        <w:rPr>
          <w:rFonts w:ascii="Arial" w:cs="Arial" w:eastAsia="Arial" w:hAnsi="Arial"/>
          <w:sz w:val="17"/>
          <w:szCs w:val="17"/>
          <w:color w:val="auto"/>
        </w:rPr>
      </w:pPr>
    </w:p>
    <w:p>
      <w:pPr>
        <w:ind w:left="700" w:right="3100" w:hanging="344"/>
        <w:spacing w:after="0" w:line="25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commercial laws and business practices which may favor local competition and the imposition of tariffs on products or raw materials imported into or exported from the U.S.;</w:t>
      </w:r>
    </w:p>
    <w:p>
      <w:pPr>
        <w:spacing w:after="0" w:line="1" w:lineRule="exact"/>
        <w:rPr>
          <w:rFonts w:ascii="Arial" w:cs="Arial" w:eastAsia="Arial" w:hAnsi="Arial"/>
          <w:sz w:val="17"/>
          <w:szCs w:val="17"/>
          <w:color w:val="auto"/>
        </w:rPr>
      </w:pPr>
    </w:p>
    <w:p>
      <w:pPr>
        <w:ind w:left="700" w:right="2760" w:hanging="344"/>
        <w:spacing w:after="0" w:line="303"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multiple, potentially conflicting, and changing governmental laws, regulations and practices, including differing export, import, tax, anti-corruption, anti-dumping, economic sanction, labor, and employment laws;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6" w:name="page17"/>
    <w:bookmarkEnd w:id="16"/>
    <w:p>
      <w:pPr>
        <w:ind w:left="700" w:hanging="344"/>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collecting accounts receivable;</w:t>
      </w:r>
    </w:p>
    <w:p>
      <w:pPr>
        <w:spacing w:after="0" w:line="25" w:lineRule="exact"/>
        <w:rPr>
          <w:rFonts w:ascii="Arial" w:cs="Arial" w:eastAsia="Arial" w:hAnsi="Arial"/>
          <w:sz w:val="17"/>
          <w:szCs w:val="17"/>
          <w:color w:val="auto"/>
        </w:rPr>
      </w:pPr>
    </w:p>
    <w:p>
      <w:pPr>
        <w:ind w:left="700" w:hanging="344"/>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or restrictions on the repatriation of cash;</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or reductions in protection of intellectual property rights;</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complications in logistics and distribution arrangements; and</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political or economic instability.</w:t>
      </w:r>
    </w:p>
    <w:p>
      <w:pPr>
        <w:spacing w:after="0" w:line="1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a global company, Kodak is subject to regulatory requirements and laws in the jurisdictions in which we operate, and any alleged non-compliance with these requirements or laws could result in an adverse financial or reputational impact.</w:t>
      </w:r>
    </w:p>
    <w:p>
      <w:pPr>
        <w:spacing w:after="0" w:line="5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An inability to provide competitive financing arrangements to Kodak’s customers or extension of credit to customers whose creditworthiness deteriorates could adversely impact our revenue, profitability and financial position.</w:t>
      </w:r>
    </w:p>
    <w:p>
      <w:pPr>
        <w:spacing w:after="0" w:line="5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competitive environment in which Kodak operates may require us to facilitate or provide financing to our customers. Customer financing arrangements may cover all or a portion of the purchase price for our products and services. We may also assist customers in obtaining financing from banks and other</w:t>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Kodak is unable to provide competitive financing solutions to our customers or if we extend credit to customers whose creditworthiness deteriorates, our revenues, profitability and financial position could be adversely impacted.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Kodak’s Indebtedness and Access to Capital Markets</w:t>
      </w:r>
    </w:p>
    <w:p>
      <w:pPr>
        <w:spacing w:after="0" w:line="1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Company’s substantial monetary obligations require a portion of our cash flow be used to fund other obligations rather than be invested in the business and could adversely affect our ability to fund our operations.</w:t>
      </w:r>
    </w:p>
    <w:p>
      <w:pPr>
        <w:spacing w:after="0" w:line="107"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Company has obligations for borrowed money or in connection with letters of credit under the Term Loan Credit Agreement, the Asset Based Revolving Credit Agreement (the “ABL Credit Agreement”), the cash collateralized Letter of Credit Facility Agreement (the “LC Credit Agreement”), and the 2021 Convertible Notes (together, the “Credit Agreements”).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Company’s indebtedness under the Credit Agreements and our other obligations could have important negative consequences to the Company and investors in our securities. These include the following:</w:t>
      </w:r>
    </w:p>
    <w:p>
      <w:pPr>
        <w:spacing w:after="0" w:line="1" w:lineRule="exact"/>
        <w:rPr>
          <w:sz w:val="20"/>
          <w:szCs w:val="20"/>
          <w:color w:val="auto"/>
        </w:rPr>
      </w:pPr>
    </w:p>
    <w:p>
      <w:pPr>
        <w:ind w:left="760" w:right="2340" w:hanging="378"/>
        <w:spacing w:after="0" w:line="271"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 may not be able to satisfy all of our obligations, including, but not limited to, our obligations under the Credit Agreements, which may cause a cross-default or cross-acceleration on other debt Kodak may have incurred;</w:t>
      </w:r>
    </w:p>
    <w:p>
      <w:pPr>
        <w:spacing w:after="0" w:line="1" w:lineRule="exact"/>
        <w:rPr>
          <w:rFonts w:ascii="Arial" w:cs="Arial" w:eastAsia="Arial" w:hAnsi="Arial"/>
          <w:sz w:val="16"/>
          <w:szCs w:val="16"/>
          <w:color w:val="auto"/>
        </w:rPr>
      </w:pPr>
    </w:p>
    <w:p>
      <w:pPr>
        <w:ind w:left="760" w:right="2400" w:hanging="378"/>
        <w:spacing w:after="0" w:line="271"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could have difficulties obtaining necessary financing in the future for working capital, capital expenditures, debt service requirements, refinancing or other purposes;</w:t>
      </w:r>
    </w:p>
    <w:p>
      <w:pPr>
        <w:spacing w:after="0" w:line="197" w:lineRule="exact"/>
        <w:rPr>
          <w:rFonts w:ascii="Arial" w:cs="Arial" w:eastAsia="Arial" w:hAnsi="Arial"/>
          <w:sz w:val="17"/>
          <w:szCs w:val="17"/>
          <w:color w:val="auto"/>
        </w:rPr>
      </w:pPr>
    </w:p>
    <w:p>
      <w:pPr>
        <w:ind w:left="760" w:right="2460" w:hanging="378"/>
        <w:spacing w:after="0" w:line="260"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will have to use a significant part of our cash flow or cash balances to make payments on our debt and Series B Preferred Stock and to satisfy the other obligations set forth above, which may reduce the capital available for operations and expansion; and</w:t>
      </w:r>
    </w:p>
    <w:p>
      <w:pPr>
        <w:spacing w:after="0" w:line="2" w:lineRule="exact"/>
        <w:rPr>
          <w:rFonts w:ascii="Arial" w:cs="Arial" w:eastAsia="Arial" w:hAnsi="Arial"/>
          <w:sz w:val="17"/>
          <w:szCs w:val="17"/>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economic or industry conditions may have more of a negative impact.</w:t>
      </w:r>
    </w:p>
    <w:p>
      <w:pPr>
        <w:spacing w:after="0" w:line="13"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The Company cannot be sure cash generated from our businesses will be as high as we expect, or our expenses will not be higher than we expect. Because a portion of our expenses are fixed in any given year, our operating cash flow margins are highly dependent on revenues, which are largely driven by customer demand. A lower amount of cash generated from our businesses or higher expenses than expected, when coupled with our debt obligations, could adversely affect Kodak’s ability to fund our operations.</w:t>
      </w:r>
    </w:p>
    <w:p>
      <w:pPr>
        <w:spacing w:after="0" w:line="88"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b w:val="1"/>
          <w:bCs w:val="1"/>
          <w:i w:val="1"/>
          <w:iCs w:val="1"/>
          <w:color w:val="auto"/>
        </w:rPr>
        <w:t>The availability of borrowings and letters of credit under the ABL Credit Agreement and LC Credit Agreement is limited by the amount of various types of assets and, under certain circumstances, the administrative agent under the ABL Credit Agreement will have greater control over Kodak’s cash.</w:t>
      </w:r>
    </w:p>
    <w:p>
      <w:pPr>
        <w:spacing w:after="0" w:line="2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Availability under the Company’s ABL Credit Agreement is based on the amount of Eligible Receivables, Eligible Inventory, Eligible Machinery and Equipment less specified reserves as described in Note 8, “Debt and Finance Leases” to the consolidated financial statements. With the exception of 2020 to 2021 with the impact of the COVID-19 pandemic, Kodak’s U.S. Accounts Receivable and Inventory levels have been declining over the last several years, and Machinery and Equipment for purposes of the ABL Credit Agreement amortizes down by $1 million per quarter.</w:t>
      </w:r>
    </w:p>
    <w:p>
      <w:pPr>
        <w:spacing w:after="0" w:line="20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Availability under the Company’s LC Credit Agreement is based on cash collateral in an amount greater than or equal to 103% of the aggregate amount of letters of credit issued and outstanding at any given time (the “LC Cash Collateral”).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7"/>
          <w:szCs w:val="17"/>
          <w:color w:val="auto"/>
        </w:rPr>
        <w:t>If Eligible Receivables, Eligible Inventory and Eligible Machinery and Equipment continue to decline and an asset base cannot be maintained to support the $46 million of letters of credit outstanding under the ABL Credit Agreement and the $11.25 million of Excess Availability required under the ABL Credit Agreement, or if LC Cash Collateral is not maintained to support the 103% of the $44 million of letters of credit outstanding under the LC Credit Agreement, the Company would be required to remain in compliance with the ABL Credit Agreement’s Fixed Charge Coverage Ratio and operate under cash dominion by the administrative agent under the ABL 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Additional LC Cash Collateral would be classified as restricted cash and would not be available to support ongoing working capital and investment needs.</w:t>
      </w:r>
    </w:p>
    <w:p>
      <w:pPr>
        <w:spacing w:after="0" w:line="259"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If the administrative agent under the ABL Credit Agreement executed cash dominion, that would increase operational complexities for the Company. An event of default would occur under these circumstances if the Company is unable to remain in compliance with the ABL Credit Agreement’s Fixed Charge Coverage Ratio and operate under cash dominion by the administrative agent under the ABL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may desire additional capital funding and such capital may not be available to us and/or may be limited.</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Kodak may desire to raise additional capital, including to pursue additional growth opportunities, strategic transactions or additional reorganization initiatives or refinance or redeem outstanding debt or preferred stock. Because of Kodak’s current non-investment grade credit rating and financial condition, and/or general conditions in the financial and credit markets, Kodak’s access to the capital markets may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Kodak’s ability to obtain capital and the costs of such capital are dependent on numerous factors, including:</w:t>
      </w:r>
    </w:p>
    <w:p>
      <w:pPr>
        <w:spacing w:after="0" w:line="25"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Covenants in the Credit Agreements;</w:t>
      </w:r>
    </w:p>
    <w:p>
      <w:pPr>
        <w:spacing w:after="0" w:line="12" w:lineRule="exact"/>
        <w:rPr>
          <w:rFonts w:ascii="Arial" w:cs="Arial" w:eastAsia="Arial" w:hAnsi="Arial"/>
          <w:sz w:val="17"/>
          <w:szCs w:val="17"/>
          <w:color w:val="auto"/>
        </w:rPr>
      </w:pPr>
    </w:p>
    <w:p>
      <w:pPr>
        <w:ind w:left="760" w:right="3360" w:hanging="378"/>
        <w:spacing w:after="0" w:line="271"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Obtaining a consent from the holders of Series B and C Preferred Stock for the issuance of additional preferred shares which rank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Series B and C Preferred Stock;</w:t>
      </w:r>
    </w:p>
    <w:p>
      <w:pPr>
        <w:spacing w:after="0" w:line="1"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Investor confidence in Kodak and the markets in which we operate;</w:t>
      </w:r>
    </w:p>
    <w:p>
      <w:pPr>
        <w:spacing w:after="0" w:line="12" w:lineRule="exact"/>
        <w:rPr>
          <w:rFonts w:ascii="Arial" w:cs="Arial" w:eastAsia="Arial" w:hAnsi="Arial"/>
          <w:sz w:val="17"/>
          <w:szCs w:val="17"/>
          <w:color w:val="auto"/>
        </w:rPr>
      </w:pPr>
    </w:p>
    <w:p>
      <w:pPr>
        <w:ind w:left="760" w:right="3600" w:hanging="378"/>
        <w:spacing w:after="0" w:line="255"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financial performance and projected financial performance and the financial performance and projected financial performance of our subsidiaries;</w:t>
      </w:r>
    </w:p>
    <w:p>
      <w:pPr>
        <w:spacing w:after="0" w:line="1"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levels of debt and redemption obligations;</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generate positive cash flow;</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consummate monetization transactions including asset sales;</w:t>
      </w:r>
    </w:p>
    <w:p>
      <w:pPr>
        <w:spacing w:after="0" w:line="26"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requirements for posting collateral under various commercial agreements;</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current non-investment grade credit rating;</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long-term business prospects; and</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and capital market conditions.</w:t>
      </w:r>
    </w:p>
    <w:p>
      <w:pPr>
        <w:spacing w:after="0" w:line="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 may not be successful in obtaining additional capital for these or other reasons. An inability to access capital may limit our ability to capitalize on growth or efficiency opportunities or refinancings we would otherwise like to pursue.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the Company will be able to comply with the terms of our various credit facilities.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 breach of any of the financial or other covenants contained in the Credit Agreements could result in an event of default under these facilities.</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570" w:right="419" w:bottom="1440" w:gutter="0" w:footer="0" w:header="0"/>
        </w:sectPr>
      </w:pPr>
    </w:p>
    <w:bookmarkStart w:id="18" w:name="page19"/>
    <w:bookmarkEnd w:id="18"/>
    <w:p>
      <w:pPr>
        <w:ind w:right="20"/>
        <w:spacing w:after="0" w:line="276" w:lineRule="auto"/>
        <w:rPr>
          <w:sz w:val="20"/>
          <w:szCs w:val="20"/>
          <w:color w:val="auto"/>
        </w:rPr>
      </w:pPr>
      <w:r>
        <w:rPr>
          <w:rFonts w:ascii="Arial" w:cs="Arial" w:eastAsia="Arial" w:hAnsi="Arial"/>
          <w:sz w:val="16"/>
          <w:szCs w:val="16"/>
          <w:color w:val="auto"/>
        </w:rPr>
        <w:t>If any default or event of default occurs under the LC Credit Agreement or ABL Credit Agreement and the Company is not able to either cure it or obtain a waiver from the requisite lenders under the LC Credit Agreement and ABL Credit Agreement, the administrative agent under the LC Credit Agreement and ABL Credit Agreement may, and at the request of the requisite lenders for that facility must, declare all of the Company’s outstanding obligations under the LC Credit Agreement and ABL Credit Agreement, together with accrued interest and fees, to be immediately due and payable. In addition, the agent under the LC Credit Agreement and ABL Credit Agreement may, and at the request of the requisite lenders must, terminate the lenders’ commitments under that facility and cease making further loans. If any default or event of default occurs under the Term Loan Credit Agreement or 2021 Convertible Notes and the Company is not able to either cure it or obtain a waiver from the holders of the Term Loan Credit Agreement or 2021 Convertible Notes, such holders may declare all of the Company’s outstanding obligations under the Term Loan Credit Agreement and 2021 Convertible Notes, together with accrued interest and fees, to be immediately due and payable. If applicable, the administrative agent under the LC Credit Agreement, ABL Credit Agreement and Term Loan Credit Agreement and the collateral agent for the 2021 Convertible Notes could institute foreclosure proceedings against the pledged assets. Any of these outcomes would likely have an adverse effect on the Company’s operations and our ability to satisfy our obligations as they come due.</w:t>
      </w:r>
    </w:p>
    <w:p>
      <w:pPr>
        <w:spacing w:after="0" w:line="199" w:lineRule="exact"/>
        <w:rPr>
          <w:sz w:val="20"/>
          <w:szCs w:val="20"/>
          <w:color w:val="auto"/>
        </w:rPr>
      </w:pPr>
    </w:p>
    <w:p>
      <w:pPr>
        <w:jc w:val="both"/>
        <w:ind w:right="500"/>
        <w:spacing w:after="0" w:line="357" w:lineRule="auto"/>
        <w:rPr>
          <w:sz w:val="20"/>
          <w:szCs w:val="20"/>
          <w:color w:val="auto"/>
        </w:rPr>
      </w:pPr>
      <w:r>
        <w:rPr>
          <w:rFonts w:ascii="Arial" w:cs="Arial" w:eastAsia="Arial" w:hAnsi="Arial"/>
          <w:sz w:val="15"/>
          <w:szCs w:val="15"/>
          <w:b w:val="1"/>
          <w:bCs w:val="1"/>
          <w:i w:val="1"/>
          <w:iCs w:val="1"/>
          <w:color w:val="auto"/>
        </w:rPr>
        <w:t>The current non-investment grade status and Kodak’s financial condition may adversely impact Kodak’s commercial operations, increase our liquidity requirements and increase the cost of refinancing opportunities. We may not have adequate liquidity to post required amounts of additional collateral.</w:t>
      </w:r>
    </w:p>
    <w:p>
      <w:pPr>
        <w:spacing w:after="0" w:line="13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Company’s corporate family credit rating is currently below investment grade and there are no assurances our credit ratings will improve, or they will not decline, in the future. In addition, the Company may not continue to maintain credit ratings from the recognized rating agencies.</w:t>
      </w:r>
    </w:p>
    <w:p>
      <w:pPr>
        <w:spacing w:after="0" w:line="185"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Our credit ratings and financial condition may affect the evaluation of our creditworthiness by trading counterparties and lenders, which could put us at a disadvantage to competitors with higher or investment grade ratings.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carrying out our commercial business strategy, the current non-investment grade credit ratings have resulted and will likely continue to result in requirements that Kodak either prepay obligations or post significant amounts of collateral to support our business.</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Should our ratings continue at their current levels, or should our ratings be further downgraded, we would expect these negative effects to continue and, in the case of a downgrade, become more pronounced.</w:t>
      </w:r>
    </w:p>
    <w:p>
      <w:pPr>
        <w:spacing w:after="0" w:line="1"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In particular, given the Company’s current credit ratings we would be required, if requested, to provide up to $3 million of additional letters of credit to the issuers of certain surety bonds to fully collateralize such bonds.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Regulatory and Compliance Risks</w:t>
      </w:r>
    </w:p>
    <w:p>
      <w:pPr>
        <w:spacing w:after="0" w:line="123"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b w:val="1"/>
          <w:bCs w:val="1"/>
          <w:i w:val="1"/>
          <w:iCs w:val="1"/>
          <w:color w:val="auto"/>
        </w:rPr>
        <w:t>Legal proceedings and governmental investigations associated with the U.S. International Development Finance Corporation announcement or in general could have a material adverse effect on our business operations and prospects, reputation, financial condition, results of operations and stock price.</w:t>
      </w:r>
    </w:p>
    <w:p>
      <w:pPr>
        <w:spacing w:after="0" w:line="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197"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The DFC Announcement and circumstances surrounding it prompted congressional investigations, an SEC investigation and a New York Attorney General’s investigation. In addition, lawsuits have been filed or threatened alleging various securities law violations and breaches of fiduciary duties based on circumstances surrounding the DFC Announcement. For further information on these investigations and lawsuits, see Note 11, “Commitments and Contingencies” in the Notes to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9" w:name="page20"/>
    <w:bookmarkEnd w:id="19"/>
    <w:p>
      <w:pPr>
        <w:ind w:right="20"/>
        <w:spacing w:after="0" w:line="261" w:lineRule="auto"/>
        <w:rPr>
          <w:sz w:val="20"/>
          <w:szCs w:val="20"/>
          <w:color w:val="auto"/>
        </w:rPr>
      </w:pPr>
      <w:r>
        <w:rPr>
          <w:rFonts w:ascii="Arial" w:cs="Arial" w:eastAsia="Arial" w:hAnsi="Arial"/>
          <w:sz w:val="17"/>
          <w:szCs w:val="17"/>
          <w:color w:val="auto"/>
        </w:rPr>
        <w:t>Legal proceedings in general, and securities and class action litigation and regulatory investigations in particular, can be expensive and disruptive. The investigations and lawsuits associated with the DFC announcement have diverted, and may continue to divert, the attention of Kodak’s employees, management and board of directors. In addition, the response to the DFC related investigations and lawsuits has resulted in, and may continue to result in, increased legal expense and related costs. Kodak’s insurance, to the extent maintained, is not expected to cover all costs associated with the investigations and legal proceedings. We are unable to predict how long the legal proceedings and investigations to which we are currently subject will continue. An unfavorable outcome of any governmental investigation or legal proceeding may have an adverse impact on our reputation, business, financial condition and results of operations, prospects, or stock price.</w:t>
      </w:r>
    </w:p>
    <w:p>
      <w:pPr>
        <w:spacing w:after="0" w:line="205"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b w:val="1"/>
          <w:bCs w:val="1"/>
          <w:i w:val="1"/>
          <w:iCs w:val="1"/>
          <w:color w:val="auto"/>
        </w:rPr>
        <w:t>Failure to comply with anti-corruption laws and regulations, anti-money laundering laws and regulations, economic and trade sanctions, and similar laws could have a materially adverse effect on Kodak’s reputation, results of operations or financial condition, or have other adverse consequences.</w:t>
      </w:r>
    </w:p>
    <w:p>
      <w:pPr>
        <w:spacing w:after="0" w:line="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Kodak has a global operating presence, including in numerous developing economies where companies and government officials are more likely to engage in business practices that are prohibited by domestic and foreign laws and regulations, including the United States Foreign Corrupt Practices Act and the U.K. Bribery Act.</w:t>
      </w:r>
    </w:p>
    <w:p>
      <w:pPr>
        <w:spacing w:after="0" w:line="7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Such laws generally prohibit improper payments or offers of payments to foreign government officials and leaders of political parties, and in some cases, to other persons, for the purpose of obtaining or retaining business. Kodak is also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 In addition, Kodak is subject to anti-money laundering laws and regulations.</w:t>
      </w:r>
    </w:p>
    <w:p>
      <w:pPr>
        <w:spacing w:after="0" w:line="6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Kodak has implemented policies and procedures to monitor and address compliance with applicable anti-corruption, economic and trade sanctions and anti-money laundering laws and regulations, and Kodak periodically reviews, upgrades and enhances certain of our policies and procedures. However, there can be no assurance that our employees, consultants or agents will not take actions in violation of our policies for which we may be ultimately responsible, or that our policies and procedures will be adequate or will be determined to be adequate by regulators. Any violations of applicable anti-corruption, economic and trade sanctions or anti-money laundering laws or regulations could limit certain of Kodak’s business activities until they are satisfactorily remediated and could result in civil and criminal penalties, including fines, which could damage our reputation and have a materially adverse effect on Kodak’s results of operation or financial condition.</w:t>
      </w:r>
    </w:p>
    <w:p>
      <w:pPr>
        <w:spacing w:after="0" w:line="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Failure to comply with privacy, data protection and cyber security laws and regulations could have a materially adverse effect on Kodak’s reputation, results of operations or financial condition.</w:t>
      </w:r>
    </w:p>
    <w:p>
      <w:pPr>
        <w:spacing w:after="0" w:line="55"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Kodak receives, processes, transmits and stores information relating to identifiable individuals (personal information), both in our role as a technology provider and as an employer. As a result, Kodak is subject to numerous U.S. federal and state and foreign laws and regulations relating to personal information.</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These laws have been subject to frequent changes, and new legislation in this area may be enacted at any time. More recent examples of data privacy laws include the EU’s General Data Protection Regulation (“GDPR”), California’s Consumer Privacy Act (“CCPA”) and Privacy Rights Act (“CPRA”), and Brazil’s General Data Protection Law (“LGPD”).</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Recently enacted laws and regulations, as well as any other change to existing laws, the introduction of new laws in this area, or the failure to comply with existing laws that are applicable, may subject Kodak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w:t>
      </w:r>
    </w:p>
    <w:p>
      <w:pPr>
        <w:spacing w:after="0" w:line="20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Recent developments in the regulation of cross-border data transfers from the European Economic Area and countries with similar regimes, including enforcement decisions and regulatory guidance issued by key supervisory authorities, creates uncertainty as to our and our customers’ ability to use platforms and processing services located in the U.S. and other non-adequate jurisdictions. While existing data transfer mechanisms, such as Standard Contractual Clauses, remain valid, Kodak’s use of these transfer mechanisms is subject to legal, regulatory and political pressure. Kodak anticipates spending additional time and expense to enable continued cross-border transfers as needed to operate our business, which may have a material adverse effect on our business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spacing w:after="0" w:line="263" w:lineRule="auto"/>
        <w:rPr>
          <w:sz w:val="20"/>
          <w:szCs w:val="20"/>
          <w:color w:val="auto"/>
        </w:rPr>
      </w:pPr>
      <w:r>
        <w:rPr>
          <w:rFonts w:ascii="Arial" w:cs="Arial" w:eastAsia="Arial" w:hAnsi="Arial"/>
          <w:sz w:val="17"/>
          <w:szCs w:val="17"/>
          <w:color w:val="auto"/>
        </w:rPr>
        <w:t>This environment demands Kodak continuously improve our design and coordination of security controls and contractual arrangements across our businesses and geographies. While Kodak has taken steps to comply with the GDPR, other applicable data protection laws, and the regulations and guidance published by applicable regulators, our efforts to achieve and remain in compliance may not be fully successful. Despite Kodak’s security controls over personal data, Kodak, may not prevent the improper disclosure of personal information. Improper disclosure of this information could harm our reputation or subject us to liability under laws which protect personal data, resulting in increased costs or loss of revenue.</w:t>
      </w:r>
    </w:p>
    <w:p>
      <w:pPr>
        <w:spacing w:after="0" w:line="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Kodak is subject to environmental laws and regulations. Failure to comply with such laws and regulations or liabilities imposed as a result of such laws and regulations could have an adverse effect on our business, results of operations and financial condition.</w:t>
      </w:r>
    </w:p>
    <w:p>
      <w:pPr>
        <w:spacing w:after="0" w:line="55" w:lineRule="exact"/>
        <w:rPr>
          <w:sz w:val="20"/>
          <w:szCs w:val="20"/>
          <w:color w:val="auto"/>
        </w:rPr>
      </w:pPr>
    </w:p>
    <w:p>
      <w:pPr>
        <w:ind w:right="700"/>
        <w:spacing w:after="0" w:line="286" w:lineRule="auto"/>
        <w:rPr>
          <w:sz w:val="20"/>
          <w:szCs w:val="20"/>
          <w:color w:val="auto"/>
        </w:rPr>
      </w:pPr>
      <w:r>
        <w:rPr>
          <w:rFonts w:ascii="Arial" w:cs="Arial" w:eastAsia="Arial" w:hAnsi="Arial"/>
          <w:sz w:val="17"/>
          <w:szCs w:val="17"/>
          <w:color w:val="auto"/>
        </w:rPr>
        <w:t>Kodak is subject to environmental laws and regulations world-wide that govern, for example, the discharge of pollutants, the management of hazardous materials, the cleanup of contaminated sites, and the composition and end-of-life management of our products.</w:t>
      </w:r>
    </w:p>
    <w:p>
      <w:pPr>
        <w:spacing w:after="0" w:line="5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Non-compliance with applicable laws or liability incurred without regard to fault could have a material adverse effect on our business, results of operations and financial condition. The cost of complying with such laws could have a material adverse effect on our business, results of operations and financial condition. Any uncertainties related to environmental conditions or obligations at Kodak’s properties may impact our ability to further develop or sell such properties.</w:t>
      </w:r>
    </w:p>
    <w:p>
      <w:pPr>
        <w:spacing w:after="0" w:line="20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b w:val="1"/>
          <w:bCs w:val="1"/>
          <w:i w:val="1"/>
          <w:iCs w:val="1"/>
          <w:color w:val="auto"/>
        </w:rPr>
        <w:t>If Kodak fails to maintain effective internal controls over financial reporting, we may not be able to accurately report our financial results, which could have a material adverse effect on Kodak’s operations, investor confidence in our business and the trading prices of our securities.</w:t>
      </w:r>
    </w:p>
    <w:p>
      <w:pPr>
        <w:spacing w:after="0" w:line="162"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Kodak is required to maintain disclosure controls and procedures and internal controls over financial reporting that are effective for the purposes described in Item 9A, “Controls and Procedures”. The existence of a material weakness in Kodak’s internal controls may adversely affect our ability to record, process, summarize and report financial information timely and accurately and, as a result, our financial statements may contain material misstatements or omissions, which could result in regulatory scrutiny, cause investors to lose confidence in our reported financial condition and otherwise have a material adverse effect on Kodak’s business, financial condition, cash flow results of operations or the trading price of Kodak’s stock.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may have additional tax liabilities.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Kodak is subject to income taxes in the U.S. and in many foreign jurisdictions. Significant judgment is required in determining Kodak’s worldwide provision for income taxes. In the course of our business, there are transactions and calculations where the ultimate tax determination is uncertain.</w:t>
      </w:r>
    </w:p>
    <w:p>
      <w:pPr>
        <w:spacing w:after="0" w:line="5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w:t>
      </w:r>
    </w:p>
    <w:p>
      <w:pPr>
        <w:spacing w:after="0" w:line="5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67"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Kodak has significant defined benefit pension and other postretirement benefit obligations.</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The funded status of our U.S. and non-U.S. defined benefit pension plans (and other postretirement benefit plans), and the related cost reflected in our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1" w:name="page22"/>
    <w:bookmarkEnd w:id="21"/>
    <w:p>
      <w:pPr>
        <w:ind w:right="80"/>
        <w:spacing w:after="0" w:line="266" w:lineRule="auto"/>
        <w:rPr>
          <w:sz w:val="20"/>
          <w:szCs w:val="20"/>
          <w:color w:val="auto"/>
        </w:rPr>
      </w:pPr>
      <w:r>
        <w:rPr>
          <w:rFonts w:ascii="Arial" w:cs="Arial" w:eastAsia="Arial" w:hAnsi="Arial"/>
          <w:sz w:val="17"/>
          <w:szCs w:val="17"/>
          <w:color w:val="auto"/>
        </w:rPr>
        <w:t>In past years, Kodak has experienced variability in the costs of these defined benefit pension and postretirement benefit obligations as a result of macro-economic factors beyond our control, including variability in investment returns on pension plan assets, and changes in discount rates and mortality rates used to calculate pension and related liabilities. At least some of these macro-economic factors may again put pressure on the cost of providing pension and benefits. There can be no assurance we will succeed in limiting cost increases.</w:t>
      </w:r>
    </w:p>
    <w:p>
      <w:pPr>
        <w:spacing w:after="0" w:line="7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Kodak may be required to recognize impairments in the value of our goodwill and/or other long-lived assets which could adversely affect our results of operations.</w:t>
      </w:r>
    </w:p>
    <w:p>
      <w:pPr>
        <w:spacing w:after="0" w:line="5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Common Stock</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conversion of the Series B Preferred Stock, Series C Preferred Stock and 2021 Convertible Notes into shares of the Company’s common stock may dilute the value for the current holders of the Company’s common stock.</w:t>
      </w:r>
    </w:p>
    <w:p>
      <w:pPr>
        <w:spacing w:after="0" w:line="55"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1,000,000 outstanding shares of the Company’s Series B Preferred Stock are convertible into shares of the Company’s common stock at a conversion rate of 9.5238 shares of common stock per share of Series B Preferred Stock, the 1,043,629 outstanding shares of the Company’s Series C Preferred Stock are convertible into shares of the Company’s common stock at a conversion rate of 10 shares of common stock per share of Series C Preferred Stock, and the 2021 Convertible Notes are convertible into shares of the Company’s common stock at a conversion rate of 100 shares of common stock per $1,000 principal amount of 2021 Convertible Notes. The outstanding shares of Series C Preferred Stock and outstanding principal amount of the 2021 Convertible Notes are expected to increase as a result of the payment of dividends and interest in kind at a rate of 5.0% per annum. As a result of the conversion of any issued and outstanding Series B Preferred Stock, Series C Preferred Stock or 2021 Convertible Notes (collectively, the “Convertible Securities”), the Company’s existing shareholders will own a smaller percentage of our outstanding common stock. Based on the capitalization of the Company as of December 31, 2021, the conversion of all Convertible Securities would result in the issuance to holders thereof of approximately 22% of the outstanding common stock after giving effect to such conversion. Further, additional shares of common stock may be issuable pursuant to certain other features of the Convertible Securities, with such issuances being further dilutive to existing holders of common stock.</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Convertible Securities are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Convertible Securities will be a dilution to dividends and distributions.</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Holders of the Company’s common stock will not realize any dilution in their ownership, dividend or distribution rights solely as a result of the reservation of any shares of common stock for issuance upon conversion of the Convertible Securities or for issuance of additional shares of common stock pursuant to certain other features of the Convertible Securities, but will experience such dilution to the extent additional shares of common stock are issued in the future as described above.</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The holder of the Series C Preferred Stock owns a large portion of the voting power of the Company’s outstanding securities, and the holders of the Series C Preferred Stock and 2021 Convertible Notes each have the right to nominate one member for election to the Company’s Board. As a result, these holders may influence the composition of the Board and future actions taken by the Board.</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holder of the Company’s Series C Preferred Stock is entitled to vote upon all matters upon which holders of the Company’s common stock have the right to vote and is entitled to the number of votes equal to the number of full shares of common stock into which such shares of Series C Preferred Stock could be converted at the then applicable conversion rate.</w:t>
      </w:r>
    </w:p>
    <w:p>
      <w:pPr>
        <w:spacing w:after="0" w:line="6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holder of the Series C Preferred Stock holds approximately 11% of the voting power of the Company on an as-converted basis. As a result, this holder may have the ability to influence future actions by the Company requiring shareholder approval.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2" w:name="page23"/>
    <w:bookmarkEnd w:id="22"/>
    <w:p>
      <w:pPr>
        <w:ind w:right="80"/>
        <w:spacing w:after="0" w:line="266" w:lineRule="auto"/>
        <w:rPr>
          <w:sz w:val="20"/>
          <w:szCs w:val="20"/>
          <w:color w:val="auto"/>
        </w:rPr>
      </w:pPr>
      <w:r>
        <w:rPr>
          <w:rFonts w:ascii="Arial" w:cs="Arial" w:eastAsia="Arial" w:hAnsi="Arial"/>
          <w:sz w:val="17"/>
          <w:szCs w:val="17"/>
          <w:color w:val="auto"/>
        </w:rPr>
        <w:t>The holder of the Series C Preferred Stock also has the right to nominate one member for election to the Company’s board of directors (the “Board”). This nomination right expires upon the earlier to occur of the third anniversary of the initial issuance of the Series C Preferred Stock or the holder ceasing to directly or indirectly hold at least a majority of the shares of Series C Preferred Stock purchased or the common stock received upon the conversion of such shares and is exclusive to the initial holder and does not transfer with the Series C Preferred Stock.</w:t>
      </w:r>
    </w:p>
    <w:p>
      <w:pPr>
        <w:spacing w:after="0" w:line="7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Also, an affiliate of the Term Loan Lenders has the right to nominate one member for election to the Board until the third anniversary of the initial issuance of the Term Loans or until the Term Loan Lenders cease to hold at least 50% of the original principal amount of the Term Loans and commitments under the Credit Agreement, whichever is earlier. Until the Term Loan Lenders cease to hold at least 50% of the original principal amount of the Term Loans and commitments under the Credit Agreement, at any time that the director nominated by the affiliate of the Term Loan Lenders is not serving on the Board, such affiliate will have the right to designate a non-voting observer to the Board.</w:t>
      </w:r>
    </w:p>
    <w:p>
      <w:pPr>
        <w:spacing w:after="0" w:line="75" w:lineRule="exact"/>
        <w:rPr>
          <w:sz w:val="20"/>
          <w:szCs w:val="20"/>
          <w:color w:val="auto"/>
        </w:rPr>
      </w:pPr>
    </w:p>
    <w:p>
      <w:pPr>
        <w:ind w:right="240"/>
        <w:spacing w:after="0" w:line="306" w:lineRule="auto"/>
        <w:rPr>
          <w:sz w:val="20"/>
          <w:szCs w:val="20"/>
          <w:color w:val="auto"/>
        </w:rPr>
      </w:pPr>
      <w:r>
        <w:rPr>
          <w:rFonts w:ascii="Arial" w:cs="Arial" w:eastAsia="Arial" w:hAnsi="Arial"/>
          <w:sz w:val="15"/>
          <w:szCs w:val="15"/>
          <w:color w:val="auto"/>
        </w:rPr>
        <w:t>Also, if dividends on the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the Series B Preferred Stock have been paid or set aside. As a result, the presence of directors on the Board nominated by the current holder of Series C Preferred Stock or an affiliate of the Term Loan Lenders or nominated in the future by the holders of Series B Preferred Stock would enable such holders and lenders to influence the composition of the Board and, in turn, potentially influence and impact future actions taken by the Board.</w:t>
      </w:r>
    </w:p>
    <w:p>
      <w:pPr>
        <w:spacing w:after="0" w:line="4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The Company has registered, and has a duty to register, the resale of a large portion of our outstanding securities. The resale of the Company’s common stock, or the perception that such resale may occur, may adversely affect the price of our common stock.</w:t>
      </w:r>
    </w:p>
    <w:p>
      <w:pPr>
        <w:spacing w:after="0" w:line="5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compliance with certain agreements to which the Company is a party, we have registered the resale of an aggregate of up to 44,490,032 shares of common stock that are either outstanding or issuable upon conversion of Preferred Stock or convertible notes. The resale of a substantial number of shares of common stock in the public market, or the perception that such resale might occur, could cause the market price of the Company’s common stock to decline. Under the terms of the certain agreements to which the Company is subject, certain of the counterparties to such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our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The resale of a significant portion of the Company’s securities or certain accumulations or transfers of the Company’s securities could result in a change of control of the Company and the loss of favorable tax attributes.</w:t>
      </w:r>
    </w:p>
    <w:p>
      <w:pPr>
        <w:spacing w:after="0" w:line="5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Holders of the Convertible Securities and holders of large blocks of the Company’s common stock collectively have a significant influence over matters presented to the Company’s shareholders for approval, including election of members to the Board and change of control transactions. In addition, the holders of such securities collectively would be able to cause a significant change in the ownership of the Company by selling a sufficient portion of the Company’s securities held by them. If such a transaction, in combination with other transactions in securities of the Company which have already occurred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Certain accumulations or transfers of the Company’s outstanding securities not involving these holders, could also cause such an “ownership change”. For more information on the Company’s tax attributes refer to Note 17, “Income Taxes”. The interests of the holders of the Convertible Securities and holders of large blocks of the Company’s common stock may not always coincide with the interests of the other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stock price has been and may continue to be volatile.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market price of the Company’s common stock has fluctuated substantially, experienced extreme volatility in the context of the DFC Announcement and may continue to fluctuate significantly. Future announcements or disclosures concerning the Company, our strategic initiatives, our sales and profitability, quarterly variations in actual or anticipated operating results or comparable sales, any failure to meet analysts’ expectations, sales of large blocks of our common stock and developments concerning the investigations, lawsuits and claims relating to the DFC Announcement, among other factors, could cause the market price of our common stock to fluctuate substantially.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11"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Kodak's worldwide headquarters is located in Rochester, New York.</w:t>
      </w:r>
    </w:p>
    <w:p>
      <w:pPr>
        <w:spacing w:after="0" w:line="24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Kodak owns 11 million square feet and leases, as a lessee, approximately 4 million square feet of space that includes administrative, research and development, manufacturing and marketing facilities in several worldwide locations. Out of the owned space, Kodak leases out approximately 1 million square feet to third party tenants. The leases are for various periods and are generally renewable.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Kodak’s principal manufacturing facilities, by segment, are listed below. Properties in a location may be shared by all segments operating in that location.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92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4"/>
              </w:rPr>
              <w:t>Digital Printing</w:t>
            </w:r>
          </w:p>
        </w:tc>
        <w:tc>
          <w:tcPr>
            <w:tcW w:w="2760" w:type="dxa"/>
            <w:vAlign w:val="bottom"/>
          </w:tcPr>
          <w:p>
            <w:pPr>
              <w:jc w:val="center"/>
              <w:ind w:left="13"/>
              <w:spacing w:after="0"/>
              <w:rPr>
                <w:sz w:val="20"/>
                <w:szCs w:val="20"/>
                <w:color w:val="auto"/>
              </w:rPr>
            </w:pPr>
            <w:r>
              <w:rPr>
                <w:rFonts w:ascii="Arial" w:cs="Arial" w:eastAsia="Arial" w:hAnsi="Arial"/>
                <w:sz w:val="17"/>
                <w:szCs w:val="17"/>
                <w:b w:val="1"/>
                <w:bCs w:val="1"/>
                <w:i w:val="1"/>
                <w:iCs w:val="1"/>
                <w:color w:val="auto"/>
                <w:w w:val="93"/>
              </w:rPr>
              <w:t>Traditional Printing</w:t>
            </w:r>
          </w:p>
        </w:tc>
        <w:tc>
          <w:tcPr>
            <w:tcW w:w="330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89"/>
              </w:rPr>
              <w:t>Advanced Materials and Chemicals</w:t>
            </w:r>
          </w:p>
        </w:tc>
      </w:tr>
      <w:tr>
        <w:trPr>
          <w:trHeight w:val="221"/>
        </w:trPr>
        <w:tc>
          <w:tcPr>
            <w:tcW w:w="29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Rochester, New York, USA</w:t>
            </w:r>
          </w:p>
        </w:tc>
        <w:tc>
          <w:tcPr>
            <w:tcW w:w="27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Rochester, New York, USA</w:t>
            </w:r>
          </w:p>
        </w:tc>
        <w:tc>
          <w:tcPr>
            <w:tcW w:w="33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Rochester, New York, USA</w:t>
            </w:r>
          </w:p>
        </w:tc>
      </w:tr>
      <w:tr>
        <w:trPr>
          <w:trHeight w:val="221"/>
        </w:trPr>
        <w:tc>
          <w:tcPr>
            <w:tcW w:w="2920" w:type="dxa"/>
            <w:vAlign w:val="bottom"/>
          </w:tcPr>
          <w:p>
            <w:pPr>
              <w:jc w:val="center"/>
              <w:spacing w:after="0"/>
              <w:rPr>
                <w:sz w:val="20"/>
                <w:szCs w:val="20"/>
                <w:color w:val="auto"/>
              </w:rPr>
            </w:pPr>
            <w:r>
              <w:rPr>
                <w:rFonts w:ascii="Arial" w:cs="Arial" w:eastAsia="Arial" w:hAnsi="Arial"/>
                <w:sz w:val="17"/>
                <w:szCs w:val="17"/>
                <w:color w:val="auto"/>
                <w:w w:val="96"/>
              </w:rPr>
              <w:t>Dayton, Ohio, USA</w:t>
            </w:r>
          </w:p>
        </w:tc>
        <w:tc>
          <w:tcPr>
            <w:tcW w:w="2760" w:type="dxa"/>
            <w:vAlign w:val="bottom"/>
          </w:tcPr>
          <w:p>
            <w:pPr>
              <w:jc w:val="center"/>
              <w:ind w:left="13"/>
              <w:spacing w:after="0"/>
              <w:rPr>
                <w:sz w:val="20"/>
                <w:szCs w:val="20"/>
                <w:color w:val="auto"/>
              </w:rPr>
            </w:pPr>
            <w:r>
              <w:rPr>
                <w:rFonts w:ascii="Arial" w:cs="Arial" w:eastAsia="Arial" w:hAnsi="Arial"/>
                <w:sz w:val="17"/>
                <w:szCs w:val="17"/>
                <w:color w:val="auto"/>
                <w:w w:val="93"/>
              </w:rPr>
              <w:t>Columbus, Georgia, USA</w:t>
            </w:r>
          </w:p>
        </w:tc>
        <w:tc>
          <w:tcPr>
            <w:tcW w:w="3300" w:type="dxa"/>
            <w:vAlign w:val="bottom"/>
          </w:tcPr>
          <w:p>
            <w:pPr>
              <w:jc w:val="center"/>
              <w:spacing w:after="0"/>
              <w:rPr>
                <w:sz w:val="20"/>
                <w:szCs w:val="20"/>
                <w:color w:val="auto"/>
              </w:rPr>
            </w:pPr>
            <w:r>
              <w:rPr>
                <w:rFonts w:ascii="Arial" w:cs="Arial" w:eastAsia="Arial" w:hAnsi="Arial"/>
                <w:sz w:val="17"/>
                <w:szCs w:val="17"/>
                <w:color w:val="auto"/>
                <w:w w:val="93"/>
              </w:rPr>
              <w:t>Xiamen, China</w:t>
            </w:r>
          </w:p>
        </w:tc>
      </w:tr>
      <w:tr>
        <w:trPr>
          <w:trHeight w:val="221"/>
        </w:trPr>
        <w:tc>
          <w:tcPr>
            <w:tcW w:w="29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Vancouver, Canada</w:t>
            </w:r>
          </w:p>
        </w:tc>
        <w:tc>
          <w:tcPr>
            <w:tcW w:w="27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Osterode, Germany</w:t>
            </w:r>
          </w:p>
        </w:tc>
        <w:tc>
          <w:tcPr>
            <w:tcW w:w="3300" w:type="dxa"/>
            <w:vAlign w:val="bottom"/>
            <w:shd w:val="clear" w:color="auto" w:fill="CFF0FC"/>
          </w:tcPr>
          <w:p>
            <w:pPr>
              <w:spacing w:after="0"/>
              <w:rPr>
                <w:sz w:val="19"/>
                <w:szCs w:val="19"/>
                <w:color w:val="auto"/>
              </w:rPr>
            </w:pPr>
          </w:p>
        </w:tc>
      </w:tr>
      <w:tr>
        <w:trPr>
          <w:trHeight w:val="221"/>
        </w:trPr>
        <w:tc>
          <w:tcPr>
            <w:tcW w:w="2920" w:type="dxa"/>
            <w:vAlign w:val="bottom"/>
          </w:tcPr>
          <w:p>
            <w:pPr>
              <w:jc w:val="center"/>
              <w:spacing w:after="0"/>
              <w:rPr>
                <w:sz w:val="20"/>
                <w:szCs w:val="20"/>
                <w:color w:val="auto"/>
              </w:rPr>
            </w:pPr>
            <w:r>
              <w:rPr>
                <w:rFonts w:ascii="Arial" w:cs="Arial" w:eastAsia="Arial" w:hAnsi="Arial"/>
                <w:sz w:val="17"/>
                <w:szCs w:val="17"/>
                <w:color w:val="auto"/>
                <w:w w:val="93"/>
              </w:rPr>
              <w:t>(software development)</w:t>
            </w:r>
          </w:p>
        </w:tc>
        <w:tc>
          <w:tcPr>
            <w:tcW w:w="2760" w:type="dxa"/>
            <w:vAlign w:val="bottom"/>
          </w:tcPr>
          <w:p>
            <w:pPr>
              <w:jc w:val="center"/>
              <w:ind w:left="13"/>
              <w:spacing w:after="0"/>
              <w:rPr>
                <w:sz w:val="20"/>
                <w:szCs w:val="20"/>
                <w:color w:val="auto"/>
              </w:rPr>
            </w:pPr>
            <w:r>
              <w:rPr>
                <w:rFonts w:ascii="Arial" w:cs="Arial" w:eastAsia="Arial" w:hAnsi="Arial"/>
                <w:sz w:val="17"/>
                <w:szCs w:val="17"/>
                <w:color w:val="auto"/>
                <w:w w:val="87"/>
              </w:rPr>
              <w:t>Gunma, Japan</w:t>
            </w:r>
          </w:p>
        </w:tc>
        <w:tc>
          <w:tcPr>
            <w:tcW w:w="3300" w:type="dxa"/>
            <w:vAlign w:val="bottom"/>
          </w:tcPr>
          <w:p>
            <w:pPr>
              <w:spacing w:after="0"/>
              <w:rPr>
                <w:sz w:val="19"/>
                <w:szCs w:val="19"/>
                <w:color w:val="auto"/>
              </w:rPr>
            </w:pPr>
          </w:p>
        </w:tc>
      </w:tr>
      <w:tr>
        <w:trPr>
          <w:trHeight w:val="221"/>
        </w:trPr>
        <w:tc>
          <w:tcPr>
            <w:tcW w:w="29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Shanghai, China</w:t>
            </w:r>
          </w:p>
        </w:tc>
        <w:tc>
          <w:tcPr>
            <w:tcW w:w="2760" w:type="dxa"/>
            <w:vAlign w:val="bottom"/>
            <w:shd w:val="clear" w:color="auto" w:fill="CFF0FC"/>
          </w:tcPr>
          <w:p>
            <w:pPr>
              <w:jc w:val="center"/>
              <w:ind w:left="13"/>
              <w:spacing w:after="0"/>
              <w:rPr>
                <w:sz w:val="20"/>
                <w:szCs w:val="20"/>
                <w:color w:val="auto"/>
              </w:rPr>
            </w:pPr>
            <w:r>
              <w:rPr>
                <w:rFonts w:ascii="Arial" w:cs="Arial" w:eastAsia="Arial" w:hAnsi="Arial"/>
                <w:sz w:val="17"/>
                <w:szCs w:val="17"/>
                <w:color w:val="auto"/>
                <w:w w:val="90"/>
              </w:rPr>
              <w:t>Shanghai, China</w:t>
            </w:r>
          </w:p>
        </w:tc>
        <w:tc>
          <w:tcPr>
            <w:tcW w:w="3300" w:type="dxa"/>
            <w:vAlign w:val="bottom"/>
            <w:shd w:val="clear" w:color="auto" w:fill="CFF0FC"/>
          </w:tcPr>
          <w:p>
            <w:pPr>
              <w:spacing w:after="0"/>
              <w:rPr>
                <w:sz w:val="19"/>
                <w:szCs w:val="19"/>
                <w:color w:val="auto"/>
              </w:rPr>
            </w:pPr>
          </w:p>
        </w:tc>
      </w:tr>
      <w:tr>
        <w:trPr>
          <w:trHeight w:val="221"/>
        </w:trPr>
        <w:tc>
          <w:tcPr>
            <w:tcW w:w="2920" w:type="dxa"/>
            <w:vAlign w:val="bottom"/>
          </w:tcPr>
          <w:p>
            <w:pPr>
              <w:jc w:val="center"/>
              <w:spacing w:after="0"/>
              <w:rPr>
                <w:sz w:val="20"/>
                <w:szCs w:val="20"/>
                <w:color w:val="auto"/>
              </w:rPr>
            </w:pPr>
            <w:r>
              <w:rPr>
                <w:rFonts w:ascii="Arial" w:cs="Arial" w:eastAsia="Arial" w:hAnsi="Arial"/>
                <w:sz w:val="17"/>
                <w:szCs w:val="17"/>
                <w:color w:val="auto"/>
                <w:w w:val="93"/>
              </w:rPr>
              <w:t>(software development)</w:t>
            </w:r>
          </w:p>
        </w:tc>
        <w:tc>
          <w:tcPr>
            <w:tcW w:w="2760" w:type="dxa"/>
            <w:vAlign w:val="bottom"/>
          </w:tcPr>
          <w:p>
            <w:pPr>
              <w:jc w:val="center"/>
              <w:ind w:left="13"/>
              <w:spacing w:after="0"/>
              <w:rPr>
                <w:sz w:val="20"/>
                <w:szCs w:val="20"/>
                <w:color w:val="auto"/>
              </w:rPr>
            </w:pPr>
            <w:r>
              <w:rPr>
                <w:rFonts w:ascii="Arial" w:cs="Arial" w:eastAsia="Arial" w:hAnsi="Arial"/>
                <w:sz w:val="17"/>
                <w:szCs w:val="17"/>
                <w:color w:val="auto"/>
                <w:w w:val="89"/>
              </w:rPr>
              <w:t>Vancouver, Canada</w:t>
            </w:r>
          </w:p>
        </w:tc>
        <w:tc>
          <w:tcPr>
            <w:tcW w:w="3300" w:type="dxa"/>
            <w:vAlign w:val="bottom"/>
          </w:tcPr>
          <w:p>
            <w:pPr>
              <w:spacing w:after="0"/>
              <w:rPr>
                <w:sz w:val="19"/>
                <w:szCs w:val="19"/>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Regional distribution centers are located in various places within and outside of the United States.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Research and development is headquartered at the Kodak Research Laboratories which is part of the Eastman Business Park in Rochester, New York, where Kodak conducts research and files patent applications with fundamental inventions. Eastman Business Park is a more than 1,200-acre innovation and manufacturing hub, which features a comprehensive set of technology, transportation and utility infrastructure assets. The complex features an on-site rail and wastewater treatment facility and manufacturing, distribution, lab and office space. Kodak uses and leases out space at Eastman Business Park as part of its strategy of adaptive and effective reuse of infrastructure, services, buildings and land.</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Kodak has excess capacity in some locations. Kodak is pursuing the monetization of its excess capacity by selling or leasing the associated properties.</w:t>
      </w:r>
    </w:p>
    <w:p>
      <w:pPr>
        <w:spacing w:after="0" w:line="200" w:lineRule="exact"/>
        <w:rPr>
          <w:sz w:val="20"/>
          <w:szCs w:val="20"/>
          <w:color w:val="auto"/>
        </w:rPr>
      </w:pPr>
    </w:p>
    <w:p>
      <w:pPr>
        <w:spacing w:after="0" w:line="261"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See Note 11, “Commitments and Contingencies” in the Notes to the Financial Statements included in Part II, Item 8, “Financial Statements and Supplementary Data” for information regarding certain legal proceedings in which Kodak is involved.</w:t>
      </w: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538" w:right="4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INFORMATION ABOUT ITS EXECUTIVE OFFICERS</w:t>
      </w:r>
    </w:p>
    <w:p>
      <w:pPr>
        <w:spacing w:after="0" w:line="1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Pursuant to General Instructions G (3) of Form 10-K, the following list is included as an unnumbered item in Part I of this report in lieu of being included in the Proxy Statement for the Annual Meeting of Shareholders.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540" w:type="dxa"/>
            <w:vAlign w:val="bottom"/>
          </w:tcPr>
          <w:p>
            <w:pPr>
              <w:jc w:val="center"/>
              <w:ind w:left="453"/>
              <w:spacing w:after="0"/>
              <w:rPr>
                <w:sz w:val="20"/>
                <w:szCs w:val="20"/>
                <w:color w:val="auto"/>
              </w:rPr>
            </w:pPr>
            <w:r>
              <w:rPr>
                <w:rFonts w:ascii="Arial" w:cs="Arial" w:eastAsia="Arial" w:hAnsi="Arial"/>
                <w:sz w:val="17"/>
                <w:szCs w:val="17"/>
                <w:b w:val="1"/>
                <w:bCs w:val="1"/>
                <w:color w:val="auto"/>
                <w:w w:val="87"/>
              </w:rPr>
              <w:t>Age</w:t>
            </w:r>
          </w:p>
        </w:tc>
        <w:tc>
          <w:tcPr>
            <w:tcW w:w="7340" w:type="dxa"/>
            <w:vAlign w:val="bottom"/>
          </w:tcPr>
          <w:p>
            <w:pPr>
              <w:ind w:left="3320"/>
              <w:spacing w:after="0"/>
              <w:rPr>
                <w:sz w:val="20"/>
                <w:szCs w:val="20"/>
                <w:color w:val="auto"/>
              </w:rPr>
            </w:pPr>
            <w:r>
              <w:rPr>
                <w:rFonts w:ascii="Arial" w:cs="Arial" w:eastAsia="Arial" w:hAnsi="Arial"/>
                <w:sz w:val="17"/>
                <w:szCs w:val="17"/>
                <w:b w:val="1"/>
                <w:bCs w:val="1"/>
                <w:color w:val="auto"/>
              </w:rPr>
              <w:t>Positions Held</w:t>
            </w: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James V. Continenza</w:t>
            </w:r>
          </w:p>
        </w:tc>
        <w:tc>
          <w:tcPr>
            <w:tcW w:w="1540" w:type="dxa"/>
            <w:vAlign w:val="bottom"/>
            <w:shd w:val="clear" w:color="auto" w:fill="CFF0FC"/>
          </w:tcPr>
          <w:p>
            <w:pPr>
              <w:jc w:val="center"/>
              <w:ind w:left="453"/>
              <w:spacing w:after="0"/>
              <w:rPr>
                <w:sz w:val="20"/>
                <w:szCs w:val="20"/>
                <w:color w:val="auto"/>
              </w:rPr>
            </w:pPr>
            <w:r>
              <w:rPr>
                <w:rFonts w:ascii="Arial" w:cs="Arial" w:eastAsia="Arial" w:hAnsi="Arial"/>
                <w:sz w:val="17"/>
                <w:szCs w:val="17"/>
                <w:color w:val="auto"/>
                <w:w w:val="84"/>
              </w:rPr>
              <w:t>59</w:t>
            </w:r>
          </w:p>
        </w:tc>
        <w:tc>
          <w:tcPr>
            <w:tcW w:w="73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Executive Chairman and Chief Executive Officer</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David E. Bullwinkle</w:t>
            </w:r>
          </w:p>
        </w:tc>
        <w:tc>
          <w:tcPr>
            <w:tcW w:w="1540" w:type="dxa"/>
            <w:vAlign w:val="bottom"/>
          </w:tcPr>
          <w:p>
            <w:pPr>
              <w:jc w:val="center"/>
              <w:ind w:left="453"/>
              <w:spacing w:after="0"/>
              <w:rPr>
                <w:sz w:val="20"/>
                <w:szCs w:val="20"/>
                <w:color w:val="auto"/>
              </w:rPr>
            </w:pPr>
            <w:r>
              <w:rPr>
                <w:rFonts w:ascii="Arial" w:cs="Arial" w:eastAsia="Arial" w:hAnsi="Arial"/>
                <w:sz w:val="17"/>
                <w:szCs w:val="17"/>
                <w:color w:val="auto"/>
                <w:w w:val="84"/>
              </w:rPr>
              <w:t>47</w:t>
            </w:r>
          </w:p>
        </w:tc>
        <w:tc>
          <w:tcPr>
            <w:tcW w:w="7340" w:type="dxa"/>
            <w:vAlign w:val="bottom"/>
          </w:tcPr>
          <w:p>
            <w:pPr>
              <w:ind w:left="360"/>
              <w:spacing w:after="0"/>
              <w:rPr>
                <w:sz w:val="20"/>
                <w:szCs w:val="20"/>
                <w:color w:val="auto"/>
              </w:rPr>
            </w:pPr>
            <w:r>
              <w:rPr>
                <w:rFonts w:ascii="Arial" w:cs="Arial" w:eastAsia="Arial" w:hAnsi="Arial"/>
                <w:sz w:val="17"/>
                <w:szCs w:val="17"/>
                <w:color w:val="auto"/>
              </w:rPr>
              <w:t>Chief Financial Officer and Senior Vice President</w:t>
            </w: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Roger W. Byrd</w:t>
            </w:r>
          </w:p>
        </w:tc>
        <w:tc>
          <w:tcPr>
            <w:tcW w:w="1540" w:type="dxa"/>
            <w:vAlign w:val="bottom"/>
            <w:shd w:val="clear" w:color="auto" w:fill="CFF0FC"/>
          </w:tcPr>
          <w:p>
            <w:pPr>
              <w:jc w:val="center"/>
              <w:ind w:left="453"/>
              <w:spacing w:after="0"/>
              <w:rPr>
                <w:sz w:val="20"/>
                <w:szCs w:val="20"/>
                <w:color w:val="auto"/>
              </w:rPr>
            </w:pPr>
            <w:r>
              <w:rPr>
                <w:rFonts w:ascii="Arial" w:cs="Arial" w:eastAsia="Arial" w:hAnsi="Arial"/>
                <w:sz w:val="17"/>
                <w:szCs w:val="17"/>
                <w:color w:val="auto"/>
                <w:w w:val="84"/>
              </w:rPr>
              <w:t>56</w:t>
            </w:r>
          </w:p>
        </w:tc>
        <w:tc>
          <w:tcPr>
            <w:tcW w:w="73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General Counsel, Secretary and Senior Vice President</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John O'Grady</w:t>
            </w:r>
          </w:p>
        </w:tc>
        <w:tc>
          <w:tcPr>
            <w:tcW w:w="1540" w:type="dxa"/>
            <w:vAlign w:val="bottom"/>
          </w:tcPr>
          <w:p>
            <w:pPr>
              <w:jc w:val="center"/>
              <w:ind w:left="453"/>
              <w:spacing w:after="0"/>
              <w:rPr>
                <w:sz w:val="20"/>
                <w:szCs w:val="20"/>
                <w:color w:val="auto"/>
              </w:rPr>
            </w:pPr>
            <w:r>
              <w:rPr>
                <w:rFonts w:ascii="Arial" w:cs="Arial" w:eastAsia="Arial" w:hAnsi="Arial"/>
                <w:sz w:val="17"/>
                <w:szCs w:val="17"/>
                <w:color w:val="auto"/>
                <w:w w:val="84"/>
              </w:rPr>
              <w:t>58</w:t>
            </w:r>
          </w:p>
        </w:tc>
        <w:tc>
          <w:tcPr>
            <w:tcW w:w="7340" w:type="dxa"/>
            <w:vAlign w:val="bottom"/>
          </w:tcPr>
          <w:p>
            <w:pPr>
              <w:ind w:left="360"/>
              <w:spacing w:after="0"/>
              <w:rPr>
                <w:sz w:val="20"/>
                <w:szCs w:val="20"/>
                <w:color w:val="auto"/>
              </w:rPr>
            </w:pPr>
            <w:r>
              <w:rPr>
                <w:rFonts w:ascii="Arial" w:cs="Arial" w:eastAsia="Arial" w:hAnsi="Arial"/>
                <w:sz w:val="17"/>
                <w:szCs w:val="17"/>
                <w:color w:val="auto"/>
              </w:rPr>
              <w:t>Vice President</w:t>
            </w: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Terry R. Taber</w:t>
            </w:r>
          </w:p>
        </w:tc>
        <w:tc>
          <w:tcPr>
            <w:tcW w:w="1540" w:type="dxa"/>
            <w:vAlign w:val="bottom"/>
            <w:shd w:val="clear" w:color="auto" w:fill="CFF0FC"/>
          </w:tcPr>
          <w:p>
            <w:pPr>
              <w:jc w:val="center"/>
              <w:ind w:left="453"/>
              <w:spacing w:after="0"/>
              <w:rPr>
                <w:sz w:val="20"/>
                <w:szCs w:val="20"/>
                <w:color w:val="auto"/>
              </w:rPr>
            </w:pPr>
            <w:r>
              <w:rPr>
                <w:rFonts w:ascii="Arial" w:cs="Arial" w:eastAsia="Arial" w:hAnsi="Arial"/>
                <w:sz w:val="17"/>
                <w:szCs w:val="17"/>
                <w:color w:val="auto"/>
                <w:w w:val="84"/>
              </w:rPr>
              <w:t>67</w:t>
            </w:r>
          </w:p>
        </w:tc>
        <w:tc>
          <w:tcPr>
            <w:tcW w:w="73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Vice President</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Randy D. Vandagriff</w:t>
            </w:r>
          </w:p>
        </w:tc>
        <w:tc>
          <w:tcPr>
            <w:tcW w:w="1540" w:type="dxa"/>
            <w:vAlign w:val="bottom"/>
          </w:tcPr>
          <w:p>
            <w:pPr>
              <w:jc w:val="center"/>
              <w:ind w:left="453"/>
              <w:spacing w:after="0"/>
              <w:rPr>
                <w:sz w:val="20"/>
                <w:szCs w:val="20"/>
                <w:color w:val="auto"/>
              </w:rPr>
            </w:pPr>
            <w:r>
              <w:rPr>
                <w:rFonts w:ascii="Arial" w:cs="Arial" w:eastAsia="Arial" w:hAnsi="Arial"/>
                <w:sz w:val="17"/>
                <w:szCs w:val="17"/>
                <w:color w:val="auto"/>
                <w:w w:val="84"/>
              </w:rPr>
              <w:t>59</w:t>
            </w:r>
          </w:p>
        </w:tc>
        <w:tc>
          <w:tcPr>
            <w:tcW w:w="7340" w:type="dxa"/>
            <w:vAlign w:val="bottom"/>
          </w:tcPr>
          <w:p>
            <w:pPr>
              <w:ind w:left="360"/>
              <w:spacing w:after="0"/>
              <w:rPr>
                <w:sz w:val="20"/>
                <w:szCs w:val="20"/>
                <w:color w:val="auto"/>
              </w:rPr>
            </w:pPr>
            <w:r>
              <w:rPr>
                <w:rFonts w:ascii="Arial" w:cs="Arial" w:eastAsia="Arial" w:hAnsi="Arial"/>
                <w:sz w:val="17"/>
                <w:szCs w:val="17"/>
                <w:color w:val="auto"/>
              </w:rPr>
              <w:t>Vice President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biographies follow: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James V. Continenza</w:t>
      </w:r>
    </w:p>
    <w:p>
      <w:pPr>
        <w:spacing w:after="0" w:line="12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James V. Continenza leads the transformation of Kodak as Executive Chairman and Chief Executive Officer. He was appointed by the Board as Executive Chairman in February 2019 and as Chief Executive Officer in July 2020. Continenza joined the Board of Kodak in April 2013 and became Chairman of the Board in September 2013.</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Continenza brings a proven track record of guiding leading technology companies through transformations. From September 2012 through June 2021 Continenza has served as the Chairman and Chief Executive Officer of Vivial Inc., a privately held marketing technology and communications company. He has also held leadership roles at STi Prepaid, LLC, a telecommunications company; Anchor Glass Container Corp., a leading manufacturer of glass containers; Teligent, Inc., a provider of communications services including voice, data, and internet access; Lucent Technologies Product Finance, a global leader in telecom equipment; and AT&amp;T Inc.</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addition to his management experience, Continenza currently serves on the board of directors of Cenveo Corporation, an industry leader in transformative publishing solutions. He has also served on the boards of directors of Datasite LLC (formerly known as Merrill Corporation), NII Holdings, Inc., Tembec, Inc. and Neff Corporation. He also serves or has served on the boards of a number of private companies.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E. Bullwinkle</w:t>
      </w:r>
    </w:p>
    <w:p>
      <w:pPr>
        <w:spacing w:after="0" w:line="1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Dave Bullwinkle is the Chief Financial Officer and Senior Vice President of Kodak. The Board of Directors elected Bullwinkle to this position effective July 2016. Effective November 6, 2018, Bullwinkle is President of the Eastman Business Park Division. Bullwinkle is responsible for advancing the growth strategy for Eastman Business Park and leading Kodak's worldwide finance, internal audit and purchasing teams.</w:t>
      </w:r>
    </w:p>
    <w:p>
      <w:pPr>
        <w:spacing w:after="0" w:line="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Bullwinkle joined Kodak in 2004 and has worked in several financial management roles at Kodak including Worldwide BU Controller, Assistant Corporate Controller and External Reporting Manager. He served as the Director of Corporate Financial Planning and Analysis and Vice President, Finance at Kodak from November 2010 to June 2016, and Director of Investor Relations from August 2013 to June 2016.</w:t>
      </w:r>
    </w:p>
    <w:p>
      <w:pPr>
        <w:spacing w:after="0" w:line="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Prior to joining Kodak, Bullwinkle worked as the Manager of Financial Reporting at Birds Eye Foods, Inc. and previously at PricewaterhouseCoopers from 1996 to 2002 in various roles including serving as an Assurance Manager.</w:t>
      </w:r>
    </w:p>
    <w:p>
      <w:pPr>
        <w:spacing w:after="0" w:line="5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Bullwinkle has an MBA from St. John Fisher College and Bachelor of Science in Accounting degree from SUNY Geneseo. Bullwinkle is also a Certified Public Accountant in the State of New York.</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Roger W. Byrd</w:t>
      </w:r>
    </w:p>
    <w:p>
      <w:pPr>
        <w:spacing w:after="0" w:line="12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Roger Byrd was appointed General Counsel, Secretary and Senior Vice President of Kodak in January 2019. He is responsible for leading the company's global legal function and for providing legal guidance to senior leadership and the Board of Directors.</w:t>
      </w:r>
    </w:p>
    <w:p>
      <w:pPr>
        <w:spacing w:after="0" w:line="5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Byrd joined Kodak in 2015 as Assistant General Counsel and Vice President, Legal Department and while at Kodak has focused on M&amp;A and financing transactions, joint ventures, and other strategic initiatives. Byrd has also been active in providing credit agreement compliance, securities reporting and corporate governance support to the Company. The Board of Directors elected him to Senior Vice President and Secretary in January 2019.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5" w:name="page26"/>
    <w:bookmarkEnd w:id="25"/>
    <w:p>
      <w:pPr>
        <w:ind w:right="380"/>
        <w:spacing w:after="0" w:line="271" w:lineRule="auto"/>
        <w:rPr>
          <w:sz w:val="20"/>
          <w:szCs w:val="20"/>
          <w:color w:val="auto"/>
        </w:rPr>
      </w:pPr>
      <w:r>
        <w:rPr>
          <w:rFonts w:ascii="Arial" w:cs="Arial" w:eastAsia="Arial" w:hAnsi="Arial"/>
          <w:sz w:val="17"/>
          <w:szCs w:val="17"/>
          <w:color w:val="auto"/>
        </w:rPr>
        <w:t>Prior to joining Kodak, Byrd was a Partner at Nixon Peabody LLP. During his 23-year career at Nixon Peabody, he represented a broad range of clients in connection with a variety of M&amp;A, financing and other corporate transactions. Byrd also served as General Counsel at Choice One Communications, Inc., a competitive local exchange carrier from 2005 – 2006.</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Byrd received a Bachelor of Science degree in Accounting from Bob Jones University and a J.D. from Duke University School of Law.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John O’Grady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2020, John O’Grady is Senior Vice President of Print, with senior responsibilities relating to the Traditional Printing segment.</w:t>
      </w:r>
    </w:p>
    <w:p>
      <w:pPr>
        <w:spacing w:after="0" w:line="11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From April 24, 2018 to January 2020, O'Grady was President, Print Systems Division, which served graphic arts and commercial print customers with printing plates, computer to plate imaging solutions, electrophotographic printing solutions, OEM toner, and equipment services. From December 1, 2017 to April 24, 2018, O'Grady was President of Consumer Imaging Division. In this role, he was responsible for motion picture and commercial films, synthetic chemicals, and consumer products, including products from Kodak brand licensees.</w:t>
      </w:r>
    </w:p>
    <w:p>
      <w:pPr>
        <w:spacing w:after="0" w:line="7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From January 2016 to December 2017, O'Grady was General Manager, Worldwide Sales, Print Systems Division, responsible for managing the sales, service and regional marketing for the Print Systems Division on a worldwide basis in addition to the go-tomarket back-office operations for Kodak. From January 2015 to December 2015, O'Grady was Managing Director of the Europe, United States and Canada, Australia and New Zealand (“EUCAN”) Region. From December 2010 to December 2014, he was Managing Director, U.S. &amp; Canada Region. From December 2008 to December 2010, O'Grady was Regional Managing Director, Europe, Africa and Middle East Region (“EAMER”) and Chairman Eastman Kodak Sàrl, and from May 2007 to December 2008, he was Managing Director, EAMER, Consumer Businesses. O’Grady has served as a corporate vice president since March 2007, including as a senior vice president from August 2016 through February 2020.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O'Grady joined Kodak in 1997 and has held key business development and regional management positions in Kodak's digital imaging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Prior to joining Kodak, O'Grady had a 12-year career at Verbatim.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O'Grady graduated from the University of Limerick in Ireland with a B.S. degree in Electronics.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Terry R. Taber, PhD</w:t>
      </w:r>
    </w:p>
    <w:p>
      <w:pPr>
        <w:spacing w:after="0" w:line="12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Terry Taber has served as Kodak's Chief Technical Officer since January 2009. Effective January 2020, he is a Senior Vice President of Advanced Materials and Chemicals.</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From May 1, 2017 to January 2020, Taber was named President of the Advanced Materials and 3D Printing Technology Division which contained the research laboratories and included licensing as well as new business development activities related to Kodak's patents and proprietary technology, and focused on opportunities in smart material applications, printed electronics markets and 3D printing materials.</w:t>
      </w:r>
    </w:p>
    <w:p>
      <w:pPr>
        <w:spacing w:after="0" w:line="67" w:lineRule="exact"/>
        <w:rPr>
          <w:sz w:val="20"/>
          <w:szCs w:val="20"/>
          <w:color w:val="auto"/>
        </w:rPr>
      </w:pPr>
    </w:p>
    <w:p>
      <w:pPr>
        <w:jc w:val="both"/>
        <w:ind w:right="40"/>
        <w:spacing w:after="0" w:line="312" w:lineRule="auto"/>
        <w:rPr>
          <w:sz w:val="20"/>
          <w:szCs w:val="20"/>
          <w:color w:val="auto"/>
        </w:rPr>
      </w:pPr>
      <w:r>
        <w:rPr>
          <w:rFonts w:ascii="Arial" w:cs="Arial" w:eastAsia="Arial" w:hAnsi="Arial"/>
          <w:sz w:val="15"/>
          <w:szCs w:val="15"/>
          <w:color w:val="auto"/>
        </w:rPr>
        <w:t>From January 1, 2015 to May 1, 2017, Taber was named President of the Intellectual Property Solutions Division. From January 2007 to December 2008 he was the Chief Operating Officer of Kodak's Image Sensor Solutions ("ISS") business, a leading developer of advanced CCD and CMOS sensors serving imaging and industrial markets, and prior to Taber’s role with ISS, he held a series of senior positions in Kodak's research and development and product organizations. Taber has served as a corporate vice president since December 2008, including as a senior vice president from December 2010 through February 2020.</w:t>
      </w:r>
    </w:p>
    <w:p>
      <w:pPr>
        <w:spacing w:after="0" w:line="4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his more than 40 years at Kodak, Taber has been involved in new materials research, product development and commercialization, manufacturing, and executive positions in R&amp;D and business management.</w:t>
      </w:r>
    </w:p>
    <w:p>
      <w:pPr>
        <w:spacing w:after="0" w:line="5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spacing w:after="0" w:line="55"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auto"/>
        </w:rPr>
        <w:t>Taber received a B.S. degree in Chemistry from Purdue University and a Ph.D. in Organic Chemistry from the California Institute of Technology. He also received an M.S. in General Management from MIT as a Kodak Sloan Fellow. In past board service, he was a founding Board Member of the Innovation &amp; Material Sciences Institute and served on the Executive Advisory Board of FIRST Rochester (For Inspiration and Recognition of Science and Technology). Taber currently serves on the George Eastman Museum Board, effective June 2018. He also serves on the Executive Committee of the Greater Rochester Chamber of Commerce and on the Board of Trustees for Roberts Wesleyan College and Northeastern Seminary.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Randy D. Vandagriff</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2020, Randy D. Vandagriff is Senior Vice President of Print, with senior responsibilities relating to the Digital Print segment.</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From May 1, 2017 to January 2020 Vandagriff was President, Enterprise Inkjet Systems Division, responsible for delivering commercial inkjet technology, printers and solutions to the market. Vandagriff has spent his 39-year career innovating inkjet technology for the printing market. From January 2004 to August 2012, Vandagriff was Vice President, Research and Development for Kodak Versamark, responsible for leading a worldwide R&amp;D organization responsible for developing four generations of inkjet technologies and delivering industry-leading performance, including Kodak Stream and Ultrastream inkjet technologies. From January 2015 to May 2017, Vandagriff led the Kodak Creo Server business located in Tel Aviv, Israel. He has served as a corporate vice president since May 2017.</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his strong product development capabilities, Vandagriff has traveled internationally, working with key Kodak customers to successfully implement commercial inkjet into their production processes. His respected knowledge, broad background, and deep industry network has contributed to making Kodak the world's leader in high volume variable printing solutions.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Vandagriff holds an MBA degree from the University of Phoenix and a Bachelor of Science in Mechanical Engineering from Wright State University.</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PART II</w:t>
      </w:r>
    </w:p>
    <w:p>
      <w:pPr>
        <w:spacing w:after="0" w:line="247" w:lineRule="exact"/>
        <w:rPr>
          <w:sz w:val="20"/>
          <w:szCs w:val="20"/>
          <w:color w:val="auto"/>
        </w:rPr>
      </w:pPr>
    </w:p>
    <w:p>
      <w:pPr>
        <w:ind w:left="740" w:right="620" w:hanging="741"/>
        <w:spacing w:after="0" w:line="29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is listed on the New York Stock Exchange (NYSE) under the symbol “KODK”.</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There were 1,955 shareholders of record of common stock on December 31, 2021.</w:t>
      </w:r>
    </w:p>
    <w:p>
      <w:pPr>
        <w:spacing w:after="0" w:line="2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 dividends on common stock were declared or paid during 2021 or 2020.</w:t>
      </w:r>
    </w:p>
    <w:p>
      <w:pPr>
        <w:spacing w:after="0" w:line="2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Dividends for common shareholders may be restricted under Kodak’s Term Loan Credit Agreement, Amended ABL Credit Agreement, the Series B Preferred Stock Agreement and the Series C Preferred Stock Agreement.</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434" w:right="39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PERFORMANCE GRAPH - SHAREHOLDER RETURN</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graph compares the cumulative shareholder return of the Company's common stock with the performance of the Standard &amp; Poor's (“S&amp;P”) Small Cap 600 Information Technology Index, and the Russell 2000 Index (in which the Company is currently included), by measuring the annual changes in common stock prices over the last five years plus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281940</wp:posOffset>
            </wp:positionV>
            <wp:extent cx="5838825" cy="4862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8825" cy="486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ISSUER PURCHASES OF EQUITY SECURITIES DURING THE QUARTER ENDED DECEMBER 31, 2021</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issuer purchases of equity securities in the quarter ended December 31,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330" w:right="1440"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results of operations and financial condition of Kodak and should be read in conjunction with the consolidated financial statements and notes thereto included in Part II, Item 8. “Financial Statements and Supplementary Data” (“Item 8”) of this Annual Report on Form 10-K</w:t>
      </w:r>
      <w:r>
        <w:rPr>
          <w:rFonts w:ascii="Arial" w:cs="Arial" w:eastAsia="Arial" w:hAnsi="Arial"/>
          <w:sz w:val="14"/>
          <w:szCs w:val="14"/>
          <w:color w:val="auto"/>
        </w:rPr>
        <w:t>.</w:t>
      </w:r>
      <w:r>
        <w:rPr>
          <w:rFonts w:ascii="Arial" w:cs="Arial" w:eastAsia="Arial" w:hAnsi="Arial"/>
          <w:sz w:val="17"/>
          <w:szCs w:val="17"/>
          <w:color w:val="auto"/>
        </w:rPr>
        <w:t xml:space="preserve"> All references to Notes relate to Notes to the Financial Statements in Item 8.</w:t>
      </w:r>
    </w:p>
    <w:p>
      <w:pPr>
        <w:spacing w:after="0" w:line="173"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10-K includes "forward–looking statements" as that term is defined under the Private Securities Litigation Reform Act of 1995.</w:t>
      </w:r>
    </w:p>
    <w:p>
      <w:pPr>
        <w:spacing w:after="0" w:line="24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69" w:lineRule="exact"/>
        <w:rPr>
          <w:sz w:val="20"/>
          <w:szCs w:val="20"/>
          <w:color w:val="auto"/>
        </w:rPr>
      </w:pPr>
    </w:p>
    <w:p>
      <w:pPr>
        <w:ind w:left="1000" w:hanging="540"/>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cash flow, profitability and other financial results;</w:t>
      </w:r>
    </w:p>
    <w:p>
      <w:pPr>
        <w:spacing w:after="0" w:line="117" w:lineRule="exact"/>
        <w:rPr>
          <w:rFonts w:ascii="Arial" w:cs="Arial" w:eastAsia="Arial" w:hAnsi="Arial"/>
          <w:sz w:val="17"/>
          <w:szCs w:val="17"/>
          <w:color w:val="auto"/>
        </w:rPr>
      </w:pPr>
    </w:p>
    <w:p>
      <w:pPr>
        <w:ind w:left="1000" w:hanging="540"/>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Kodak’s ability to achieve strategic objectives, cash forecasts, financial projections, and projected growth;</w:t>
      </w:r>
    </w:p>
    <w:p>
      <w:pPr>
        <w:spacing w:after="0" w:line="117" w:lineRule="exact"/>
        <w:rPr>
          <w:rFonts w:ascii="Arial" w:cs="Arial" w:eastAsia="Arial" w:hAnsi="Arial"/>
          <w:sz w:val="17"/>
          <w:szCs w:val="17"/>
          <w:color w:val="auto"/>
        </w:rPr>
      </w:pPr>
    </w:p>
    <w:p>
      <w:pPr>
        <w:ind w:left="1000" w:hanging="540"/>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117" w:lineRule="exact"/>
        <w:rPr>
          <w:rFonts w:ascii="Arial" w:cs="Arial" w:eastAsia="Arial" w:hAnsi="Arial"/>
          <w:sz w:val="17"/>
          <w:szCs w:val="17"/>
          <w:color w:val="auto"/>
        </w:rPr>
      </w:pPr>
    </w:p>
    <w:p>
      <w:pPr>
        <w:ind w:left="1000" w:hanging="540"/>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various credit facilities;</w:t>
      </w:r>
    </w:p>
    <w:p>
      <w:pPr>
        <w:spacing w:after="0" w:line="117" w:lineRule="exact"/>
        <w:rPr>
          <w:rFonts w:ascii="Arial" w:cs="Arial" w:eastAsia="Arial" w:hAnsi="Arial"/>
          <w:sz w:val="17"/>
          <w:szCs w:val="17"/>
          <w:color w:val="auto"/>
        </w:rPr>
      </w:pPr>
    </w:p>
    <w:p>
      <w:pPr>
        <w:ind w:left="1000" w:right="380" w:hanging="540"/>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Kodak’s ability to fund continued investments, capital needs and restructuring payments and service its debt and Series B Preferred Stock and Series C Preferred Stock;</w:t>
      </w:r>
    </w:p>
    <w:p>
      <w:pPr>
        <w:spacing w:after="0" w:line="159" w:lineRule="exact"/>
        <w:rPr>
          <w:rFonts w:ascii="Arial" w:cs="Arial" w:eastAsia="Arial" w:hAnsi="Arial"/>
          <w:sz w:val="17"/>
          <w:szCs w:val="17"/>
          <w:color w:val="auto"/>
        </w:rPr>
      </w:pPr>
    </w:p>
    <w:p>
      <w:pPr>
        <w:ind w:left="1000" w:right="40" w:hanging="540"/>
        <w:spacing w:after="0" w:line="271"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COVID-19 pandemic;</w:t>
      </w:r>
    </w:p>
    <w:p>
      <w:pPr>
        <w:spacing w:after="0" w:line="171" w:lineRule="exact"/>
        <w:rPr>
          <w:rFonts w:ascii="Arial" w:cs="Arial" w:eastAsia="Arial" w:hAnsi="Arial"/>
          <w:sz w:val="17"/>
          <w:szCs w:val="17"/>
          <w:color w:val="auto"/>
        </w:rPr>
      </w:pPr>
    </w:p>
    <w:p>
      <w:pPr>
        <w:ind w:left="1000" w:right="40" w:hanging="540"/>
        <w:spacing w:after="0" w:line="271"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the global economic environment or medical epidemics such as the COVID-19 pandemic; including the restrictions and other actions taken in response to the COVID-19 pandemic, and Kodak’s ability to effectively mitigate or recoup associated increased costs of materials, labor, shipping and operations;</w:t>
      </w:r>
    </w:p>
    <w:p>
      <w:pPr>
        <w:spacing w:after="0" w:line="171" w:lineRule="exact"/>
        <w:rPr>
          <w:rFonts w:ascii="Arial" w:cs="Arial" w:eastAsia="Arial" w:hAnsi="Arial"/>
          <w:sz w:val="17"/>
          <w:szCs w:val="17"/>
          <w:color w:val="auto"/>
        </w:rPr>
      </w:pPr>
    </w:p>
    <w:p>
      <w:pPr>
        <w:ind w:left="1000" w:right="340" w:hanging="540"/>
        <w:spacing w:after="0" w:line="295"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impact of the investigations, litigation and claims arising out of the circumstances surrounding the announcement on July 28, 2020, by the U.S. International Development Finance Corporation of the signing of a non-binding letter of interest to provide a subsidiary of Kodak with a potential loan to support the launch of an initiative for the manufacture of pharmaceutical ingredients for essential generic drugs;</w:t>
      </w:r>
    </w:p>
    <w:p>
      <w:pPr>
        <w:spacing w:after="0" w:line="155" w:lineRule="exact"/>
        <w:rPr>
          <w:rFonts w:ascii="Arial" w:cs="Arial" w:eastAsia="Arial" w:hAnsi="Arial"/>
          <w:sz w:val="16"/>
          <w:szCs w:val="16"/>
          <w:color w:val="auto"/>
        </w:rPr>
      </w:pPr>
    </w:p>
    <w:p>
      <w:pPr>
        <w:ind w:left="1000" w:right="200" w:hanging="540"/>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impacts of the war in Ukraine and the international response thereto on our business and operations, including the cost of and availability of aluminum and other raw materials and components, shipping costs, transit times and energy costs;</w:t>
      </w:r>
    </w:p>
    <w:p>
      <w:pPr>
        <w:spacing w:after="0" w:line="159" w:lineRule="exact"/>
        <w:rPr>
          <w:rFonts w:ascii="Arial" w:cs="Arial" w:eastAsia="Arial" w:hAnsi="Arial"/>
          <w:sz w:val="17"/>
          <w:szCs w:val="17"/>
          <w:color w:val="auto"/>
        </w:rPr>
      </w:pPr>
    </w:p>
    <w:p>
      <w:pPr>
        <w:ind w:left="1000" w:hanging="540"/>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interest rates and tariff rates;</w:t>
      </w:r>
    </w:p>
    <w:p>
      <w:pPr>
        <w:spacing w:after="0" w:line="221" w:lineRule="exact"/>
        <w:rPr>
          <w:rFonts w:ascii="Arial" w:cs="Arial" w:eastAsia="Arial" w:hAnsi="Arial"/>
          <w:sz w:val="17"/>
          <w:szCs w:val="17"/>
          <w:color w:val="auto"/>
        </w:rPr>
      </w:pPr>
    </w:p>
    <w:p>
      <w:pPr>
        <w:jc w:val="both"/>
        <w:ind w:left="1000" w:right="640" w:hanging="540"/>
        <w:spacing w:after="0" w:line="357"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p>
      <w:pPr>
        <w:spacing w:after="0" w:line="7" w:lineRule="exact"/>
        <w:rPr>
          <w:rFonts w:ascii="Arial" w:cs="Arial" w:eastAsia="Arial" w:hAnsi="Arial"/>
          <w:sz w:val="15"/>
          <w:szCs w:val="15"/>
          <w:color w:val="auto"/>
        </w:rPr>
      </w:pPr>
    </w:p>
    <w:p>
      <w:pPr>
        <w:ind w:left="1000" w:hanging="540"/>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Kodak’s ability to effectively compete with large, well-financed industry participants;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ind w:left="1000" w:right="420" w:hanging="540"/>
        <w:spacing w:after="0" w:line="31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Continued sufficient availability of borrowings and letters of credit under the Amended ABL Credit Agreement and L/C Facility Agreement, Kodak’s ability to obtain additional financing if and as needed and Kodak’s ability to provide or facilitate financing for its customers;</w:t>
      </w:r>
    </w:p>
    <w:p>
      <w:pPr>
        <w:spacing w:after="0" w:line="31" w:lineRule="exact"/>
        <w:rPr>
          <w:rFonts w:ascii="Arial" w:cs="Arial" w:eastAsia="Arial" w:hAnsi="Arial"/>
          <w:sz w:val="16"/>
          <w:szCs w:val="16"/>
          <w:color w:val="auto"/>
        </w:rPr>
      </w:pPr>
    </w:p>
    <w:p>
      <w:pPr>
        <w:ind w:left="1000" w:right="420" w:hanging="540"/>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Kodak’s ability to effect strategic transactions, such as acquisitions, strategic alliances, divestitures and similar transactions, or to achieve the benefits sought to be achieved from such strategic transactions; and</w:t>
      </w:r>
    </w:p>
    <w:p>
      <w:pPr>
        <w:spacing w:after="0" w:line="55" w:lineRule="exact"/>
        <w:rPr>
          <w:rFonts w:ascii="Arial" w:cs="Arial" w:eastAsia="Arial" w:hAnsi="Arial"/>
          <w:sz w:val="17"/>
          <w:szCs w:val="17"/>
          <w:color w:val="auto"/>
        </w:rPr>
      </w:pPr>
    </w:p>
    <w:p>
      <w:pPr>
        <w:ind w:left="1000" w:right="720" w:hanging="540"/>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impact of force majeure events, cyber-attacks or other data security incidents that could disrupt or otherwise harm Kodak’s operations.</w:t>
      </w:r>
    </w:p>
    <w:p>
      <w:pPr>
        <w:spacing w:after="0" w:line="55"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Future events and other factors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The following Management’s Discussion and Analysis provides a historical and prospective narrative on the Company’s financial condition and results of operations for the year ended December 31, 2021 as compared to the year ended December 31, 2020. The discussion of the Company’s financial condition and results of operations for the year ended December 31, 2020 compared to the same period in 2019 is included in Part II, Item 7. Management’s Discussion and Analysis of Financial Condition and Results of Operations (“MD&amp;A”) in the Company’s Annual Report on Form 10–K for the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53"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Kodak experienced a substantial recovery of customer demand and volumes in 2021 when compared to the prior year, which was largely impacted by the COVID-19 pandemic, resulting in revenue growth across all segments. Consolidated revenues in the year ended December 31, 2021 were $1.150 billion, an improvement of $121 million (12%) from 2020. Currency impacted revenue favorably in 2021 compared to 2020 ($16 million).</w:t>
      </w:r>
    </w:p>
    <w:p>
      <w:pPr>
        <w:spacing w:after="0" w:line="18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Traditional Printing’s revenues, which accounted for 57% of Kodak’s total revenues in 2021, improved by $67 million (11%) compared to 2020. Volume for SONORA Process Free Plates improved by 31% compared to the prior year period. Digital Printing revenues improved $8 million (3%) in 2021 with revenues for PROSPER annuities growing by 21% when compared to the prior year period. Advanced Materials and Chemicals revenue improved $40 million (23%) from 2020 to 2021.</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and Other Global Events</w:t>
      </w:r>
      <w:r>
        <w:rPr>
          <w:rFonts w:ascii="Arial" w:cs="Arial" w:eastAsia="Arial" w:hAnsi="Arial"/>
          <w:sz w:val="17"/>
          <w:szCs w:val="17"/>
          <w:b w:val="1"/>
          <w:bCs w:val="1"/>
          <w:i w:val="1"/>
          <w:iCs w:val="1"/>
          <w:color w:val="auto"/>
        </w:rPr>
        <w:t>:</w:t>
      </w:r>
    </w:p>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ongoing global impacts associated with the COVID-19 pandemic and other global events continue to impact Kodak’s operations. Kodak is experiencing supply chain disruptions, shortages in materials and labor, and increased labor, material and distribution costs. Kodak has implemented numerous measures to mitigate these challenges, including increasing safety stock on certain sole-sourced materials, increasing lead-times, providing suppliers with longer forecasts of future demand and certifying additional sources or substitute materials where possible. While Kodak has been able to meet current demand and has implemented numerous measures to mitigate these challenges, the full impact of the COVID-19 pandemic on Kodak’s operations and financial performance remains uncertain and will depend on the duration of the COVID-19 pandemic, including vaccination coverage, infection rates, as well as other factors such as the duration of supply chain disruptions and the ability to secure raw materials and components.</w:t>
      </w:r>
    </w:p>
    <w:p>
      <w:pPr>
        <w:spacing w:after="0" w:line="1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 continues to work closely with government and health officials in the jurisdictions where it operates to protect employees worldwide, with particular measures in place for those working in plants and distribution facilities. The manufacturing facilities are operating at close to normal capacity. None of Kodak’s manufacturing facilities were ordered to close by governmental authorities.</w:t>
      </w:r>
    </w:p>
    <w:p>
      <w:pPr>
        <w:spacing w:after="0" w:line="19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response to the COVID-19 pandemic in 2020, Kodak reduced operating costs, largely beginning in the second quarter of 2020, through the use of temporary furloughs, pay cuts (approximately $25 million in 2020) for its employees and direct government assistance around the world reimbursing certain salary and benefits of employees (approximately $8 million in 2020). The furloughs and pay cuts were maintained throughout 2020 and largely ended in January 2021. The direct government assistance largely ended at the end of 2020.</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31" w:name="page32"/>
    <w:bookmarkEnd w:id="31"/>
    <w:p>
      <w:pPr>
        <w:ind w:right="40"/>
        <w:spacing w:after="0" w:line="266" w:lineRule="auto"/>
        <w:rPr>
          <w:sz w:val="20"/>
          <w:szCs w:val="20"/>
          <w:color w:val="auto"/>
        </w:rPr>
      </w:pPr>
      <w:r>
        <w:rPr>
          <w:rFonts w:ascii="Arial" w:cs="Arial" w:eastAsia="Arial" w:hAnsi="Arial"/>
          <w:sz w:val="17"/>
          <w:szCs w:val="17"/>
          <w:color w:val="auto"/>
        </w:rPr>
        <w:t>Many of the customers within the Traditional Printing and Digital Printing segments continued to operate during the COVID-19 pandemic but at decreased volumes. Manufacturing volumes were reduced, primarily in 2020, in response to the decline in customer demand, but saw some recovery of volumes starting in the later part of 2020 and continued improvement in customer demand during 2021. However, certain markets in the printing industry are expected to take longer to recover to pre-pandemic levels which makes the duration and extent of demand declines uncertain.</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Kodak is monitoring the rapidly evolving events surrounding the war in Ukraine. As the worldwide supply of aluminum and electronic components is expected to decrease as suppliers divert from Russian sources, this may further constrain Kodak’s ability to secure these materials directly from the Company’s suppliers and Kodak may face increased costs and manufacturing and shipping delays. Kodak is anticipating increased costs for energy and transportation as a result of the conflict. While the operations of Kodak’s Russian subsidiary are not material to the Company’s financial statements (less than 1% of total consolidated revenues for 2021), the military conflict in Ukraine and the international response has disrupted Kodak’s ability to operate the Russian subsidiary in the ordinary course, affecting its ability to pay vendors and employees, receive amounts owed from customers in Russia and deliver product. The extent to which the military conflict in Ukraine will impact the global economy and Kodak’s business and operations remains uncertain.</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Both the Traditional Printing and Digital Printing segments have been impacted by supply chain disruptions, travel restrictions, higher raw material costs and increased labor costs. To mitigate the impact of higher aluminum, energy and packaging costs, Traditional Printing segment implemented surcharges on purchases of plates largely beginning in the latter part of the second quarter of 2021 that continue to be periodically reviewed and adjusted accordingly. Both segments have implemented numerous measures to mitigate the supply chain disruptions while meeting current demand, but Kodak expects the ability to continue to secure raw materials and components, and the ability to offset higher raw material costs through surcharges for the Traditional Printing segment, will remain a challenge throughout 2022.</w:t>
      </w: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Advanced Materials and Chemicals segment experienced adverse impacts from the COVID-19 pandemic in 2020, most notably in Motion Picture, where the industry was heavily impacted and productions in affected regions were suspended. Each of the segment’s product lines was impacted by lowered demand and travel restrictions. The segment saw a recovery of customer demand starting in the later part of 2020 for Motion Picture film and other Advanced Materials and Chemicals product lines, which continued in 2021 with volume improvements compared with the prior year period. Advanced Materials and Chemicals has experienced supply chain disruptions and shortages associated with raw materials as well as labor shortages in certain manufacturing areas. The segment has implemented numerous measures to mitigate these challenges while meeting current demand, however, the duration and extent of supply chain disruptions and labor shortages remain unclear.</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 and Strategy</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Segments within the print industry and the film industry face competition from digital substitution. Kodak’s strategy is to:</w:t>
      </w:r>
    </w:p>
    <w:p>
      <w:pPr>
        <w:spacing w:after="0" w:line="117" w:lineRule="exact"/>
        <w:rPr>
          <w:sz w:val="20"/>
          <w:szCs w:val="20"/>
          <w:color w:val="auto"/>
        </w:rPr>
      </w:pPr>
    </w:p>
    <w:p>
      <w:pPr>
        <w:ind w:left="740" w:right="20" w:hanging="371"/>
        <w:spacing w:after="0" w:line="319"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Focus product investment in core competency areas of print, advanced materials and chemicals, leveraging Kodak’s proprietary technologies to deliver technologically advanced products in the product goods packaging, graphic communications and functional printing markets;</w:t>
      </w:r>
    </w:p>
    <w:p>
      <w:pPr>
        <w:spacing w:after="0" w:line="31" w:lineRule="exact"/>
        <w:rPr>
          <w:rFonts w:ascii="Arial" w:cs="Arial" w:eastAsia="Arial" w:hAnsi="Arial"/>
          <w:sz w:val="16"/>
          <w:szCs w:val="16"/>
          <w:color w:val="auto"/>
        </w:rPr>
      </w:pPr>
    </w:p>
    <w:p>
      <w:pPr>
        <w:ind w:left="740" w:hanging="371"/>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Grow revenues through a focus on customers across Kodak’s print divisions, increasing overall share and profitability;</w:t>
      </w:r>
    </w:p>
    <w:p>
      <w:pPr>
        <w:spacing w:after="0" w:line="117" w:lineRule="exact"/>
        <w:rPr>
          <w:rFonts w:ascii="Arial" w:cs="Arial" w:eastAsia="Arial" w:hAnsi="Arial"/>
          <w:sz w:val="17"/>
          <w:szCs w:val="17"/>
          <w:color w:val="auto"/>
        </w:rPr>
      </w:pPr>
    </w:p>
    <w:p>
      <w:pPr>
        <w:ind w:left="740" w:hanging="371"/>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Promote the use of film and expand the applications of Kodak’s film and chemicals to best utilize the existing infrastructure; and</w:t>
      </w:r>
    </w:p>
    <w:p>
      <w:pPr>
        <w:spacing w:after="0" w:line="117" w:lineRule="exact"/>
        <w:rPr>
          <w:rFonts w:ascii="Arial" w:cs="Arial" w:eastAsia="Arial" w:hAnsi="Arial"/>
          <w:sz w:val="17"/>
          <w:szCs w:val="17"/>
          <w:color w:val="auto"/>
        </w:rPr>
      </w:pPr>
    </w:p>
    <w:p>
      <w:pPr>
        <w:ind w:left="740" w:hanging="371"/>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 to streamline processes to drive cost reductions and improve operating leverage.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opportunities and challenges related to Kodak’s strategy follows:</w:t>
      </w:r>
    </w:p>
    <w:p>
      <w:pPr>
        <w:spacing w:after="0" w:line="247" w:lineRule="exact"/>
        <w:rPr>
          <w:sz w:val="20"/>
          <w:szCs w:val="20"/>
          <w:color w:val="auto"/>
        </w:rPr>
      </w:pPr>
    </w:p>
    <w:p>
      <w:pPr>
        <w:ind w:left="740" w:right="40" w:hanging="371"/>
        <w:spacing w:after="0" w:line="260"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is intended to save time and costs for customers. Also, SONORA Process Free Plates reduce the environmental impact of the printing process because they eliminate the use of chemicals (including solvents), water and power that is otherwise required to process a traditional plate. The segment is experiencing challenges from higher prices and availability of raw materials,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long-term market dynamics on pricing and volume pressures through innovations in Kodak product lines.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ind w:left="740" w:right="60" w:hanging="371"/>
        <w:spacing w:after="0" w:line="262"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Digital Printing, the PROSPER business is expected to grow as the legacy VERSAMARK business continues to decline as a percentage of the segment’s total revenue. The Prosper Inkjet Systems business is expected to continue to build profitability, excluding the negative impacts during the COVID-19 pandemic. Investment in the next generation technology, Ultrastream, is focused on the ability to place Ultrastream writing systems in Kodak branded presses and in various original equipment manufacturers in applications ranging from commercial print to packaging. The Electrophotographic Printing Solutions business expects to introduce a new printer in 2022, ASCEND, aimed at the retail, point of purchase and packaging markets.</w:t>
      </w:r>
    </w:p>
    <w:p>
      <w:pPr>
        <w:spacing w:after="0" w:line="204" w:lineRule="exact"/>
        <w:rPr>
          <w:rFonts w:ascii="Arial" w:cs="Arial" w:eastAsia="Arial" w:hAnsi="Arial"/>
          <w:sz w:val="17"/>
          <w:szCs w:val="17"/>
          <w:color w:val="auto"/>
        </w:rPr>
      </w:pPr>
    </w:p>
    <w:p>
      <w:pPr>
        <w:ind w:left="740" w:right="160" w:hanging="371"/>
        <w:spacing w:after="0" w:line="286"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Film and related component manufacturing operations and Kodak Research Laboratories utilize capacity at Eastman Business Park (“EBP”), which helps cost absorption for both Kodak operations and tenants at Eastman Business Park.</w:t>
      </w:r>
    </w:p>
    <w:p>
      <w:pPr>
        <w:spacing w:after="0" w:line="185" w:lineRule="exact"/>
        <w:rPr>
          <w:rFonts w:ascii="Arial" w:cs="Arial" w:eastAsia="Arial" w:hAnsi="Arial"/>
          <w:sz w:val="17"/>
          <w:szCs w:val="17"/>
          <w:color w:val="auto"/>
        </w:rPr>
      </w:pPr>
    </w:p>
    <w:p>
      <w:pPr>
        <w:ind w:left="740" w:right="340" w:hanging="371"/>
        <w:spacing w:after="0" w:line="286"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 plans to capitalize on its intellectual property through new business or licensing opportunities, focusing on opportunities in smart material applications and printed electronics markets and also pursuing certain opportunities in 3D printing materials.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Materials and Chemicals Growth Initiatives Opportunities</w:t>
      </w:r>
      <w:r>
        <w:rPr>
          <w:rFonts w:ascii="Arial" w:cs="Arial" w:eastAsia="Arial" w:hAnsi="Arial"/>
          <w:sz w:val="17"/>
          <w:szCs w:val="17"/>
          <w:color w:val="auto"/>
        </w:rPr>
        <w:t>:</w:t>
      </w: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Based on Kodak’s deep expertise in chemistry and strengths in deposition and coating processes that come from decades of experience in film manufacturing, Kodak is working on new initiatives within the Advanced Materials and Chemicals segment.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Electric Vehicle (“EV”)/Energy Storage Battery Material Manufacturing</w:t>
      </w:r>
    </w:p>
    <w:p>
      <w:pPr>
        <w:spacing w:after="0" w:line="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Coating of substrates is a critical aspect of manufacturing materials for batteries and Kodak plans to capitalize on its expertise in coating technology to develop opportunities in this area.</w:t>
      </w:r>
    </w:p>
    <w:p>
      <w:pPr>
        <w:spacing w:after="0" w:line="197" w:lineRule="exact"/>
        <w:rPr>
          <w:sz w:val="20"/>
          <w:szCs w:val="20"/>
          <w:color w:val="auto"/>
        </w:rPr>
      </w:pPr>
    </w:p>
    <w:p>
      <w:pPr>
        <w:ind w:left="740" w:hanging="371"/>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Current activity:</w:t>
      </w:r>
    </w:p>
    <w:p>
      <w:pPr>
        <w:spacing w:after="0" w:line="247" w:lineRule="exact"/>
        <w:rPr>
          <w:rFonts w:ascii="Arial" w:cs="Arial" w:eastAsia="Arial" w:hAnsi="Arial"/>
          <w:sz w:val="17"/>
          <w:szCs w:val="17"/>
          <w:color w:val="auto"/>
        </w:rPr>
      </w:pPr>
    </w:p>
    <w:p>
      <w:pPr>
        <w:ind w:left="1120" w:right="40" w:hanging="365"/>
        <w:spacing w:after="0" w:line="338" w:lineRule="auto"/>
        <w:rPr>
          <w:rFonts w:ascii="Arial" w:cs="Arial" w:eastAsia="Arial" w:hAnsi="Arial"/>
          <w:sz w:val="17"/>
          <w:szCs w:val="17"/>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Over the past several years, Kodak has been using its pilot coating facility to work with battery developers to coat their materials on substrates</w:t>
      </w:r>
      <w:r>
        <w:rPr>
          <w:rFonts w:ascii="Courier New" w:cs="Courier New" w:eastAsia="Courier New" w:hAnsi="Courier New"/>
          <w:sz w:val="15"/>
          <w:szCs w:val="15"/>
          <w:color w:val="auto"/>
        </w:rPr>
        <w:t xml:space="preserve"> </w:t>
      </w:r>
      <w:r>
        <w:rPr>
          <w:rFonts w:ascii="Arial" w:cs="Arial" w:eastAsia="Arial" w:hAnsi="Arial"/>
          <w:sz w:val="15"/>
          <w:szCs w:val="15"/>
          <w:color w:val="auto"/>
        </w:rPr>
        <w:t>for EV/energy storage batteries and fuel cells. Based on potential commercial opportunities, Kodak is assessing full-scale production feasibility.</w:t>
      </w:r>
    </w:p>
    <w:p>
      <w:pPr>
        <w:spacing w:after="0" w:line="146" w:lineRule="exact"/>
        <w:rPr>
          <w:rFonts w:ascii="Arial" w:cs="Arial" w:eastAsia="Arial" w:hAnsi="Arial"/>
          <w:sz w:val="17"/>
          <w:szCs w:val="17"/>
          <w:color w:val="auto"/>
        </w:rPr>
      </w:pPr>
    </w:p>
    <w:p>
      <w:pPr>
        <w:ind w:left="1120" w:hanging="365"/>
        <w:spacing w:after="0" w:line="253"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More recently, Kodak has been working with a battery manufacturer to repurpose a full-scale production coating machine to manufacture coated</w:t>
      </w:r>
      <w:r>
        <w:rPr>
          <w:rFonts w:ascii="Courier New" w:cs="Courier New" w:eastAsia="Courier New" w:hAnsi="Courier New"/>
          <w:sz w:val="17"/>
          <w:szCs w:val="17"/>
          <w:color w:val="auto"/>
        </w:rPr>
        <w:t xml:space="preserve"> </w:t>
      </w:r>
      <w:r>
        <w:rPr>
          <w:rFonts w:ascii="Arial" w:cs="Arial" w:eastAsia="Arial" w:hAnsi="Arial"/>
          <w:sz w:val="17"/>
          <w:szCs w:val="17"/>
          <w:color w:val="auto"/>
        </w:rPr>
        <w:t>substrates for cathode and anode assembly in the EV/energy storage battery market. Kodak has begun providing coated material to this manufacturer from initial production and is in the process of increasing production levels. The maximum capacity of the repurposed coating machine in its current configuration is up to 80 million square meters per year.</w:t>
      </w:r>
    </w:p>
    <w:p>
      <w:pPr>
        <w:spacing w:after="0" w:line="185" w:lineRule="exact"/>
        <w:rPr>
          <w:rFonts w:ascii="Arial" w:cs="Arial" w:eastAsia="Arial" w:hAnsi="Arial"/>
          <w:sz w:val="17"/>
          <w:szCs w:val="17"/>
          <w:color w:val="auto"/>
        </w:rPr>
      </w:pPr>
    </w:p>
    <w:p>
      <w:pPr>
        <w:ind w:left="740" w:hanging="371"/>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Additional opportunities:</w:t>
      </w:r>
    </w:p>
    <w:p>
      <w:pPr>
        <w:spacing w:after="0" w:line="247" w:lineRule="exact"/>
        <w:rPr>
          <w:rFonts w:ascii="Arial" w:cs="Arial" w:eastAsia="Arial" w:hAnsi="Arial"/>
          <w:sz w:val="17"/>
          <w:szCs w:val="17"/>
          <w:color w:val="auto"/>
        </w:rPr>
      </w:pPr>
    </w:p>
    <w:p>
      <w:pPr>
        <w:ind w:left="1120" w:hanging="365"/>
        <w:spacing w:after="0" w:line="253"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Kodak will continue to explore opportunities to apply its extensive coating expertise to produce U.S.-manufactured components for battery</w:t>
      </w:r>
      <w:r>
        <w:rPr>
          <w:rFonts w:ascii="Courier New" w:cs="Courier New" w:eastAsia="Courier New" w:hAnsi="Courier New"/>
          <w:sz w:val="17"/>
          <w:szCs w:val="17"/>
          <w:color w:val="auto"/>
        </w:rPr>
        <w:t xml:space="preserve"> </w:t>
      </w:r>
      <w:r>
        <w:rPr>
          <w:rFonts w:ascii="Arial" w:cs="Arial" w:eastAsia="Arial" w:hAnsi="Arial"/>
          <w:sz w:val="17"/>
          <w:szCs w:val="17"/>
          <w:color w:val="auto"/>
        </w:rPr>
        <w:t>assembly through potential investments in and strategic relationships with battery companies and the potential acquisition or licensing of battery technology. However, material expansion of Kodak’s battery-related business would require material capital improvements to install additional full-scale production coating machines.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Light-Blocking Technology</w:t>
      </w:r>
    </w:p>
    <w:p>
      <w:pPr>
        <w:spacing w:after="0" w:line="25"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Kodak plans to leverage a proprietary technology initially developed for electrophotographic toners to commercialize a carbon-less fabric coating designed to offer superior light management, from complete blackout to selective light filtering, and coating compatibility with an unmatched range of fabrics.</w:t>
      </w:r>
    </w:p>
    <w:p>
      <w:pPr>
        <w:spacing w:after="0" w:line="174" w:lineRule="exact"/>
        <w:rPr>
          <w:sz w:val="20"/>
          <w:szCs w:val="20"/>
          <w:color w:val="auto"/>
        </w:rPr>
      </w:pPr>
    </w:p>
    <w:p>
      <w:pPr>
        <w:ind w:left="740" w:hanging="371"/>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Current activity:</w:t>
      </w:r>
    </w:p>
    <w:p>
      <w:pPr>
        <w:spacing w:after="0" w:line="247" w:lineRule="exact"/>
        <w:rPr>
          <w:rFonts w:ascii="Arial" w:cs="Arial" w:eastAsia="Arial" w:hAnsi="Arial"/>
          <w:sz w:val="17"/>
          <w:szCs w:val="17"/>
          <w:color w:val="auto"/>
        </w:rPr>
      </w:pPr>
    </w:p>
    <w:p>
      <w:pPr>
        <w:ind w:left="1120" w:right="540" w:hanging="365"/>
        <w:spacing w:after="0" w:line="249"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Kodak has successfully developed and tested a product branded KODALUX for blinds and drapery coating applications. There has been</w:t>
      </w:r>
      <w:r>
        <w:rPr>
          <w:rFonts w:ascii="Courier New" w:cs="Courier New" w:eastAsia="Courier New" w:hAnsi="Courier New"/>
          <w:sz w:val="17"/>
          <w:szCs w:val="17"/>
          <w:color w:val="auto"/>
        </w:rPr>
        <w:t xml:space="preserve"> </w:t>
      </w:r>
      <w:r>
        <w:rPr>
          <w:rFonts w:ascii="Arial" w:cs="Arial" w:eastAsia="Arial" w:hAnsi="Arial"/>
          <w:sz w:val="17"/>
          <w:szCs w:val="17"/>
          <w:color w:val="auto"/>
        </w:rPr>
        <w:t>significant interest in the KODALUX product from major hospitality businesses.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570" w:right="439" w:bottom="1440" w:gutter="0" w:footer="0" w:header="0"/>
        </w:sectPr>
      </w:pPr>
    </w:p>
    <w:bookmarkStart w:id="33" w:name="page34"/>
    <w:bookmarkEnd w:id="33"/>
    <w:p>
      <w:pPr>
        <w:ind w:left="1120" w:right="180" w:hanging="373"/>
        <w:spacing w:after="0" w:line="268" w:lineRule="auto"/>
        <w:tabs>
          <w:tab w:leader="none" w:pos="1120" w:val="left"/>
        </w:tabs>
        <w:numPr>
          <w:ilvl w:val="0"/>
          <w:numId w:val="23"/>
        </w:numPr>
        <w:rPr>
          <w:rFonts w:ascii="Courier New" w:cs="Courier New" w:eastAsia="Courier New" w:hAnsi="Courier New"/>
          <w:sz w:val="17"/>
          <w:szCs w:val="17"/>
          <w:color w:val="auto"/>
        </w:rPr>
      </w:pPr>
      <w:r>
        <w:rPr>
          <w:rFonts w:ascii="Arial" w:cs="Arial" w:eastAsia="Arial" w:hAnsi="Arial"/>
          <w:sz w:val="17"/>
          <w:szCs w:val="17"/>
          <w:color w:val="auto"/>
        </w:rPr>
        <w:t>Kodak is completing the installation and commissioning of its proprietary fabric coating plant in Eastman Business Park, located in Rochester, NY. Kodak expects the coating facility to come online and start supplying product in the second half of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Transparent Antennas</w:t>
      </w:r>
    </w:p>
    <w:p>
      <w:pPr>
        <w:spacing w:after="0" w:line="2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w:t>
      </w:r>
    </w:p>
    <w:p>
      <w:pPr>
        <w:spacing w:after="0" w:line="205" w:lineRule="exact"/>
        <w:rPr>
          <w:sz w:val="20"/>
          <w:szCs w:val="20"/>
          <w:color w:val="auto"/>
        </w:rPr>
      </w:pPr>
    </w:p>
    <w:p>
      <w:pPr>
        <w:ind w:left="740" w:hanging="371"/>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Current activity:</w:t>
      </w:r>
    </w:p>
    <w:p>
      <w:pPr>
        <w:spacing w:after="0" w:line="247" w:lineRule="exact"/>
        <w:rPr>
          <w:rFonts w:ascii="Arial" w:cs="Arial" w:eastAsia="Arial" w:hAnsi="Arial"/>
          <w:sz w:val="17"/>
          <w:szCs w:val="17"/>
          <w:color w:val="auto"/>
        </w:rPr>
      </w:pPr>
    </w:p>
    <w:p>
      <w:pPr>
        <w:ind w:left="740" w:right="60"/>
        <w:spacing w:after="0" w:line="504"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Kodak is working with multiple customers in several market segments at different stages of the commercialization process for antenna products.</w:t>
      </w:r>
      <w:r>
        <w:rPr>
          <w:rFonts w:ascii="Courier New" w:cs="Courier New" w:eastAsia="Courier New" w:hAnsi="Courier New"/>
          <w:sz w:val="17"/>
          <w:szCs w:val="17"/>
          <w:color w:val="auto"/>
        </w:rPr>
        <w:t xml:space="preserve"> o </w:t>
      </w:r>
      <w:r>
        <w:rPr>
          <w:rFonts w:ascii="Arial" w:cs="Arial" w:eastAsia="Arial" w:hAnsi="Arial"/>
          <w:sz w:val="17"/>
          <w:szCs w:val="17"/>
          <w:color w:val="auto"/>
        </w:rPr>
        <w:t>Kodak is making a modest investment in manufacturing infrastructure in 2022 to meet the needs of RF antenna customers.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Reagent Manufacturing</w:t>
      </w:r>
    </w:p>
    <w:p>
      <w:pPr>
        <w:spacing w:after="0" w:line="25" w:lineRule="exact"/>
        <w:rPr>
          <w:sz w:val="20"/>
          <w:szCs w:val="20"/>
          <w:color w:val="auto"/>
        </w:rPr>
      </w:pPr>
    </w:p>
    <w:p>
      <w:pPr>
        <w:ind w:right="1020"/>
        <w:spacing w:after="0" w:line="271" w:lineRule="auto"/>
        <w:rPr>
          <w:sz w:val="20"/>
          <w:szCs w:val="20"/>
          <w:color w:val="auto"/>
        </w:rPr>
      </w:pPr>
      <w:r>
        <w:rPr>
          <w:rFonts w:ascii="Arial" w:cs="Arial" w:eastAsia="Arial" w:hAnsi="Arial"/>
          <w:sz w:val="17"/>
          <w:szCs w:val="17"/>
          <w:color w:val="auto"/>
        </w:rPr>
        <w:t>Kodak plans to capitalize on its existing chemical manufacturing expertise, including current production of unregulated Key Starting Materials for pharmaceuticals, to implement an expansion into manufacturing Diagnostic Test Reagent solutions.</w:t>
      </w:r>
    </w:p>
    <w:p>
      <w:pPr>
        <w:spacing w:after="0" w:line="197" w:lineRule="exact"/>
        <w:rPr>
          <w:sz w:val="20"/>
          <w:szCs w:val="20"/>
          <w:color w:val="auto"/>
        </w:rPr>
      </w:pPr>
    </w:p>
    <w:p>
      <w:pPr>
        <w:ind w:left="740" w:hanging="371"/>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Current activity</w:t>
      </w:r>
    </w:p>
    <w:p>
      <w:pPr>
        <w:spacing w:after="0" w:line="247" w:lineRule="exact"/>
        <w:rPr>
          <w:sz w:val="20"/>
          <w:szCs w:val="20"/>
          <w:color w:val="auto"/>
        </w:rPr>
      </w:pPr>
    </w:p>
    <w:p>
      <w:pPr>
        <w:ind w:left="1200" w:right="160" w:hanging="362"/>
        <w:spacing w:after="0" w:line="268" w:lineRule="auto"/>
        <w:tabs>
          <w:tab w:leader="none" w:pos="1200" w:val="left"/>
        </w:tabs>
        <w:numPr>
          <w:ilvl w:val="0"/>
          <w:numId w:val="26"/>
        </w:numPr>
        <w:rPr>
          <w:rFonts w:ascii="Courier New" w:cs="Courier New" w:eastAsia="Courier New" w:hAnsi="Courier New"/>
          <w:sz w:val="17"/>
          <w:szCs w:val="17"/>
          <w:color w:val="auto"/>
        </w:rPr>
      </w:pPr>
      <w:r>
        <w:rPr>
          <w:rFonts w:ascii="Arial" w:cs="Arial" w:eastAsia="Arial" w:hAnsi="Arial"/>
          <w:sz w:val="17"/>
          <w:szCs w:val="17"/>
          <w:color w:val="auto"/>
        </w:rPr>
        <w:t>Kodak is in the early stages of developing a test reagent manufacturing facility for producing reagents used in laboratory tests. Renovation to convert an existing clean room to a Current Good Manufacturing Practices (“cGMP”) facility is underway.</w:t>
      </w:r>
    </w:p>
    <w:p>
      <w:pPr>
        <w:spacing w:after="0" w:line="171" w:lineRule="exact"/>
        <w:rPr>
          <w:rFonts w:ascii="Courier New" w:cs="Courier New" w:eastAsia="Courier New" w:hAnsi="Courier New"/>
          <w:sz w:val="17"/>
          <w:szCs w:val="17"/>
          <w:color w:val="auto"/>
        </w:rPr>
      </w:pPr>
    </w:p>
    <w:p>
      <w:pPr>
        <w:ind w:left="1200" w:right="160" w:hanging="362"/>
        <w:spacing w:after="0" w:line="261" w:lineRule="auto"/>
        <w:tabs>
          <w:tab w:leader="none" w:pos="1200" w:val="left"/>
        </w:tabs>
        <w:numPr>
          <w:ilvl w:val="0"/>
          <w:numId w:val="26"/>
        </w:numPr>
        <w:rPr>
          <w:rFonts w:ascii="Courier New" w:cs="Courier New" w:eastAsia="Courier New" w:hAnsi="Courier New"/>
          <w:sz w:val="17"/>
          <w:szCs w:val="17"/>
          <w:color w:val="auto"/>
        </w:rPr>
      </w:pPr>
      <w:r>
        <w:rPr>
          <w:rFonts w:ascii="Arial" w:cs="Arial" w:eastAsia="Arial" w:hAnsi="Arial"/>
          <w:sz w:val="17"/>
          <w:szCs w:val="17"/>
          <w:color w:val="auto"/>
        </w:rPr>
        <w:t>Kodak’s initial objective is to enter the domestic Balanced Buffer market due to the domestic supply chain crisis and regulatory requirements. Once the Kodak cGMP facility is operational, it will provide a pathway for Kodak to manufacture limited volumes of a variety of regulated chemicals and materials for pharmaceutical/healthcare applications.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540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Year Ended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1"/>
              </w:rPr>
              <w:t>Year Ended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December 31,</w:t>
            </w:r>
          </w:p>
        </w:tc>
        <w:tc>
          <w:tcPr>
            <w:tcW w:w="10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 of</w:t>
            </w: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December 31,</w:t>
            </w:r>
          </w:p>
        </w:tc>
        <w:tc>
          <w:tcPr>
            <w:tcW w:w="1060" w:type="dxa"/>
            <w:vAlign w:val="bottom"/>
            <w:gridSpan w:val="2"/>
          </w:tcPr>
          <w:p>
            <w:pPr>
              <w:ind w:left="180"/>
              <w:spacing w:after="0"/>
              <w:rPr>
                <w:sz w:val="20"/>
                <w:szCs w:val="20"/>
                <w:color w:val="auto"/>
              </w:rPr>
            </w:pPr>
            <w:r>
              <w:rPr>
                <w:rFonts w:ascii="Arial" w:cs="Arial" w:eastAsia="Arial" w:hAnsi="Arial"/>
                <w:sz w:val="17"/>
                <w:szCs w:val="17"/>
                <w:b w:val="1"/>
                <w:bCs w:val="1"/>
                <w:color w:val="auto"/>
              </w:rPr>
              <w:t>% of</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0"/>
              </w:rPr>
              <w:t>Change vs.</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Sales</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Sales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1,029</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177</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172</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income, net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(14)</w:t>
            </w: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Arial" w:cs="Arial" w:eastAsia="Arial" w:hAnsi="Arial"/>
                <w:sz w:val="17"/>
                <w:szCs w:val="17"/>
                <w:color w:val="auto"/>
              </w:rPr>
              <w:t>Loss from continuing operations before interest expense,</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140"/>
              <w:spacing w:after="0"/>
              <w:rPr>
                <w:sz w:val="20"/>
                <w:szCs w:val="20"/>
                <w:color w:val="auto"/>
              </w:rPr>
            </w:pPr>
            <w:r>
              <w:rPr>
                <w:rFonts w:ascii="Arial" w:cs="Arial" w:eastAsia="Arial" w:hAnsi="Arial"/>
                <w:sz w:val="17"/>
                <w:szCs w:val="17"/>
                <w:color w:val="auto"/>
              </w:rPr>
              <w:t>pension income excluding service cost component,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140"/>
              <w:spacing w:after="0"/>
              <w:rPr>
                <w:sz w:val="20"/>
                <w:szCs w:val="20"/>
                <w:color w:val="auto"/>
              </w:rPr>
            </w:pPr>
            <w:r>
              <w:rPr>
                <w:rFonts w:ascii="Arial" w:cs="Arial" w:eastAsia="Arial" w:hAnsi="Arial"/>
                <w:sz w:val="17"/>
                <w:szCs w:val="17"/>
                <w:color w:val="auto"/>
              </w:rPr>
              <w:t>loss on early extinguishment of debt, other (income)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tcPr>
          <w:p>
            <w:pPr>
              <w:ind w:left="140"/>
              <w:spacing w:after="0"/>
              <w:rPr>
                <w:sz w:val="20"/>
                <w:szCs w:val="20"/>
                <w:color w:val="auto"/>
              </w:rPr>
            </w:pPr>
            <w:r>
              <w:rPr>
                <w:rFonts w:ascii="Arial" w:cs="Arial" w:eastAsia="Arial" w:hAnsi="Arial"/>
                <w:sz w:val="17"/>
                <w:szCs w:val="17"/>
                <w:color w:val="auto"/>
              </w:rPr>
              <w:t>charges, net and income taxes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7"/>
                <w:szCs w:val="17"/>
                <w:color w:val="auto"/>
              </w:rPr>
              <w:t>Pension income excluding service cost component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Loss on early extinguishment of debt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7"/>
                <w:szCs w:val="17"/>
                <w:color w:val="auto"/>
              </w:rPr>
              <w:t>Other (income) charges, net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386</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02"/>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Earnings (loss) from continuing operations before</w:t>
            </w: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(376)</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168</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Earnings (loss) from continuing operations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(544)</w:t>
            </w:r>
          </w:p>
        </w:tc>
        <w:tc>
          <w:tcPr>
            <w:tcW w:w="106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7"/>
                <w:szCs w:val="17"/>
                <w:color w:val="auto"/>
              </w:rPr>
              <w:t>Earnings from discontinued operations, net of income taxes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(541)</w:t>
            </w:r>
          </w:p>
        </w:tc>
        <w:tc>
          <w:tcPr>
            <w:tcW w:w="106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31"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For the year ended December 31, 2021, revenues improved approximately $121 million compared with the same period in 2020. Volume increases within Traditional Printing ($49 million), Advanced Materials and Chemicals ($29 million), Digital Printing ($5 million), Brand ($2 million) and Other ($4 million), improved pricing in Advanced Materials and Chemicals ($9 million) and Traditional Printing ($7 million), and favorable foreign currency ($16 million) drove the revenue improvement. See segment discussions for additional details.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Gross profit for 2021 improved approximately $29 million compared with the same period in 2020, primarily due to increased volume in Advanced Materials and Chemicals and Brand ($10 million and $2 million, respectively), favorable pricing in Traditional Printing and Advanced Materials and Chemicals ($9 million and $8 million, respectively), improved manufacturing costs ($11 million) driven by more favorable cost absorption from improved volume, a decrease in employee benefit reserves ($5 million) and lower depreciation and amortization expenses ($7 million), partially offset by higher aluminum costs ($20 million), volume declines in Digital Printing ($4 million) and unfavorable foreign currency ($2 million). See segment discussions for additional details.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Consolidated SG&amp;A for 2021 increased $5 million driven by higher consulting and other costs in 2021 ($10 million) primarily associated with the internal and external investigations and related litigation that started in the third quarter of 2020 and higher administrative expenses ($6 million) primarily due to savings from temporary furloughs and pay cuts in 2020 ($7 million) that largely ended in January 2021. Offsetting these impacts were lower stock compensation expense recognized in the current year period ($8 million) and a decrease in employee benefit reserves ($2 million). Temporary government assistance programs in 2020 provided a savings of approximately $3 million which did not reoccur in 2021.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R&amp;D expenses decreased $1 million in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These costs, as well as restructuring costs reported in Cost of revenues, are discussed under the "Restructuring Costs and Other" section in this MD&amp;A and Note 18, “Restructuring Costs and Other”.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31" w:lineRule="exact"/>
        <w:rPr>
          <w:sz w:val="20"/>
          <w:szCs w:val="20"/>
          <w:color w:val="auto"/>
        </w:rPr>
      </w:pPr>
    </w:p>
    <w:p>
      <w:pPr>
        <w:ind w:right="660"/>
        <w:spacing w:after="0" w:line="271" w:lineRule="auto"/>
        <w:rPr>
          <w:sz w:val="20"/>
          <w:szCs w:val="20"/>
          <w:color w:val="auto"/>
        </w:rPr>
      </w:pPr>
      <w:r>
        <w:rPr>
          <w:rFonts w:ascii="Arial" w:cs="Arial" w:eastAsia="Arial" w:hAnsi="Arial"/>
          <w:sz w:val="17"/>
          <w:szCs w:val="17"/>
          <w:color w:val="auto"/>
        </w:rPr>
        <w:t>The increase in interest expense in 2021 of $21 million primarily reflects the impact of the financing transactions entered into during the first quarter of 2021. Refer to Note 8, “Debt and Finance Leases”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 (Income) Expense, Net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15, “Other Operating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Charges, Net</w:t>
      </w:r>
    </w:p>
    <w:p>
      <w:pPr>
        <w:spacing w:after="0" w:line="31"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The change in Other (income) charges, net in 2020 was primarily driven by the change in the fair value of the embedded conversion features derivative liability associated with the Convertible Notes issued in 2019 (the “2019 Convertible Notes”) at the time of their conversion due to the volatility of the Company’s stock in the third quarter of 2020. Refer to Note 13, “Financial Instruments” and Note 16, “Other (Income) Charges, Net”.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Income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19,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change in Provision for income taxes for the year ended December 31, 2020 was driven by the $167 million provision associated with the establishment of a valuation allowance on deferred tax assets outside the U.S. in 2020. Refer to Note 17,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4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300" w:type="dxa"/>
            <w:vAlign w:val="bottom"/>
            <w:gridSpan w:val="4"/>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4320" w:type="dxa"/>
            <w:vAlign w:val="bottom"/>
          </w:tcPr>
          <w:p>
            <w:pPr>
              <w:spacing w:after="0"/>
              <w:rPr>
                <w:sz w:val="19"/>
                <w:szCs w:val="19"/>
                <w:color w:val="auto"/>
              </w:rPr>
            </w:pPr>
          </w:p>
        </w:tc>
        <w:tc>
          <w:tcPr>
            <w:tcW w:w="26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2020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Traditional Printing</w:t>
            </w:r>
          </w:p>
        </w:tc>
        <w:tc>
          <w:tcPr>
            <w:tcW w:w="2660" w:type="dxa"/>
            <w:vAlign w:val="bottom"/>
            <w:gridSpan w:val="2"/>
            <w:shd w:val="clear" w:color="auto" w:fill="CFF0FC"/>
          </w:tcPr>
          <w:p>
            <w:pPr>
              <w:jc w:val="right"/>
              <w:ind w:right="63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592</w:t>
            </w:r>
          </w:p>
        </w:tc>
        <w:tc>
          <w:tcPr>
            <w:tcW w:w="8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Digital Printing</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241</w:t>
            </w:r>
          </w:p>
        </w:tc>
        <w:tc>
          <w:tcPr>
            <w:tcW w:w="8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Chemicals</w:t>
            </w:r>
          </w:p>
        </w:tc>
        <w:tc>
          <w:tcPr>
            <w:tcW w:w="1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FF0FC"/>
          </w:tcPr>
          <w:p>
            <w:pPr>
              <w:spacing w:after="0"/>
              <w:rPr>
                <w:sz w:val="19"/>
                <w:szCs w:val="19"/>
                <w:color w:val="auto"/>
              </w:rPr>
            </w:pPr>
          </w:p>
        </w:tc>
      </w:tr>
      <w:tr>
        <w:trPr>
          <w:trHeight w:val="221"/>
        </w:trPr>
        <w:tc>
          <w:tcPr>
            <w:tcW w:w="4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Brand</w:t>
            </w:r>
          </w:p>
        </w:tc>
        <w:tc>
          <w:tcPr>
            <w:tcW w:w="18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FF0FC"/>
            </w:tcBorders>
          </w:tcPr>
          <w:p>
            <w:pPr>
              <w:spacing w:after="0"/>
              <w:rPr>
                <w:sz w:val="19"/>
                <w:szCs w:val="19"/>
                <w:color w:val="auto"/>
              </w:rPr>
            </w:pPr>
          </w:p>
        </w:tc>
      </w:tr>
      <w:tr>
        <w:trPr>
          <w:trHeight w:val="214"/>
        </w:trPr>
        <w:tc>
          <w:tcPr>
            <w:tcW w:w="43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of reportable segments</w:t>
            </w:r>
          </w:p>
        </w:tc>
        <w:tc>
          <w:tcPr>
            <w:tcW w:w="18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1,135</w:t>
            </w:r>
          </w:p>
        </w:tc>
        <w:tc>
          <w:tcPr>
            <w:tcW w:w="22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1,018</w:t>
            </w:r>
          </w:p>
        </w:tc>
        <w:tc>
          <w:tcPr>
            <w:tcW w:w="80" w:type="dxa"/>
            <w:vAlign w:val="bottom"/>
            <w:shd w:val="clear" w:color="auto" w:fill="CFF0FC"/>
          </w:tcPr>
          <w:p>
            <w:pPr>
              <w:spacing w:after="0"/>
              <w:rPr>
                <w:sz w:val="18"/>
                <w:szCs w:val="18"/>
                <w:color w:val="auto"/>
              </w:rPr>
            </w:pPr>
          </w:p>
        </w:tc>
      </w:tr>
      <w:tr>
        <w:trPr>
          <w:trHeight w:val="214"/>
        </w:trPr>
        <w:tc>
          <w:tcPr>
            <w:tcW w:w="4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8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FF0FC"/>
            </w:tcBorders>
          </w:tcPr>
          <w:p>
            <w:pPr>
              <w:spacing w:after="0"/>
              <w:rPr>
                <w:sz w:val="18"/>
                <w:szCs w:val="18"/>
                <w:color w:val="auto"/>
              </w:rPr>
            </w:pPr>
          </w:p>
        </w:tc>
      </w:tr>
      <w:tr>
        <w:trPr>
          <w:trHeight w:val="214"/>
        </w:trPr>
        <w:tc>
          <w:tcPr>
            <w:tcW w:w="43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2660" w:type="dxa"/>
            <w:vAlign w:val="bottom"/>
            <w:gridSpan w:val="2"/>
            <w:shd w:val="clear" w:color="auto" w:fill="CFF0FC"/>
          </w:tcPr>
          <w:p>
            <w:pPr>
              <w:jc w:val="right"/>
              <w:ind w:right="63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1,150</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1,029</w:t>
            </w:r>
          </w:p>
        </w:tc>
        <w:tc>
          <w:tcPr>
            <w:tcW w:w="80" w:type="dxa"/>
            <w:vAlign w:val="bottom"/>
            <w:shd w:val="clear" w:color="auto" w:fill="CFF0FC"/>
          </w:tcPr>
          <w:p>
            <w:pPr>
              <w:spacing w:after="0"/>
              <w:rPr>
                <w:sz w:val="18"/>
                <w:szCs w:val="18"/>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table below, Operational EBITDA represents the earnings (loss) from continuing operations before income taxes excluding non-service cost components of pension and other postemployment benefits income; depreciation and amortization expense; restructuring costs; stock-based compensation expense; consulting and other costs; idle costs; other operating income, net (unless otherwise indicated); interest expense; loss on early extinguishment of debt and other income (charges), net.</w:t>
      </w:r>
    </w:p>
    <w:p>
      <w:pPr>
        <w:spacing w:after="0" w:line="205" w:lineRule="exact"/>
        <w:rPr>
          <w:sz w:val="20"/>
          <w:szCs w:val="20"/>
          <w:color w:val="auto"/>
        </w:rPr>
      </w:pPr>
    </w:p>
    <w:p>
      <w:pPr>
        <w:jc w:val="both"/>
        <w:ind w:right="760"/>
        <w:spacing w:after="0" w:line="323" w:lineRule="auto"/>
        <w:rPr>
          <w:sz w:val="20"/>
          <w:szCs w:val="20"/>
          <w:color w:val="auto"/>
        </w:rPr>
      </w:pPr>
      <w:r>
        <w:rPr>
          <w:rFonts w:ascii="Arial" w:cs="Arial" w:eastAsia="Arial" w:hAnsi="Arial"/>
          <w:sz w:val="15"/>
          <w:szCs w:val="15"/>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Segment Operational EBITDA and Consolidated Income (Loss) from Continuing Operations Before Income Taxes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5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 millions)</w:t>
            </w:r>
          </w:p>
        </w:tc>
        <w:tc>
          <w:tcPr>
            <w:tcW w:w="1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1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Traditional Printing</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8"/>
                <w:szCs w:val="18"/>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Digital Printing</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Chemicals</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w:t>
            </w: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Brand</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costs and other</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w:t>
            </w: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22"/>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14"/>
                <w:szCs w:val="14"/>
                <w:color w:val="auto"/>
              </w:rPr>
              <w:t>(1)</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(2)</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8"/>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income, net, excluding income from</w:t>
            </w: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5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transition services agreement </w:t>
            </w:r>
            <w:r>
              <w:rPr>
                <w:rFonts w:ascii="Arial" w:cs="Arial" w:eastAsia="Arial" w:hAnsi="Arial"/>
                <w:sz w:val="14"/>
                <w:szCs w:val="14"/>
                <w:color w:val="auto"/>
              </w:rPr>
              <w:t>(3)</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(4)</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Pension income excluding service cost component </w:t>
            </w:r>
            <w:r>
              <w:rPr>
                <w:rFonts w:ascii="Arial" w:cs="Arial" w:eastAsia="Arial" w:hAnsi="Arial"/>
                <w:sz w:val="14"/>
                <w:szCs w:val="14"/>
                <w:color w:val="auto"/>
              </w:rPr>
              <w:t>(4)</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FF0FC"/>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 xml:space="preserve">Loss on early extinguishment of debt </w:t>
            </w:r>
            <w:r>
              <w:rPr>
                <w:rFonts w:ascii="Arial" w:cs="Arial" w:eastAsia="Arial" w:hAnsi="Arial"/>
                <w:sz w:val="14"/>
                <w:szCs w:val="14"/>
                <w:color w:val="auto"/>
              </w:rPr>
              <w:t>(4)</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22"/>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income (charges), net </w:t>
            </w:r>
            <w:r>
              <w:rPr>
                <w:rFonts w:ascii="Arial" w:cs="Arial" w:eastAsia="Arial" w:hAnsi="Arial"/>
                <w:sz w:val="14"/>
                <w:szCs w:val="14"/>
                <w:color w:val="auto"/>
              </w:rPr>
              <w:t>(4)</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(386)</w:t>
            </w:r>
          </w:p>
        </w:tc>
      </w:tr>
      <w:tr>
        <w:trPr>
          <w:trHeight w:val="202"/>
        </w:trPr>
        <w:tc>
          <w:tcPr>
            <w:tcW w:w="5420" w:type="dxa"/>
            <w:vAlign w:val="bottom"/>
          </w:tcPr>
          <w:p>
            <w:pPr>
              <w:spacing w:after="0"/>
              <w:rPr>
                <w:sz w:val="20"/>
                <w:szCs w:val="20"/>
                <w:color w:val="auto"/>
              </w:rPr>
            </w:pPr>
            <w:r>
              <w:rPr>
                <w:rFonts w:ascii="Arial" w:cs="Arial" w:eastAsia="Arial" w:hAnsi="Arial"/>
                <w:sz w:val="17"/>
                <w:szCs w:val="17"/>
                <w:color w:val="auto"/>
              </w:rPr>
              <w:t>Consolidated earnings (loss) from continuing operations</w:t>
            </w:r>
          </w:p>
        </w:tc>
        <w:tc>
          <w:tcPr>
            <w:tcW w:w="15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420" w:type="dxa"/>
            <w:vAlign w:val="bottom"/>
          </w:tcPr>
          <w:p>
            <w:pPr>
              <w:ind w:left="120"/>
              <w:spacing w:after="0"/>
              <w:rPr>
                <w:sz w:val="20"/>
                <w:szCs w:val="20"/>
                <w:color w:val="auto"/>
              </w:rPr>
            </w:pPr>
            <w:r>
              <w:rPr>
                <w:rFonts w:ascii="Arial" w:cs="Arial" w:eastAsia="Arial" w:hAnsi="Arial"/>
                <w:sz w:val="17"/>
                <w:szCs w:val="17"/>
                <w:color w:val="auto"/>
              </w:rPr>
              <w:t>before income taxes</w:t>
            </w:r>
          </w:p>
        </w:tc>
        <w:tc>
          <w:tcPr>
            <w:tcW w:w="1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(376)</w:t>
            </w:r>
          </w:p>
        </w:tc>
      </w:tr>
      <w:tr>
        <w:trPr>
          <w:trHeight w:val="20"/>
        </w:trPr>
        <w:tc>
          <w:tcPr>
            <w:tcW w:w="5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tabs>
          <w:tab w:leader="none" w:pos="3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Consulting and other costs are professional services and internal costs associated with corporate strategic initiatives, investigations and litigation.</w:t>
      </w:r>
    </w:p>
    <w:p>
      <w:pPr>
        <w:spacing w:after="0" w:line="258" w:lineRule="exact"/>
        <w:rPr>
          <w:rFonts w:ascii="Arial" w:cs="Arial" w:eastAsia="Arial" w:hAnsi="Arial"/>
          <w:sz w:val="14"/>
          <w:szCs w:val="14"/>
          <w:color w:val="auto"/>
        </w:rPr>
      </w:pPr>
    </w:p>
    <w:p>
      <w:pPr>
        <w:ind w:left="360" w:right="240" w:hanging="356"/>
        <w:spacing w:after="0" w:line="286" w:lineRule="auto"/>
        <w:tabs>
          <w:tab w:leader="none" w:pos="3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185" w:lineRule="exact"/>
        <w:rPr>
          <w:rFonts w:ascii="Arial" w:cs="Arial" w:eastAsia="Arial" w:hAnsi="Arial"/>
          <w:sz w:val="15"/>
          <w:szCs w:val="15"/>
          <w:color w:val="auto"/>
        </w:rPr>
      </w:pPr>
    </w:p>
    <w:p>
      <w:pPr>
        <w:ind w:left="360" w:hanging="356"/>
        <w:spacing w:after="0" w:line="277"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$6 million of income from the transition services agreement with the purchaser of Kodak’s Flexographic Packaging Business (“FPD”) was recognized in the year ended December 31, 2020. No income was recognized in the year ended December 31, 2021. The income was reported in Other operating (income) expense, net in the Consolidated Statement of Operations. Other operating (income) expense, net is typically excluded from the segment</w:t>
      </w:r>
    </w:p>
    <w:p>
      <w:pPr>
        <w:ind w:left="360"/>
        <w:spacing w:after="0"/>
        <w:rPr>
          <w:rFonts w:ascii="Arial" w:cs="Arial" w:eastAsia="Arial" w:hAnsi="Arial"/>
          <w:sz w:val="14"/>
          <w:szCs w:val="14"/>
          <w:color w:val="auto"/>
        </w:rPr>
      </w:pPr>
      <w:r>
        <w:rPr>
          <w:rFonts w:ascii="Arial" w:cs="Arial" w:eastAsia="Arial" w:hAnsi="Arial"/>
          <w:sz w:val="17"/>
          <w:szCs w:val="17"/>
          <w:color w:val="auto"/>
        </w:rPr>
        <w:t>measure. However, the income from the transition services agreement was included in the segment measure.</w:t>
      </w:r>
    </w:p>
    <w:p>
      <w:pPr>
        <w:spacing w:after="0" w:line="235" w:lineRule="exact"/>
        <w:rPr>
          <w:rFonts w:ascii="Arial" w:cs="Arial" w:eastAsia="Arial" w:hAnsi="Arial"/>
          <w:sz w:val="14"/>
          <w:szCs w:val="14"/>
          <w:color w:val="auto"/>
        </w:rPr>
      </w:pPr>
    </w:p>
    <w:p>
      <w:pPr>
        <w:ind w:left="360" w:hanging="356"/>
        <w:spacing w:after="0"/>
        <w:tabs>
          <w:tab w:leader="none" w:pos="3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As reported in the Consolidated Statement of Operations.</w:t>
      </w:r>
    </w:p>
    <w:p>
      <w:pPr>
        <w:spacing w:after="0" w:line="24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Kodak decreased workers’ compensation reserves by approximately $4 million in 2021 driven by changes in discount rates. Kodak increased employee benefit reserves by approximately $4 million in 2020 reflecting an increase in workers’ compensation reserves ($7 million) partially offset by a decrease in postemployment benefit reserves ($3 million). The decrease in reserves in 2021 impacted gross profit by approximately $3 million and SG&amp;A by approximately $1 million. The increase in reserves in 2020 impacted gross profit and SG&amp;A each by approximately $2 million.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20"/>
                <w:szCs w:val="20"/>
                <w:color w:val="auto"/>
              </w:rPr>
            </w:pPr>
            <w:r>
              <w:rPr>
                <w:rFonts w:ascii="Arial" w:cs="Arial" w:eastAsia="Arial" w:hAnsi="Arial"/>
                <w:sz w:val="17"/>
                <w:szCs w:val="17"/>
                <w:b w:val="1"/>
                <w:bCs w:val="1"/>
                <w:color w:val="auto"/>
              </w:rPr>
              <w:t>TRADITIONAL PRINTING SEGMENT</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430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2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4"/>
            <w:vMerge w:val="restart"/>
          </w:tcPr>
          <w:p>
            <w:pPr>
              <w:jc w:val="center"/>
              <w:spacing w:after="0"/>
              <w:rPr>
                <w:sz w:val="20"/>
                <w:szCs w:val="20"/>
                <w:color w:val="auto"/>
              </w:rPr>
            </w:pPr>
            <w:r>
              <w:rPr>
                <w:rFonts w:ascii="Arial" w:cs="Arial" w:eastAsia="Arial" w:hAnsi="Arial"/>
                <w:sz w:val="17"/>
                <w:szCs w:val="17"/>
                <w:b w:val="1"/>
                <w:bCs w:val="1"/>
                <w:color w:val="auto"/>
                <w:w w:val="92"/>
              </w:rPr>
              <w:t>Year Ended December 31,</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tcBorders>
              <w:bottom w:val="single" w:sz="8" w:color="CFF0FC"/>
            </w:tcBorders>
          </w:tcPr>
          <w:p>
            <w:pPr>
              <w:spacing w:after="0"/>
              <w:rPr>
                <w:sz w:val="18"/>
                <w:szCs w:val="18"/>
                <w:color w:val="auto"/>
              </w:rPr>
            </w:pPr>
          </w:p>
        </w:tc>
        <w:tc>
          <w:tcPr>
            <w:tcW w:w="23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324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124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2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0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73"/>
              <w:spacing w:after="0"/>
              <w:rPr>
                <w:sz w:val="20"/>
                <w:szCs w:val="20"/>
                <w:color w:val="auto"/>
              </w:rPr>
            </w:pPr>
            <w:r>
              <w:rPr>
                <w:rFonts w:ascii="Arial" w:cs="Arial" w:eastAsia="Arial" w:hAnsi="Arial"/>
                <w:sz w:val="17"/>
                <w:szCs w:val="17"/>
                <w:color w:val="auto"/>
              </w:rPr>
              <w:t>1%</w:t>
            </w: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4300" w:type="dxa"/>
            <w:vAlign w:val="bottom"/>
          </w:tcPr>
          <w:p>
            <w:pPr>
              <w:spacing w:after="0"/>
              <w:rPr>
                <w:sz w:val="24"/>
                <w:szCs w:val="24"/>
                <w:color w:val="auto"/>
              </w:rPr>
            </w:pPr>
          </w:p>
        </w:tc>
        <w:tc>
          <w:tcPr>
            <w:tcW w:w="2300" w:type="dxa"/>
            <w:vAlign w:val="bottom"/>
          </w:tcPr>
          <w:p>
            <w:pPr>
              <w:jc w:val="right"/>
              <w:ind w:right="793"/>
              <w:spacing w:after="0"/>
              <w:rPr>
                <w:sz w:val="20"/>
                <w:szCs w:val="20"/>
                <w:color w:val="auto"/>
              </w:rPr>
            </w:pPr>
            <w:r>
              <w:rPr>
                <w:rFonts w:ascii="Arial" w:cs="Arial" w:eastAsia="Arial" w:hAnsi="Arial"/>
                <w:sz w:val="17"/>
                <w:szCs w:val="17"/>
                <w:color w:val="auto"/>
              </w:rPr>
              <w:t>37</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Revenues</w:t>
      </w:r>
    </w:p>
    <w:p>
      <w:pPr>
        <w:spacing w:after="0" w:line="3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increase in Traditional Printing revenues of approximately $67 million primarily reflected improved volume in Prepress Solutions consumables and equipment ($49 million and $3 million, respectively) as the prior year period was impacted by the COVID-19 pandemic, improved pricing in Prepress Solutions consumables ($9 million) and favorable foreign currency ($11 million). The favorable impacts were partially offset by volume declines in Prepress Solutions service ($3 million) and unfavorable product mix in Prepress Solutions equipment ($2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3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Traditional Printing Operational EBITDA declined approximately $12 million primarily due to higher aluminum costs ($20 million), higher administrative expenses ($8 million) primarily due to savings from temporary furloughs and pay cuts in the prior year period, lower margins on Prepress Solutions equipment ($1 million) and unfavorable foreign currency ($4 million). The unfavorable impacts were partially offset by improved manufacturing costs ($9 million) primarily due to more favorable cost absorption, volume and pricing improvements ($3 million and $9 million, respectively) in Prepress Solutions consumables and a reduction in employee benefit reserves ($2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0" w:type="dxa"/>
            <w:vAlign w:val="bottom"/>
          </w:tcPr>
          <w:p>
            <w:pPr>
              <w:spacing w:after="0"/>
              <w:rPr>
                <w:sz w:val="20"/>
                <w:szCs w:val="20"/>
                <w:color w:val="auto"/>
              </w:rPr>
            </w:pPr>
            <w:r>
              <w:rPr>
                <w:rFonts w:ascii="Arial" w:cs="Arial" w:eastAsia="Arial" w:hAnsi="Arial"/>
                <w:sz w:val="17"/>
                <w:szCs w:val="17"/>
                <w:b w:val="1"/>
                <w:bCs w:val="1"/>
                <w:color w:val="auto"/>
              </w:rPr>
              <w:t>DIGITAL PRINTING SEGMENT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6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273"/>
              <w:spacing w:after="0"/>
              <w:rPr>
                <w:sz w:val="20"/>
                <w:szCs w:val="20"/>
                <w:color w:val="auto"/>
              </w:rPr>
            </w:pPr>
            <w:r>
              <w:rPr>
                <w:rFonts w:ascii="Arial" w:cs="Arial" w:eastAsia="Arial" w:hAnsi="Arial"/>
                <w:sz w:val="17"/>
                <w:szCs w:val="17"/>
                <w:b w:val="1"/>
                <w:bCs w:val="1"/>
                <w:color w:val="auto"/>
                <w:w w:val="92"/>
              </w:rPr>
              <w:t>Year Ended December 31,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increase in Digital Printing revenues of approximately $8 million primarily reflected volume improvements and improved pricing ($8 million and $3 million, respectively) in Prosper consumables and service, improved volume in Electrophotographic Printing Solutions equipment ($7 million) and favorable foreign currency ($4 million). The improvements, which were largely due to the impact of COVID-19 pandemic in the prior year period, were partially offset by volume declines and less favorable pricing in Prosper components ($4 million and $2 million, respectively), volume declines in Versamark consumables and service ($4 million) and less favorable pricing in Electrophotographic Printing Solutions ($4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3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improvement in Digital Printing Operational EBITDA of $5 million was driven by lower manufacturing costs ($3 million), improved volume and product mix in Prosper consumables and service (each $3 million), improved volume in Prosper equipment ($2 million), improved pricing in Software ($2 million), reduction in employee benefit reserves ($3 million) and favorable foreign currency ($2 million). The favorable impacts were partially offset by volume declines and unfavorable pricing in Prosper components (each $2 million), lower volume in Software and Versamark service and consumables ($2 million and $1 million), as well as lower margins on Electrophotographic Printing Solutions equipment as well as unfavorable pricing (each $2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Pr>
          <w:p>
            <w:pPr>
              <w:spacing w:after="0"/>
              <w:rPr>
                <w:sz w:val="20"/>
                <w:szCs w:val="20"/>
                <w:color w:val="auto"/>
              </w:rPr>
            </w:pPr>
            <w:r>
              <w:rPr>
                <w:rFonts w:ascii="Arial" w:cs="Arial" w:eastAsia="Arial" w:hAnsi="Arial"/>
                <w:sz w:val="17"/>
                <w:szCs w:val="17"/>
                <w:b w:val="1"/>
                <w:bCs w:val="1"/>
                <w:color w:val="auto"/>
              </w:rPr>
              <w:t>ADVANCED MATERIALS AND CHEMICALS SEGMENT</w:t>
            </w: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5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273"/>
              <w:spacing w:after="0"/>
              <w:rPr>
                <w:sz w:val="20"/>
                <w:szCs w:val="20"/>
                <w:color w:val="auto"/>
              </w:rPr>
            </w:pPr>
            <w:r>
              <w:rPr>
                <w:rFonts w:ascii="Arial" w:cs="Arial" w:eastAsia="Arial" w:hAnsi="Arial"/>
                <w:sz w:val="17"/>
                <w:szCs w:val="17"/>
                <w:b w:val="1"/>
                <w:bCs w:val="1"/>
                <w:color w:val="auto"/>
                <w:w w:val="92"/>
              </w:rPr>
              <w:t>Year Ended December 31,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20" w:type="dxa"/>
            <w:vAlign w:val="bottom"/>
            <w:tcBorders>
              <w:bottom w:val="single" w:sz="8" w:color="CFF0FC"/>
            </w:tcBorders>
          </w:tcPr>
          <w:p>
            <w:pPr>
              <w:spacing w:after="0"/>
              <w:rPr>
                <w:sz w:val="18"/>
                <w:szCs w:val="18"/>
                <w:color w:val="auto"/>
              </w:rPr>
            </w:pPr>
          </w:p>
        </w:tc>
        <w:tc>
          <w:tcPr>
            <w:tcW w:w="15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52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5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5020" w:type="dxa"/>
            <w:vAlign w:val="bottom"/>
          </w:tcPr>
          <w:p>
            <w:pPr>
              <w:spacing w:after="0"/>
              <w:rPr>
                <w:sz w:val="24"/>
                <w:szCs w:val="24"/>
                <w:color w:val="auto"/>
              </w:rPr>
            </w:pPr>
          </w:p>
        </w:tc>
        <w:tc>
          <w:tcPr>
            <w:tcW w:w="1580" w:type="dxa"/>
            <w:vAlign w:val="bottom"/>
          </w:tcPr>
          <w:p>
            <w:pPr>
              <w:jc w:val="right"/>
              <w:ind w:right="793"/>
              <w:spacing w:after="0"/>
              <w:rPr>
                <w:sz w:val="20"/>
                <w:szCs w:val="20"/>
                <w:color w:val="auto"/>
              </w:rPr>
            </w:pPr>
            <w:r>
              <w:rPr>
                <w:rFonts w:ascii="Arial" w:cs="Arial" w:eastAsia="Arial" w:hAnsi="Arial"/>
                <w:sz w:val="17"/>
                <w:szCs w:val="17"/>
                <w:color w:val="auto"/>
              </w:rPr>
              <w:t>38</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Revenues</w:t>
      </w:r>
    </w:p>
    <w:p>
      <w:pPr>
        <w:spacing w:after="0" w:line="3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improvement in Advanced Materials and Chemicals revenues of approximately $40 million is the result of volume improvements and higher pricing in Industrial Film and Chemicals ($26 million and $8 million, respectively) as well as volume improvements in Motion Picture ($12 million) due to the impact of COVID-19 pandemic in the prior year period as well as favorable foreign currency ($1 million). Partially offsetting these favorable impacts were volume declines in Consumer Inkjet Solutions ($1 million) as the final build of inventory was sold in the first half of 2020. Additionally, the prior year period included revenues from KSB ($8 million), a business which was sold in December 2020.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3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Advanced Materials and Chemicals Operational EBITDA improved approximately $17 million reflecting favorable volume and higher prices in Industrial Film and Chemicals ($7 million and $8 million, respectively), volume improvements in Motion Picture ($5 million), and a reduction in employee benefit reserves ($3 million). Partially offsetting these favorable impacts was higher administrative expenses ($2 million) primarily due to temporary furloughs and pay cuts in the prior year period and higher manufacturing costs ($3 million).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20" w:type="dxa"/>
            <w:vAlign w:val="bottom"/>
          </w:tcPr>
          <w:p>
            <w:pPr>
              <w:spacing w:after="0"/>
              <w:rPr>
                <w:sz w:val="20"/>
                <w:szCs w:val="20"/>
                <w:color w:val="auto"/>
              </w:rPr>
            </w:pPr>
            <w:r>
              <w:rPr>
                <w:rFonts w:ascii="Arial" w:cs="Arial" w:eastAsia="Arial" w:hAnsi="Arial"/>
                <w:sz w:val="17"/>
                <w:szCs w:val="17"/>
                <w:b w:val="1"/>
                <w:bCs w:val="1"/>
                <w:color w:val="auto"/>
              </w:rPr>
              <w:t>BRAND SEGMENT</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4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720" w:type="dxa"/>
            <w:vAlign w:val="bottom"/>
            <w:tcBorders>
              <w:bottom w:val="single" w:sz="8" w:color="CFF0FC"/>
            </w:tcBorders>
          </w:tcPr>
          <w:p>
            <w:pPr>
              <w:spacing w:after="0"/>
              <w:rPr>
                <w:sz w:val="18"/>
                <w:szCs w:val="18"/>
                <w:color w:val="auto"/>
              </w:rPr>
            </w:pPr>
          </w:p>
        </w:tc>
        <w:tc>
          <w:tcPr>
            <w:tcW w:w="18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840" w:type="dxa"/>
            <w:vAlign w:val="bottom"/>
            <w:gridSpan w:val="2"/>
            <w:shd w:val="clear" w:color="auto" w:fill="CFF0FC"/>
          </w:tcPr>
          <w:p>
            <w:pPr>
              <w:jc w:val="right"/>
              <w:ind w:right="793"/>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ind w:left="160"/>
              <w:spacing w:after="0"/>
              <w:rPr>
                <w:sz w:val="20"/>
                <w:szCs w:val="20"/>
                <w:color w:val="auto"/>
              </w:rPr>
            </w:pPr>
            <w:r>
              <w:rPr>
                <w:rFonts w:ascii="Arial" w:cs="Arial" w:eastAsia="Arial" w:hAnsi="Arial"/>
                <w:sz w:val="17"/>
                <w:szCs w:val="17"/>
                <w:color w:val="auto"/>
                <w:w w:val="73"/>
              </w:rPr>
              <w:t>15</w:t>
            </w:r>
          </w:p>
        </w:tc>
        <w:tc>
          <w:tcPr>
            <w:tcW w:w="1300" w:type="dxa"/>
            <w:vAlign w:val="bottom"/>
            <w:gridSpan w:val="3"/>
            <w:shd w:val="clear" w:color="auto" w:fill="CFF0FC"/>
          </w:tcPr>
          <w:p>
            <w:pPr>
              <w:jc w:val="right"/>
              <w:ind w:right="7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ind w:left="160"/>
              <w:spacing w:after="0"/>
              <w:rPr>
                <w:sz w:val="20"/>
                <w:szCs w:val="20"/>
                <w:color w:val="auto"/>
              </w:rPr>
            </w:pPr>
            <w:r>
              <w:rPr>
                <w:rFonts w:ascii="Arial" w:cs="Arial" w:eastAsia="Arial" w:hAnsi="Arial"/>
                <w:sz w:val="17"/>
                <w:szCs w:val="17"/>
                <w:color w:val="auto"/>
                <w:w w:val="84"/>
              </w:rPr>
              <w:t>13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8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7"/>
                <w:szCs w:val="17"/>
                <w:color w:val="auto"/>
                <w:w w:val="73"/>
              </w:rPr>
              <w:t>13</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7"/>
                <w:szCs w:val="17"/>
                <w:color w:val="auto"/>
                <w:w w:val="84"/>
              </w:rPr>
              <w:t>11</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gridSpan w:val="3"/>
          </w:tcPr>
          <w:p>
            <w:pPr>
              <w:ind w:left="160"/>
              <w:spacing w:after="0"/>
              <w:rPr>
                <w:sz w:val="20"/>
                <w:szCs w:val="20"/>
                <w:color w:val="auto"/>
              </w:rPr>
            </w:pPr>
            <w:r>
              <w:rPr>
                <w:rFonts w:ascii="Arial" w:cs="Arial" w:eastAsia="Arial" w:hAnsi="Arial"/>
                <w:sz w:val="17"/>
                <w:szCs w:val="17"/>
                <w:color w:val="auto"/>
              </w:rPr>
              <w:t>87%</w:t>
            </w:r>
          </w:p>
        </w:tc>
        <w:tc>
          <w:tcPr>
            <w:tcW w:w="980" w:type="dxa"/>
            <w:vAlign w:val="bottom"/>
          </w:tcPr>
          <w:p>
            <w:pPr>
              <w:spacing w:after="0"/>
              <w:rPr>
                <w:sz w:val="17"/>
                <w:szCs w:val="17"/>
                <w:color w:val="auto"/>
              </w:rPr>
            </w:pPr>
          </w:p>
        </w:tc>
        <w:tc>
          <w:tcPr>
            <w:tcW w:w="660" w:type="dxa"/>
            <w:vAlign w:val="bottom"/>
            <w:gridSpan w:val="2"/>
          </w:tcPr>
          <w:p>
            <w:pPr>
              <w:ind w:lef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Brand revenues and Operational EBITDA improved approximately $2 million reflecting higher volumes in 2021.</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w:t>
      </w:r>
    </w:p>
    <w:p>
      <w:pPr>
        <w:spacing w:after="0" w:line="31"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Restructuring actions taken in 2021 were initiated to reduce Kodak’s cost structure as part of its commitment to drive sustainable profitability and included various targeted reductions in manufacturing, service, sales and other administrative functions.</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result of these actions, for the year ended December 31, 2021 Kodak recorded $6 million of charges which were reported as Restructuring costs and other in the accompanying Consolidated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$10 million for the year ended December 31, 2021.</w:t>
      </w:r>
    </w:p>
    <w:p>
      <w:pPr>
        <w:spacing w:after="0" w:line="2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restructuring actions implemented in 2021 are expected to generate future annual cash savings of approximately $12 million. These savings are expected to reduce future annual Cost of revenues and SG&amp;A expenses by $6 million each. Kodak expects the majority of the annual savings to be in effect by the end of the second quarter of 2022 as actions are completed. See Note 18, “Restructuring Costs and Other” in the Notes to Financial Statements for additional information on Kodak’s restructuring actions.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Assessment of Liquidity</w:t>
      </w:r>
    </w:p>
    <w:p>
      <w:pPr>
        <w:spacing w:after="0" w:line="25"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Kodak ended the year with a cash balance of $362 million, an increase of $166 million from December 31, 2020. The financing transactions entered into during the first quarter of 2021 provided additional liquidity to the Company to fund on-going operations and obligations, invest in growth opportunities in Kodak’s businesses of print and advanced materials and chemicals and for corporate infrastructure investments expected to contribute to improvements in cash</w:t>
      </w:r>
    </w:p>
    <w:p>
      <w:pPr>
        <w:spacing w:after="0" w:line="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flow. Kodak’s plans to return to sustainable positive cash flow include growing revenues profitably, reducing operating expenses, continuing to simplify the organizational structure, generating cash from selling and leasing underutilized assets and implementing ways to reduce cash collateral needs. Kodak believes the expected cash provided from operating activities, together with the current levels of cash and cash equivalents, available borrowing capacity under the Amended ABL Credit Agreement, available borrowing resources under the Term Loan Credit Agreement and additional liquidity measures will be sufficient to meet the Company’s short-term and long-term cash requirements, as further described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Current Overview:</w:t>
      </w:r>
    </w:p>
    <w:p>
      <w:pPr>
        <w:spacing w:after="0" w:line="2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Kodak’s products are sold and serviced in numerous countries across the globe with more than half of sales generated outside the U.S. Global economic conditions remain highly volatile due to impacts of the on-going COVID-19 pandemic and other global events. The conversion of accounts receivable to cash improved during 2021 but collection risk remains high. Kodak businesses are experiencing supply chain disruptions, shortages in materials and labor, and increased labor, commodity and distribution costs. Kodak has implemented numerous measures to mitigate the economic impacts of the COVID-19 pandemic and other global events, including reducing operating costs, largely beginning in the second quarter of 2020, through the use of temporary furloughs and pay reductions, adjusting manufacturing volumes to meet changing expectations around production requirements and implementing surcharges on purchases of plates. The furloughs and pay-cuts largely ended in January 2021. While manufacturing volumes have improved, the economic uncertainty surrounding the COVID-19 pandemic and other global events represents a continuing element of complexity in Kodak’s plans to return to sustainable positive cash flow. The Company cannot predict the duration and scope of the COVID-19 pandemic, the severity of the virus, the emergence and spread of new variants of the virus, as well as other factors such as the ability to continue to secure raw materials and components, the impact of rising costs of raw materials, or how quickly and to what extent normal economic and operating conditions can resume.</w:t>
      </w:r>
    </w:p>
    <w:p>
      <w:pPr>
        <w:sectPr>
          <w:pgSz w:w="11900" w:h="16838" w:orient="portrait"/>
          <w:cols w:equalWidth="0" w:num="1">
            <w:col w:w="11220"/>
          </w:cols>
          <w:pgMar w:left="320" w:top="570" w:right="35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Cash, cash equivalents and restricted cash balances were as follows:</w:t>
      </w:r>
    </w:p>
    <w:p>
      <w:pPr>
        <w:spacing w:after="0" w:line="33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635</wp:posOffset>
            </wp:positionV>
            <wp:extent cx="4994910" cy="156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4910" cy="15684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Cash, cash equivalents and restricted cash</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center"/>
        <w:ind w:right="1760"/>
        <w:spacing w:after="0"/>
        <w:rPr>
          <w:sz w:val="20"/>
          <w:szCs w:val="20"/>
          <w:color w:val="auto"/>
        </w:rPr>
      </w:pPr>
      <w:r>
        <w:rPr>
          <w:rFonts w:ascii="Arial" w:cs="Arial" w:eastAsia="Arial" w:hAnsi="Arial"/>
          <w:sz w:val="17"/>
          <w:szCs w:val="17"/>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15297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9" w:lineRule="exact"/>
        <w:rPr>
          <w:sz w:val="20"/>
          <w:szCs w:val="20"/>
          <w:color w:val="auto"/>
        </w:rPr>
      </w:pPr>
    </w:p>
    <w:p>
      <w:pPr>
        <w:ind w:left="380"/>
        <w:spacing w:after="0"/>
        <w:tabs>
          <w:tab w:leader="none" w:pos="166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45" w:lineRule="exact"/>
        <w:rPr>
          <w:sz w:val="20"/>
          <w:szCs w:val="20"/>
          <w:color w:val="auto"/>
        </w:rPr>
      </w:pPr>
    </w:p>
    <w:p>
      <w:pPr>
        <w:spacing w:after="0"/>
        <w:tabs>
          <w:tab w:leader="none" w:pos="820" w:val="left"/>
          <w:tab w:leader="none" w:pos="1300" w:val="left"/>
          <w:tab w:leader="none" w:pos="21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423</w:t>
        <w:tab/>
        <w:t>$</w:t>
      </w:r>
      <w:r>
        <w:rPr>
          <w:sz w:val="20"/>
          <w:szCs w:val="20"/>
          <w:color w:val="auto"/>
        </w:rPr>
        <w:tab/>
      </w:r>
      <w:r>
        <w:rPr>
          <w:rFonts w:ascii="Arial" w:cs="Arial" w:eastAsia="Arial" w:hAnsi="Arial"/>
          <w:sz w:val="15"/>
          <w:szCs w:val="15"/>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15297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p>
      <w:pPr>
        <w:sectPr>
          <w:pgSz w:w="11900" w:h="16838" w:orient="portrait"/>
          <w:cols w:equalWidth="0" w:num="2">
            <w:col w:w="6340" w:space="720"/>
            <w:col w:w="4160"/>
          </w:cols>
          <w:pgMar w:left="320" w:top="570" w:right="359" w:bottom="1440" w:gutter="0" w:footer="0" w:header="0"/>
          <w:type w:val="continuous"/>
        </w:sectPr>
      </w:pPr>
    </w:p>
    <w:tbl>
      <w:tblPr>
        <w:tblLayout w:type="fixed"/>
        <w:tblInd w:w="58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line="183" w:lineRule="exact"/>
              <w:rPr>
                <w:sz w:val="20"/>
                <w:szCs w:val="20"/>
                <w:color w:val="auto"/>
              </w:rPr>
            </w:pPr>
            <w:r>
              <w:rPr>
                <w:rFonts w:ascii="Arial" w:cs="Arial" w:eastAsia="Arial" w:hAnsi="Arial"/>
                <w:sz w:val="17"/>
                <w:szCs w:val="17"/>
                <w:b w:val="1"/>
                <w:bCs w:val="1"/>
                <w:color w:val="auto"/>
                <w:w w:val="94"/>
              </w:rPr>
              <w:t>Year-Over-</w:t>
            </w:r>
          </w:p>
        </w:tc>
        <w:tc>
          <w:tcPr>
            <w:tcW w:w="0" w:type="dxa"/>
            <w:vAlign w:val="bottom"/>
          </w:tcPr>
          <w:p>
            <w:pPr>
              <w:spacing w:after="0"/>
              <w:rPr>
                <w:sz w:val="1"/>
                <w:szCs w:val="1"/>
                <w:color w:val="auto"/>
              </w:rPr>
            </w:pPr>
          </w:p>
        </w:tc>
      </w:tr>
      <w:tr>
        <w:trPr>
          <w:trHeight w:val="227"/>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(in millions)</w:t>
            </w:r>
          </w:p>
        </w:tc>
        <w:tc>
          <w:tcPr>
            <w:tcW w:w="9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7"/>
                <w:szCs w:val="17"/>
                <w:b w:val="1"/>
                <w:bCs w:val="1"/>
                <w:color w:val="auto"/>
                <w:w w:val="92"/>
              </w:rPr>
              <w:t>Year Change</w:t>
            </w: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FF0FC"/>
          </w:tcPr>
          <w:p>
            <w:pPr>
              <w:spacing w:after="0" w:line="176" w:lineRule="exact"/>
              <w:rPr>
                <w:sz w:val="20"/>
                <w:szCs w:val="20"/>
                <w:color w:val="auto"/>
              </w:rPr>
            </w:pPr>
            <w:r>
              <w:rPr>
                <w:rFonts w:ascii="Arial" w:cs="Arial" w:eastAsia="Arial" w:hAnsi="Arial"/>
                <w:sz w:val="17"/>
                <w:szCs w:val="17"/>
                <w:color w:val="auto"/>
              </w:rPr>
              <w:t>Cash flows from operating activities:</w:t>
            </w: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5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2"/>
              </w:rPr>
              <w:t>Net cash used in operating activities</w:t>
            </w:r>
          </w:p>
        </w:tc>
        <w:tc>
          <w:tcPr>
            <w:tcW w:w="3020" w:type="dxa"/>
            <w:vAlign w:val="bottom"/>
            <w:tcBorders>
              <w:top w:val="single" w:sz="8" w:color="CFF0FC"/>
            </w:tcBorders>
          </w:tcPr>
          <w:p>
            <w:pPr>
              <w:spacing w:after="0"/>
              <w:rPr>
                <w:sz w:val="19"/>
                <w:szCs w:val="19"/>
                <w:color w:val="auto"/>
              </w:rPr>
            </w:pPr>
          </w:p>
        </w:tc>
        <w:tc>
          <w:tcPr>
            <w:tcW w:w="110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7"/>
                <w:szCs w:val="17"/>
                <w:color w:val="auto"/>
              </w:rPr>
              <w:t>(47)</w:t>
            </w:r>
          </w:p>
        </w:tc>
        <w:tc>
          <w:tcPr>
            <w:tcW w:w="28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7"/>
                <w:szCs w:val="17"/>
                <w:color w:val="auto"/>
              </w:rPr>
              <w:t>(35)</w:t>
            </w:r>
          </w:p>
        </w:tc>
        <w:tc>
          <w:tcPr>
            <w:tcW w:w="8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4"/>
        </w:trPr>
        <w:tc>
          <w:tcPr>
            <w:tcW w:w="5580" w:type="dxa"/>
            <w:vAlign w:val="bottom"/>
            <w:tcBorders>
              <w:top w:val="single" w:sz="8" w:color="CFF0FC"/>
            </w:tcBorders>
            <w:gridSpan w:val="2"/>
            <w:shd w:val="clear" w:color="auto" w:fill="CFF0FC"/>
          </w:tcPr>
          <w:p>
            <w:pPr>
              <w:spacing w:after="0" w:line="176" w:lineRule="exact"/>
              <w:rPr>
                <w:sz w:val="20"/>
                <w:szCs w:val="20"/>
                <w:color w:val="auto"/>
              </w:rPr>
            </w:pPr>
            <w:r>
              <w:rPr>
                <w:rFonts w:ascii="Arial" w:cs="Arial" w:eastAsia="Arial" w:hAnsi="Arial"/>
                <w:sz w:val="17"/>
                <w:szCs w:val="17"/>
                <w:color w:val="auto"/>
              </w:rPr>
              <w:t>Cash flows from investing activities:</w:t>
            </w:r>
          </w:p>
        </w:tc>
        <w:tc>
          <w:tcPr>
            <w:tcW w:w="9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5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3"/>
              </w:rPr>
              <w:t>Net cash used in investing activities</w:t>
            </w:r>
          </w:p>
        </w:tc>
        <w:tc>
          <w:tcPr>
            <w:tcW w:w="30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7"/>
                <w:szCs w:val="17"/>
                <w:color w:val="auto"/>
              </w:rPr>
              <w:t>(20)</w:t>
            </w: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7"/>
                <w:szCs w:val="17"/>
                <w:color w:val="auto"/>
              </w:rPr>
              <w:t>(13)</w:t>
            </w:r>
          </w:p>
        </w:tc>
        <w:tc>
          <w:tcPr>
            <w:tcW w:w="8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5"/>
        </w:trPr>
        <w:tc>
          <w:tcPr>
            <w:tcW w:w="5580" w:type="dxa"/>
            <w:vAlign w:val="bottom"/>
            <w:tcBorders>
              <w:top w:val="single" w:sz="8" w:color="CFF0FC"/>
            </w:tcBorders>
            <w:gridSpan w:val="2"/>
            <w:shd w:val="clear" w:color="auto" w:fill="CFF0FC"/>
          </w:tcPr>
          <w:p>
            <w:pPr>
              <w:spacing w:after="0" w:line="176" w:lineRule="exact"/>
              <w:rPr>
                <w:sz w:val="20"/>
                <w:szCs w:val="20"/>
                <w:color w:val="auto"/>
              </w:rPr>
            </w:pPr>
            <w:r>
              <w:rPr>
                <w:rFonts w:ascii="Arial" w:cs="Arial" w:eastAsia="Arial" w:hAnsi="Arial"/>
                <w:sz w:val="17"/>
                <w:szCs w:val="17"/>
                <w:color w:val="auto"/>
              </w:rPr>
              <w:t>Cash flows from financing activities:</w:t>
            </w:r>
          </w:p>
        </w:tc>
        <w:tc>
          <w:tcPr>
            <w:tcW w:w="9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560" w:type="dxa"/>
            <w:vAlign w:val="bottom"/>
            <w:tcBorders>
              <w:right w:val="single" w:sz="8" w:color="auto"/>
            </w:tcBorders>
            <w:shd w:val="clear" w:color="auto" w:fill="000000"/>
          </w:tcPr>
          <w:p>
            <w:pPr>
              <w:spacing w:after="0"/>
              <w:rPr>
                <w:sz w:val="3"/>
                <w:szCs w:val="3"/>
                <w:color w:val="auto"/>
              </w:rPr>
            </w:pPr>
          </w:p>
        </w:tc>
        <w:tc>
          <w:tcPr>
            <w:tcW w:w="30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9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Effect of exchange rate changes on cash and restricted cash</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80" w:type="dxa"/>
            <w:vAlign w:val="bottom"/>
            <w:gridSpan w:val="2"/>
            <w:vMerge w:val="continue"/>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5"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Net cash used in operating activities increased $12 million for the year ended December 31, 2021 as compared with the prior year primarily due to lower reductions of accounts receivable, increased investment in inventory in 2021 and lower cash earnings partially offset by decreases in cash used for accounts payable.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used in investing activities increased $7 million for the year ended December 31, 2021 as compared to the prior year due to increased capital investment in 2021 as well as higher proceeds received in 2020 from sales of assets and a return on an equity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Net cash provided by financing activities improved $228 million in the year ended December 31, 2021 as compared to the prior year driven by net proceeds of $247 million received from the current year refinancing transactions and lower preferred stock cash dividend payments ($15 million) partially offset by proceeds received from stock option exercises ($33 million) in the prior year period.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Available liquidity includes cash balances and the unused portion of the Amended ABL Credit Agreement. The amount of available liquidity is subject to fluctuations and includes cash balances held by various entities worldwide. At December 31, 2021 and 2020, approximately $250 million and $99 million, respectively, of cash and cash equivalents were held within the U.S. and approximately $112 million and $97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20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As of December 31, 2021 and 2020 outstanding intercompany loans to the U.S. were $418 million and $449 million, respectively, which includes short-term intercompany loans from Kodak’s international finance center of $119 million and $150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In China, where approximately $42 million and $34 million, respectively, of cash and cash equivalents were held as of December 31, 2021 and 2020, there are limitations related to net asset balances that impact the ability to make cash available to other jurisdictions in the world. On May 12, 2020, a Chinese subsidiary of Kodak transferred approximately $70 million to a U.S. subsidiary of Kodak in an inter-company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ABL Credit Agreement</w:t>
      </w:r>
    </w:p>
    <w:p>
      <w:pPr>
        <w:spacing w:after="0" w:line="31"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On February 26, 2021, the Company entered into an amendment to the ABL Credit Agreement (as amended in 2021, the “Amended ABL Credit Agreement”). The Amended ABL Credit Agreement amended the ABL Credit Agreement to, among other things, (i) extend the maturity date to February 26, 2024 or the date that is 90 days prior to the earliest scheduled maturity date or mandatory redemption date of any of the Company’s Term Loans, 2021 Convertible Notes, Series B Preferred Stock, Series C Preferred Stock or any refinancings of any of the foregoing and (ii) decrease the aggregate amount of commitments from $110 million to $90 million.</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Commitments under the Amended ABL Credit Agreement continue to be able to be used in the form of revolving loans or letters of credit. The Company had issued approximately $46 million letters of credit under the Amended ABL Credit Agreement as of December 31, 2021 and $90 million letters of credit under the ABL Credit Agreement as of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of Credit Facility Agreement</w:t>
      </w:r>
    </w:p>
    <w:p>
      <w:pPr>
        <w:spacing w:after="0" w:line="31"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On February 26, 2021, the Company entered into a Letter of Credit Facility Agreement (the “L/C Facility Agreement”, and together with the Term Loan Credit Agreement and the Amended ABL Credit Agreement the “Credit Agreements”). Pursuant to the L/C Facility Agreement, the L/C Lenders committed to issue letters of credit on the Company’s behalf in an aggregate amount of up to $50 million, provided the Company posts cash collateral in an amount greater than or equal to 103% of the aggregate amount of letters of credit issued and outstanding at any given time (the “L/C Cash Collateral”).</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term of the L/C Facility Agreement is three years, subject to the same automatic springing maturity as the Amended ABL Credit Agreement. The Company had issued approximately $44 million letters of credit under the L/C Facility Agreement as of December 31, 2021. The balance on deposit in the L/C Cash Collateral account as of December 31, 2021 is approximately $45 million, of which $14 million was deposited into the L/C Cash Collateral account from proceeds of the financing transactions described herein and the remainder of which was cash collateral previously used to secure letters of credit under the ABL Credit Agreement.</w:t>
      </w:r>
    </w:p>
    <w:p>
      <w:pPr>
        <w:spacing w:after="0" w:line="17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Under both the Amended ABL Credit Agreement and the L/C Facility Agreement the Company is required to maintain Minimum Liquidity of at least $80 million, which is tested at the end of each quarter. Minimum Liquidity was $250 million at December 31, 2021.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Under the ABL Credit Agreement, the Amended ABL Credit Agreement and the L/C Facility Agreement the Company is required to maintain Excess Availability above 12.5% of lender commitments ($11.25 million and $13.75 million at December 31, 2021 and 2020, respectively), which is tested at the end of each month. Excess Availability was $27 million and $20 million as of December 31, 2021 and 2020,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jc w:val="both"/>
        <w:ind w:right="40"/>
        <w:spacing w:after="0" w:line="271"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2021 and 2020, Kodak was not required to have a minimum Fixed Charge Coverage Ratio of 1.0 to 1.0.</w:t>
      </w:r>
    </w:p>
    <w:p>
      <w:pPr>
        <w:spacing w:after="0" w:line="19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Amended ABL Credit Agreement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Kodak intends to continue to maintain Excess Availability above the minimum threshold. The borrowing base is supported by Eligible Receivables, Eligible Inventory and Eligible Equipment. As noted above, since Excess Availability was greater than 12.5% of lender commitments Kodak was not required to have a minimum Fixed Charge Coverage Ratio of 1.0 to 1.0. As of December 31, 2021 Fixed Charges (as defined in the ABL Credit Agreement) exceeded EBITDA by approximately $32 million, therefore the Fixed Charges Coverage Ratio was less than 1.0 to 1.0.</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Excess Cash Flow</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an annual basis, the Company will prepay, within 10 business days following the filing of annual Form 10-K, outstanding Loans in an amount equal to Excess Cash Flow (“ECF”) as defined in the Term Loan Credit Agreement provided no such prepayment is required if such prepayment would cause U.S. liquidity to be less than $85 million. For the year ended December 31, 2021 ECF was a negative amount, therefore no prepayment is required in 2022.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Borrowing Resources</w:t>
      </w:r>
    </w:p>
    <w:p>
      <w:pPr>
        <w:spacing w:after="0" w:line="31"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The Term Loan Credit Agreement includes a commitment to provide delayed draw term loans in an aggregate principal amount of $50 million on or before February 26, 2023. As of December 31, 2021, the Company has not drawn down any of the delayed draw term loans.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Collateral Requirements</w:t>
      </w:r>
    </w:p>
    <w:p>
      <w:pPr>
        <w:spacing w:after="0" w:line="3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New York State Workers’ Compensation Board (“NYSWCB”) requires security deposits related to self-insured workers’ compensation obligations. The security deposit required by NYSWCB is based on actuarial calculations of the Company’s obligations and company specific factors such as its declining workforce and reducing exposure. The NYSWCB calculation also includes a financial contingency based on the employer’s credit rating and a calculation of unallocated loss adjustment expenses. In 2020 the NYSWCB waived both of these charges to provide employers relief while they managed the economic impacts of the COVID-19 pandemic. In 2021 the NYSWCB waived the financial contingency based on the Company’s credit rating. The waived security deposit was $17 million in 2020 and increased to $39 million in 2021. After excluding the waived amount for 2021, the increase to the security deposit required by NYSWCB is $19 million. The Company has agreed to post additional collateral of approximately $4 million over a five-year period, starting in 2021, to satisfy the security deposit obligation. The collateral obligation can be satisfied by issuing letters of credit or through other means. The additional collateral requirement for 2021 was funded in November 2021 by issuing letters of credit. The security deposit required by NYSWCB will be re-calculated annually. Therefore, the amount of additional collateral required may change each year.</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As a result of the Company’s current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Sources/Uses of Cash Related to Financing Transactions and Stock Options</w:t>
      </w:r>
    </w:p>
    <w:p>
      <w:pPr>
        <w:spacing w:after="0" w:line="31"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The holders of Series B Preferred Stock are entitled to cumulative dividends payable quarterly in cash at a rate of 4% per annum. All dividends have been declared and paid when due. Due to exercises of stock options primarily by ex-employees, the Company received approximately $33 million, net of tax payments, in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Defined Benefit Pension and Postretirement Plans</w:t>
      </w:r>
    </w:p>
    <w:p>
      <w:pPr>
        <w:spacing w:after="0" w:line="3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Kodak made contributions (funded plans) or paid net benefits (unfunded plans) totaling approximately $16 million relating to its non-U.S. defined benefit pension and postretirement benefit plans in 2021. For 2022, the forecasted contribution (funded plans) and net benefit payment (unfunded plans) requirements for its Non-U.S. defined benefit pension and postretirement plans are approximately $16 million. Kodak does not expect to make any cash contributions for its U.S. pension plans in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3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Cash flows from investing activities included $21 million for capital expenditures for the year ended December 31, 2021. Kodak expects approximately $45 million to $60 million of cash flows for investing activities from capital expenditures for the year ending December 31, 2022. The expected increase in capital expenditures in 2022 is driven by investments in growth initiatives and back-office automation.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International Development Finance Corporation Non-Binding Letter of Interest</w:t>
      </w:r>
    </w:p>
    <w:p>
      <w:pPr>
        <w:spacing w:after="0" w:line="3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July 28, 2020, the U.S. International Development Finance Corporation signed a non-binding letter of interest to provide a subsidiary of the Company with a potential $765 million loan to support the launch of Kodak Pharmaceuticals, an initiative that would manufacture pharmaceutical ingredients for essential generic drugs. The DFC Loan would be for facility upgrades and construction, provide working capital, and finance other necessary direct expenditures supporting the launch of Kodak Pharmaceuticals. The signing of the letter of interest indicated Kodak’s successful completion of the DFC’s initial screening, which would be followed by standard due diligence conducted by the DFC before financing would be formally committed. The application process for the DFC Loan was put on hold when investigations were commenced with respect to the circumstances surrounding the DFC Announcement. While the letter of interest with the DFC has never been formally terminated and the Company has not received any communication from the DFC rejecting its application, given the time that has elapsed and the changes in administration at the federal government and the DFC the Company is operating on the basis that the DFC Loan as envisioned at the time of the DFC Announcement will not proceed.</w:t>
      </w:r>
    </w:p>
    <w:p>
      <w:pPr>
        <w:spacing w:after="0" w:line="20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Company remains interested in working with the DFC and other governmental agencies to leverage its assets and technology to on-shore manufacturing of pharmaceutical and other healthcare materials. As described under “Overview” above, the Company is also continuing to explore expanding further into the pharmaceutical space on a smaller scale than contemplated by the DFC Loan using other sources of capital, including a portion of the capital raised by the Company on February 26, 2021.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impact that contractual obligations are expected to have on Kodak's cash flow in future periods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As of December 31, 2021</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27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Total</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2024</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2025</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2026</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2027+</w:t>
            </w:r>
          </w:p>
        </w:tc>
        <w:tc>
          <w:tcPr>
            <w:tcW w:w="100" w:type="dxa"/>
            <w:vAlign w:val="bottom"/>
            <w:tcBorders>
              <w:bottom w:val="single" w:sz="8" w:color="CFF0FC"/>
            </w:tcBorders>
          </w:tcPr>
          <w:p>
            <w:pPr>
              <w:spacing w:after="0"/>
              <w:rPr>
                <w:sz w:val="18"/>
                <w:szCs w:val="18"/>
                <w:color w:val="auto"/>
              </w:rPr>
            </w:pPr>
          </w:p>
        </w:tc>
      </w:tr>
      <w:tr>
        <w:trPr>
          <w:trHeight w:val="214"/>
        </w:trPr>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14"/>
                <w:szCs w:val="14"/>
                <w:color w:val="auto"/>
              </w:rPr>
              <w:t>(1)</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r>
      <w:tr>
        <w:trPr>
          <w:trHeight w:val="221"/>
        </w:trPr>
        <w:tc>
          <w:tcPr>
            <w:tcW w:w="2780" w:type="dxa"/>
            <w:vAlign w:val="bottom"/>
          </w:tcPr>
          <w:p>
            <w:pPr>
              <w:spacing w:after="0"/>
              <w:rPr>
                <w:sz w:val="20"/>
                <w:szCs w:val="20"/>
                <w:color w:val="auto"/>
              </w:rPr>
            </w:pPr>
            <w:r>
              <w:rPr>
                <w:rFonts w:ascii="Arial" w:cs="Arial" w:eastAsia="Arial" w:hAnsi="Arial"/>
                <w:sz w:val="17"/>
                <w:szCs w:val="17"/>
                <w:color w:val="auto"/>
              </w:rPr>
              <w:t xml:space="preserve">Interest payments on debt </w:t>
            </w:r>
            <w:r>
              <w:rPr>
                <w:rFonts w:ascii="Arial" w:cs="Arial" w:eastAsia="Arial" w:hAnsi="Arial"/>
                <w:sz w:val="14"/>
                <w:szCs w:val="14"/>
                <w:color w:val="auto"/>
              </w:rPr>
              <w:t>(2)</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1"/>
        </w:trPr>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obligations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FF0FC"/>
          </w:tcPr>
          <w:p>
            <w:pPr>
              <w:spacing w:after="0"/>
              <w:rPr>
                <w:sz w:val="19"/>
                <w:szCs w:val="19"/>
                <w:color w:val="auto"/>
              </w:rPr>
            </w:pPr>
          </w:p>
        </w:tc>
      </w:tr>
      <w:tr>
        <w:trPr>
          <w:trHeight w:val="221"/>
        </w:trPr>
        <w:tc>
          <w:tcPr>
            <w:tcW w:w="2780" w:type="dxa"/>
            <w:vAlign w:val="bottom"/>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8"/>
        </w:trPr>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Convertible preferred stock cash</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27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dividends </w:t>
            </w:r>
            <w:r>
              <w:rPr>
                <w:rFonts w:ascii="Arial" w:cs="Arial" w:eastAsia="Arial" w:hAnsi="Arial"/>
                <w:sz w:val="14"/>
                <w:szCs w:val="14"/>
                <w:color w:val="auto"/>
              </w:rPr>
              <w:t>(7)</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14"/>
        </w:trPr>
        <w:tc>
          <w:tcPr>
            <w:tcW w:w="2780" w:type="dxa"/>
            <w:vAlign w:val="bottom"/>
          </w:tcPr>
          <w:p>
            <w:pPr>
              <w:spacing w:after="0"/>
              <w:rPr>
                <w:sz w:val="20"/>
                <w:szCs w:val="20"/>
                <w:color w:val="auto"/>
              </w:rPr>
            </w:pPr>
            <w:r>
              <w:rPr>
                <w:rFonts w:ascii="Arial" w:cs="Arial" w:eastAsia="Arial" w:hAnsi="Arial"/>
                <w:sz w:val="17"/>
                <w:szCs w:val="17"/>
                <w:color w:val="auto"/>
              </w:rPr>
              <w:t xml:space="preserve">Total </w:t>
            </w:r>
            <w:r>
              <w:rPr>
                <w:rFonts w:ascii="Arial" w:cs="Arial" w:eastAsia="Arial" w:hAnsi="Arial"/>
                <w:sz w:val="14"/>
                <w:szCs w:val="14"/>
                <w:color w:val="auto"/>
              </w:rPr>
              <w:t>(4) (5) (6)</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583</w:t>
            </w:r>
          </w:p>
        </w:tc>
        <w:tc>
          <w:tcPr>
            <w:tcW w:w="2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72</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320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560" w:right="100" w:hanging="556"/>
        <w:spacing w:after="0" w:line="281"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represents the maturity values of Kodak's long-term debt obligations as of December 31, 2021. The loans made under the Term Credit Agreement become due on February 26, 2026. The 2021 Convertible Notes become due on May 28, 2026. The loans made under the Term Credit Agreement receive 4% paid-in-kind interest at maturity. The 2021 Convertible Notes receive 5% paid-in-kind interest at maturity. The paid-in-kind interest for both the Term Credit Agreement and the 2021 Convertible Notes is included in the principal amount due. The contractual obligations do not reflect any contingent mandatory annual principal prepayments that may be required to be made upon achieving certain excess cash flow targets, as defined in the Term Credit Agreement. Refer to Note 8, "Debt and Finance Leases" in the Notes to Financial Statements.</w:t>
      </w:r>
    </w:p>
    <w:p>
      <w:pPr>
        <w:spacing w:after="0" w:line="192" w:lineRule="exact"/>
        <w:rPr>
          <w:rFonts w:ascii="Arial" w:cs="Arial" w:eastAsia="Arial" w:hAnsi="Arial"/>
          <w:sz w:val="16"/>
          <w:szCs w:val="16"/>
          <w:color w:val="auto"/>
        </w:rPr>
      </w:pPr>
    </w:p>
    <w:p>
      <w:pPr>
        <w:ind w:left="560" w:right="520" w:hanging="556"/>
        <w:spacing w:after="0" w:line="286" w:lineRule="auto"/>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cash interest payments on the Term Credit Agreement, the RED-Rochester LLC debt and commitment fees for the Amended ABL Credit Agreement and the L/C Facility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3" w:name="page44"/>
    <w:bookmarkEnd w:id="43"/>
    <w:p>
      <w:pPr>
        <w:ind w:left="560" w:right="60" w:hanging="556"/>
        <w:spacing w:after="0" w:line="266"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spacing w:after="0" w:line="201" w:lineRule="exact"/>
        <w:rPr>
          <w:rFonts w:ascii="Arial" w:cs="Arial" w:eastAsia="Arial" w:hAnsi="Arial"/>
          <w:sz w:val="17"/>
          <w:szCs w:val="17"/>
          <w:color w:val="auto"/>
        </w:rPr>
      </w:pPr>
    </w:p>
    <w:p>
      <w:pPr>
        <w:jc w:val="both"/>
        <w:ind w:left="560" w:right="40" w:hanging="556"/>
        <w:spacing w:after="0" w:line="271"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Due to uncertainty regarding the completion of tax audits and possible outcomes, an estimate of the timing of payments related to uncertain tax positions and interest cannot be made. See Note 17, “Income Taxes,” in the Notes to Financial Statements for additional information regarding Kodak’s uncertain tax positions.</w:t>
      </w:r>
    </w:p>
    <w:p>
      <w:pPr>
        <w:spacing w:after="0" w:line="197" w:lineRule="exact"/>
        <w:rPr>
          <w:rFonts w:ascii="Arial" w:cs="Arial" w:eastAsia="Arial" w:hAnsi="Arial"/>
          <w:sz w:val="17"/>
          <w:szCs w:val="17"/>
          <w:color w:val="auto"/>
        </w:rPr>
      </w:pPr>
    </w:p>
    <w:p>
      <w:pPr>
        <w:jc w:val="both"/>
        <w:ind w:left="560" w:right="100" w:hanging="556"/>
        <w:spacing w:after="0" w:line="271"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2022, the Company is forecasting $16 million in contributions and net benefit payments for its Non-U.S. major defined benefit retirement plans and other postretirement benefit plans. Expected contributions are excluded from the contractual obligations table because they do not represent contractual cash outflows, as they are dependent on numerous factors which may result in a wide range of outcomes.</w:t>
      </w:r>
    </w:p>
    <w:p>
      <w:pPr>
        <w:spacing w:after="0" w:line="197" w:lineRule="exact"/>
        <w:rPr>
          <w:rFonts w:ascii="Arial" w:cs="Arial" w:eastAsia="Arial" w:hAnsi="Arial"/>
          <w:sz w:val="17"/>
          <w:szCs w:val="17"/>
          <w:color w:val="auto"/>
        </w:rPr>
      </w:pPr>
    </w:p>
    <w:p>
      <w:pPr>
        <w:ind w:left="560" w:right="420" w:hanging="556"/>
        <w:spacing w:after="0" w:line="286"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Because timing of their future cash outflows are uncertain, the other long-term liabilities presented in Note 7, “Other Long-Term Liabilities,” in the Notes to Financial Statements are excluded from this table.</w:t>
      </w:r>
    </w:p>
    <w:p>
      <w:pPr>
        <w:spacing w:after="0" w:line="185" w:lineRule="exact"/>
        <w:rPr>
          <w:rFonts w:ascii="Arial" w:cs="Arial" w:eastAsia="Arial" w:hAnsi="Arial"/>
          <w:sz w:val="17"/>
          <w:szCs w:val="17"/>
          <w:color w:val="auto"/>
        </w:rPr>
      </w:pPr>
    </w:p>
    <w:p>
      <w:pPr>
        <w:ind w:left="560" w:hanging="556"/>
        <w:spacing w:after="0" w:line="258"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February 26, 2021, the Company issued 1,000,000 shares of 4% Series B Convertible Preferred Stock, no par value per share (the “Series B Preferred Stock”) and 1,000,000 shares of 5% Series C Convertible Preferred Stock, no par value per share (the “Series C Preferred Stock”). The Series B and Series C Preferred Stock have a liquidation preference of $100 per share. The holders of Series B Preferred Stock are entitled to cumulative dividends payable quarterly in cash at a rate of 4% per annum. The holder of Series C Preferred Stock is entitled to cumulative dividends payable quarterly in additional shares of Series C Preferred Stock. If holders of the Series B and Series C Preferred stock convert their shares into common stock, dividends will decrease.</w:t>
      </w:r>
    </w:p>
    <w:p>
      <w:pPr>
        <w:spacing w:after="0" w:line="1" w:lineRule="exact"/>
        <w:rPr>
          <w:rFonts w:ascii="Arial" w:cs="Arial" w:eastAsia="Arial" w:hAnsi="Arial"/>
          <w:sz w:val="17"/>
          <w:szCs w:val="17"/>
          <w:color w:val="auto"/>
        </w:rPr>
      </w:pPr>
    </w:p>
    <w:p>
      <w:pPr>
        <w:ind w:left="560"/>
        <w:spacing w:after="0" w:line="287" w:lineRule="auto"/>
        <w:rPr>
          <w:rFonts w:ascii="Arial" w:cs="Arial" w:eastAsia="Arial" w:hAnsi="Arial"/>
          <w:sz w:val="17"/>
          <w:szCs w:val="17"/>
          <w:color w:val="auto"/>
        </w:rPr>
      </w:pPr>
      <w:r>
        <w:rPr>
          <w:rFonts w:ascii="Arial" w:cs="Arial" w:eastAsia="Arial" w:hAnsi="Arial"/>
          <w:sz w:val="16"/>
          <w:szCs w:val="16"/>
          <w:color w:val="auto"/>
        </w:rPr>
        <w:t>The Company is required to redeem all shares not converted prior to the fifth anniversary of the initial issuance at $100 per share plus the amount of any accrued and unpaid dividends. Due to uncertainty regarding the number of shares that will be redeemed, the redemption amount has not been included in the above table. Refer to Note 9, "Redeemable, Convertible Preferred Stock" in the Notes to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Significant accounting policies used in the preparation of the Consolidated Financial Statements are more fully described in Note 1, “Basis of Presentation and Significant Accounting Policies”. The accounting policies most critical to the preparation of the consolidated financial statements and require the most difficult, subjective or complex judgments are described below.</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7"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Kodak's revenue transactions include sales of products, software, services, integrated solutions, intellectual property licensing and real estate management activities. Complex multiple element arrangements with nonstandard terms and conditions may require significant contract interpretation to determine the appropriate accounting, including the allocation of transaction price to the various performance obligations and determination of the stand-alone selling price of each performance obligation. When the stand-alone selling price is not directly observable, it is estimated based on management judgment considering available data such as internal margin objectives, pricing strategies, market/competitive conditions, historical profitability data, as well as other observable inputs.</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44" w:name="page45"/>
    <w:bookmarkEnd w:id="44"/>
    <w:p>
      <w:pPr>
        <w:ind w:right="40"/>
        <w:spacing w:after="0" w:line="263" w:lineRule="auto"/>
        <w:rPr>
          <w:sz w:val="20"/>
          <w:szCs w:val="20"/>
          <w:color w:val="auto"/>
        </w:rPr>
      </w:pPr>
      <w:r>
        <w:rPr>
          <w:rFonts w:ascii="Arial" w:cs="Arial" w:eastAsia="Arial" w:hAnsi="Arial"/>
          <w:sz w:val="17"/>
          <w:szCs w:val="17"/>
          <w:color w:val="auto"/>
        </w:rPr>
        <w:t>At the time revenue is recognized, Kodak also records reductions to revenue for customer incentive programs such as volume rebates and promotional allowances. For those incentives that require estimation,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 Future market conditions and product transitions may require Kodak to increase customer incentive offers, possibly resulting in an incremental reduction of revenue at the time the incentive is offered.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and Useful Lives of Long-Lived Assets, Including Goodwill and Intangible Assets</w:t>
      </w:r>
    </w:p>
    <w:p>
      <w:pPr>
        <w:spacing w:after="0" w:line="2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Goodwill is tested for impairment at the reporting unit level (operating segment or one level below an operating segment) annually and whenever events or changes in circumstances occur that would more likely than not reduce the fair value of the reporting unit below its’ carrying amount. As of December 31, 2021, goodwill is only recorded in the Brand and Software reporting units.</w:t>
      </w:r>
    </w:p>
    <w:p>
      <w:pPr>
        <w:spacing w:after="0" w:line="197"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Kodak performed a quantitative test of impairment for all reporting units for its annual goodwill impairment test as of December 31, 2021. Kodak utilized the discounted cash flow method and guideline public company method to estimate the fair value of reporting units with goodwill.</w:t>
      </w:r>
    </w:p>
    <w:p>
      <w:pPr>
        <w:spacing w:after="0" w:line="1" w:lineRule="exact"/>
        <w:rPr>
          <w:sz w:val="20"/>
          <w:szCs w:val="20"/>
          <w:color w:val="auto"/>
        </w:rPr>
      </w:pPr>
    </w:p>
    <w:p>
      <w:pPr>
        <w:jc w:val="both"/>
        <w:ind w:right="540"/>
        <w:spacing w:after="0" w:line="263" w:lineRule="auto"/>
        <w:rPr>
          <w:sz w:val="20"/>
          <w:szCs w:val="20"/>
          <w:color w:val="auto"/>
        </w:rPr>
      </w:pPr>
      <w:r>
        <w:rPr>
          <w:rFonts w:ascii="Arial" w:cs="Arial" w:eastAsia="Arial" w:hAnsi="Arial"/>
          <w:sz w:val="17"/>
          <w:szCs w:val="17"/>
          <w:color w:val="auto"/>
        </w:rPr>
        <w:t>For these reporting units, Kodak selected equal weighting of the guideline public company method and the discounted cash flow method as the valuation approaches produced comparable ranges of fair value. Fair values for the reporting units without goodwill were estimated using the discounted cash flow method only.</w:t>
      </w:r>
    </w:p>
    <w:p>
      <w:pPr>
        <w:spacing w:after="0" w:line="20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January 1, 2022 to December 31, 2026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14% to 31% were utilized in the valuation based on Kodak’s best estimates of the after-tax WACC of each reporting unit.</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 terminal value was included for all reporting units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Based upon the results of Kodak’s December 31, 2021 analysis, Kodak concluded that the fair value of the reporting units substantially exceeded their carrying values, therefore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values, or as a result of changes in operating segments or reporting units.</w:t>
      </w:r>
    </w:p>
    <w:p>
      <w:pPr>
        <w:spacing w:after="0" w:line="20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carrying value of the indefinite-lived intangible asset related to the Kodak trade name is evaluated for potential impairment annually or whenever events or changes in circumstances indicate that it is more likely than not that the asset is impaired.</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Kodak performed its annual test of impairment for the Kodak trade name as of December 31, 2021. The fair value of the Kodak trade name was valued using the income approach, specifically the relief from royalty method based on the following significant assumptions: (a) forecasted revenues for the period January 1, 2022 to December 31, 2026, including a terminal year with growth rates ranging from -0.5% to 2.5%; (b) an after-tax royalty rate of 0.4% of expected net sales determined with regard to comparable market transactions and profitability analysis; and (c) discount rates ranging from 17% to 31%, which were based on the after-tax WACC.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45" w:name="page46"/>
    <w:bookmarkEnd w:id="45"/>
    <w:p>
      <w:pPr>
        <w:ind w:right="100"/>
        <w:spacing w:after="0" w:line="266" w:lineRule="auto"/>
        <w:rPr>
          <w:sz w:val="20"/>
          <w:szCs w:val="20"/>
          <w:color w:val="auto"/>
        </w:rPr>
      </w:pPr>
      <w:r>
        <w:rPr>
          <w:rFonts w:ascii="Arial" w:cs="Arial" w:eastAsia="Arial" w:hAnsi="Arial"/>
          <w:sz w:val="17"/>
          <w:szCs w:val="17"/>
          <w:color w:val="auto"/>
        </w:rPr>
        <w:t>Based on the results of Kodak’s December 31, 2021 assessment, the fair value of the Kodak trade name exceeded its carrying value. Impairment of the Kodak trade name could occur in the future if expected revenues decline or if there are significant changes in the discount rates or royalty rates. A one percent increase in the discount rate and a 10% miss in expected revenues would impact the fair value of the Kodak trade name by $3 million, which would not result in an impairment.</w:t>
      </w:r>
    </w:p>
    <w:p>
      <w:pPr>
        <w:spacing w:after="0" w:line="20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 Kodak updated its estimate of undiscounted cash flows for each asset group as of December 31, 2021. Based on the results of the impairment tests, no impairments were recorded.</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 Embedded Conversion Features</w:t>
      </w:r>
    </w:p>
    <w:p>
      <w:pPr>
        <w:spacing w:after="0" w:line="24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2021 Convertible Notes are considered more akin to debt-type instruments. The economic characteristics and risks of the embedded conversion features in the 2021 Convertible Notes were not considered clearly and closely related to the 2021 Convertible Notes. Accordingly, these embedded features were bifurcated from the 2021 Convertible Notes and separately accounted for at fair value as a single derivative, which reduced the carrying value of the 2021 Convertible Notes. The derivative is being accounted for at fair value with subsequent changes in the fair value being reported as part of Other (income) charges, net in the Consolidated Statement of Operations.</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fair value of the embedded conversion features derivative is calculated using unobservable inputs (Level 3 fair measurements). The binomial model is used to estimate the fair value of the embedded derivative which requires the input of highly subjective assumptions, including the expected volatility of Kodak’s common stock. If factors change and different assumptions are used, the fair value of the embedded derivative liability could be materially different in the future. Refer to Note 13, “Financial Instruments” for additional information regarding the key inputs in the determination of fair value for the embedded conversion features.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expected stock price volatility and the closing stock price used as of December 31, 2021 and at inception for the 2021</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right="193"/>
              <w:spacing w:after="0"/>
              <w:rPr>
                <w:sz w:val="20"/>
                <w:szCs w:val="20"/>
                <w:color w:val="auto"/>
              </w:rPr>
            </w:pPr>
            <w:r>
              <w:rPr>
                <w:rFonts w:ascii="Arial" w:cs="Arial" w:eastAsia="Arial" w:hAnsi="Arial"/>
                <w:sz w:val="17"/>
                <w:szCs w:val="17"/>
                <w:b w:val="1"/>
                <w:bCs w:val="1"/>
                <w:color w:val="auto"/>
                <w:w w:val="89"/>
              </w:rPr>
              <w:t>2021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4"/>
              </w:rPr>
              <w:t>Convertible</w:t>
            </w:r>
          </w:p>
        </w:tc>
        <w:tc>
          <w:tcPr>
            <w:tcW w:w="1120" w:type="dxa"/>
            <w:vAlign w:val="bottom"/>
          </w:tcPr>
          <w:p>
            <w:pPr>
              <w:spacing w:after="0"/>
              <w:rPr>
                <w:sz w:val="18"/>
                <w:szCs w:val="18"/>
                <w:color w:val="auto"/>
              </w:rPr>
            </w:pPr>
          </w:p>
        </w:tc>
      </w:tr>
      <w:tr>
        <w:trPr>
          <w:trHeight w:val="227"/>
        </w:trPr>
        <w:tc>
          <w:tcPr>
            <w:tcW w:w="11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8"/>
              </w:rPr>
              <w:t>Notes</w:t>
            </w:r>
          </w:p>
        </w:tc>
        <w:tc>
          <w:tcPr>
            <w:tcW w:w="112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Value of embedded derivative liability at December 31, 2021</w:t>
            </w:r>
          </w:p>
        </w:tc>
        <w:tc>
          <w:tcPr>
            <w:tcW w:w="1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21"/>
        </w:trPr>
        <w:tc>
          <w:tcPr>
            <w:tcW w:w="1140" w:type="dxa"/>
            <w:vAlign w:val="bottom"/>
          </w:tcPr>
          <w:p>
            <w:pPr>
              <w:spacing w:after="0"/>
              <w:rPr>
                <w:sz w:val="19"/>
                <w:szCs w:val="19"/>
                <w:color w:val="auto"/>
              </w:rPr>
            </w:pPr>
          </w:p>
        </w:tc>
        <w:tc>
          <w:tcPr>
            <w:tcW w:w="5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 millions)</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6960" w:type="dxa"/>
            <w:vAlign w:val="bottom"/>
            <w:gridSpan w:val="2"/>
          </w:tcPr>
          <w:p>
            <w:pPr>
              <w:ind w:left="1140"/>
              <w:spacing w:after="0"/>
              <w:rPr>
                <w:sz w:val="20"/>
                <w:szCs w:val="20"/>
                <w:color w:val="auto"/>
              </w:rPr>
            </w:pPr>
            <w:r>
              <w:rPr>
                <w:rFonts w:ascii="Arial" w:cs="Arial" w:eastAsia="Arial" w:hAnsi="Arial"/>
                <w:sz w:val="17"/>
                <w:szCs w:val="17"/>
                <w:color w:val="auto"/>
              </w:rPr>
              <w:t>Value of embedded derivative liability at inception (in millions)</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8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6960" w:type="dxa"/>
            <w:vAlign w:val="bottom"/>
            <w:gridSpan w:val="2"/>
          </w:tcPr>
          <w:p>
            <w:pPr>
              <w:ind w:left="1140"/>
              <w:spacing w:after="0"/>
              <w:rPr>
                <w:sz w:val="20"/>
                <w:szCs w:val="20"/>
                <w:color w:val="auto"/>
              </w:rPr>
            </w:pPr>
            <w:r>
              <w:rPr>
                <w:rFonts w:ascii="Arial" w:cs="Arial" w:eastAsia="Arial" w:hAnsi="Arial"/>
                <w:sz w:val="17"/>
                <w:szCs w:val="17"/>
                <w:color w:val="auto"/>
              </w:rPr>
              <w:t>Expected stock price volatility as of December 31, 2021</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c>
          <w:tcPr>
            <w:tcW w:w="112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Expected stock price volatility at inception</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70%</w:t>
            </w:r>
          </w:p>
        </w:tc>
        <w:tc>
          <w:tcPr>
            <w:tcW w:w="1120" w:type="dxa"/>
            <w:vAlign w:val="bottom"/>
          </w:tcPr>
          <w:p>
            <w:pPr>
              <w:spacing w:after="0"/>
              <w:rPr>
                <w:sz w:val="19"/>
                <w:szCs w:val="19"/>
                <w:color w:val="auto"/>
              </w:rPr>
            </w:pPr>
          </w:p>
        </w:tc>
      </w:tr>
      <w:tr>
        <w:trPr>
          <w:trHeight w:val="221"/>
        </w:trPr>
        <w:tc>
          <w:tcPr>
            <w:tcW w:w="696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Closing stock price as of December 31, 2021</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4.68</w:t>
            </w: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6960" w:type="dxa"/>
            <w:vAlign w:val="bottom"/>
            <w:gridSpan w:val="2"/>
          </w:tcPr>
          <w:p>
            <w:pPr>
              <w:ind w:left="1140"/>
              <w:spacing w:after="0"/>
              <w:rPr>
                <w:sz w:val="20"/>
                <w:szCs w:val="20"/>
                <w:color w:val="auto"/>
              </w:rPr>
            </w:pPr>
            <w:r>
              <w:rPr>
                <w:rFonts w:ascii="Arial" w:cs="Arial" w:eastAsia="Arial" w:hAnsi="Arial"/>
                <w:sz w:val="17"/>
                <w:szCs w:val="17"/>
                <w:color w:val="auto"/>
              </w:rPr>
              <w:t>Closing stock price at inception</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8.62</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51"/>
        </w:trPr>
        <w:tc>
          <w:tcPr>
            <w:tcW w:w="6960" w:type="dxa"/>
            <w:vAlign w:val="bottom"/>
            <w:gridSpan w:val="2"/>
          </w:tcPr>
          <w:p>
            <w:pPr>
              <w:jc w:val="right"/>
              <w:ind w:right="1153"/>
              <w:spacing w:after="0"/>
              <w:rPr>
                <w:sz w:val="20"/>
                <w:szCs w:val="20"/>
                <w:color w:val="auto"/>
              </w:rPr>
            </w:pPr>
            <w:r>
              <w:rPr>
                <w:rFonts w:ascii="Arial" w:cs="Arial" w:eastAsia="Arial" w:hAnsi="Arial"/>
                <w:sz w:val="17"/>
                <w:szCs w:val="17"/>
                <w:color w:val="auto"/>
              </w:rPr>
              <w:t>46</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Taxes</w:t>
      </w:r>
    </w:p>
    <w:p>
      <w:pPr>
        <w:spacing w:after="0" w:line="24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Kodak recognizes deferred tax liabilities and assets for the expected future tax consequences of operating losses, credit carry-forwards and temporary differences between the carrying amounts and tax basis of Kodak’s assets and liabilities.</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2021, Kodak has net deferred tax assets before valuation allowances of approximately $905 million and a valuation allowance related to those net deferred tax assets of approximately $934 million, resulting in net deferred tax liabilities of approximately $29 million.</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Kodak considers both positive and negative evidence, in determining whether a valuation allowance is needed by territory, including, but not limited to, whether particular entities are in three-year cumulative income positions. 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205" w:lineRule="exact"/>
        <w:rPr>
          <w:sz w:val="20"/>
          <w:szCs w:val="20"/>
          <w:color w:val="auto"/>
        </w:rPr>
      </w:pPr>
    </w:p>
    <w:p>
      <w:pPr>
        <w:ind w:right="1000"/>
        <w:spacing w:after="0" w:line="279" w:lineRule="auto"/>
        <w:rPr>
          <w:sz w:val="20"/>
          <w:szCs w:val="20"/>
          <w:color w:val="auto"/>
        </w:rPr>
      </w:pPr>
      <w:r>
        <w:rPr>
          <w:rFonts w:ascii="Arial" w:cs="Arial" w:eastAsia="Arial" w:hAnsi="Arial"/>
          <w:sz w:val="16"/>
          <w:szCs w:val="16"/>
          <w:color w:val="auto"/>
        </w:rPr>
        <w:t>Kodak may be able to make the determination that the realization of deferred tax assets in certain foreign jurisdictions is more likely than not in the future. Kodak will continue to evaluate whether valuation allowances are needed, at a jurisdictional level, in future reporting periods.</w:t>
      </w:r>
    </w:p>
    <w:p>
      <w:pPr>
        <w:spacing w:after="0" w:line="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Utilization of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three-year testing period. The Company has a relatively high concentration of stockholders that hold 5% or more of the outstanding stock. Future transactions, when combined with reported transactions within the testing period could aggregate an ownership change during the testing period in excess of 50 percentage points.</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Section 382 ownership change would significantly impair Kodak’s ability to utilize NOLs and tax credits in the U.S. As of December 31, 2021, Kodak had available U.S. NOL carry-forwards for income tax purposes of approximately $1,389 million and unused foreign tax credits of $358 million. Any impairment of these tax attributes would be fully offset by a corresponding decrease in Kodak’s U.S. valuation allowance, which would result in no net tax provision.</w:t>
      </w:r>
    </w:p>
    <w:p>
      <w:pPr>
        <w:spacing w:after="0" w:line="187"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Kodak has deferred tax liabilities of $20 million and $22 million for potential taxes on undistributed earnings, including foreign withholding taxes, as of December 31, 2021 and 2020, respectively.</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Other Postretirement Benefits</w:t>
      </w:r>
    </w:p>
    <w:p>
      <w:pPr>
        <w:spacing w:after="0" w:line="24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Kodak’s defined benefit pension and other postretirement benefit costs and obligations are estimated using several key assumptions. The assumptions that have the most significant effect on the Company’s consolidated financial position and results of operations are the expected long-term rate of return on plan assets (“EROA”) and discount rates. Actual results that differ from Kodak’s assumptions are recorded as unrecognized gains and losses as a component of accumulated other comprehensive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7" w:name="page48"/>
    <w:bookmarkEnd w:id="47"/>
    <w:p>
      <w:pPr>
        <w:ind w:right="60"/>
        <w:spacing w:after="0" w:line="266" w:lineRule="auto"/>
        <w:rPr>
          <w:sz w:val="20"/>
          <w:szCs w:val="20"/>
          <w:color w:val="auto"/>
        </w:rPr>
      </w:pPr>
      <w:r>
        <w:rPr>
          <w:rFonts w:ascii="Arial" w:cs="Arial" w:eastAsia="Arial" w:hAnsi="Arial"/>
          <w:sz w:val="17"/>
          <w:szCs w:val="17"/>
          <w:color w:val="auto"/>
        </w:rPr>
        <w:t>Income (loss) in shareholders’ equity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Return on Plan Assets</w:t>
      </w:r>
    </w:p>
    <w:p>
      <w:pPr>
        <w:spacing w:after="0" w:line="3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EROA is a long-term assumption, which Kodak reviews annually. Kodak utilizes asset and liability modeling studies to adjust asset exposures to conform to its investment strategy, and to review its liability hedging program. These studies generate forward-looking estimates of correlation, risk and return which are used in the development of the EROA. The EROA is estimated utilizing a forward-looking building block model which factors in the expected risk of each asset category, return, and correlation over a five to seven-year horizon, and weights the exposures by the strategic asset allocation.</w:t>
      </w:r>
    </w:p>
    <w:p>
      <w:pPr>
        <w:spacing w:after="0" w:line="19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Historical inputs are utilized in the forecasting model, including historical asset returns with adjustments based on the forward-looking view. Kodak aggregates investments into major asset categories based on the underlying benchmark of the strategy. Each allocation to these major asset categories is determined to accomplish unique objectives, including enhancing portfolio return, providing portfolio diversification, or hedging plan liabilities, in accordance with the overall investment strategy.</w:t>
      </w:r>
    </w:p>
    <w:p>
      <w:pPr>
        <w:spacing w:after="0" w:line="20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2021, the calculated value of the assets of Kodak’s major U.S. and non-U.S. defined benefit pension plans was approximately $4.1 billion and the fair value of the assets of Kodak’s major U.S. and non-U.S. defined benefit pension plans was approximately $4.7 billion. Asset gains and losses that are not yet reflected in the calculated value of plan assets are not included in amortization of unrecognized gains and losses.</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Kodak’s major U.S. defined benefit pension plan accounts for substantially all of Kodak’s net pension income and represents approximately 87% of the total fair value of major plan assets as of December 31, 2021. The following table presents actual and expected return on plan assets, as well as the corresponding percentages for Kodak’s major U.S. defined benefit pension plan:</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gridSpan w:val="6"/>
          </w:tcPr>
          <w:p>
            <w:pPr>
              <w:jc w:val="right"/>
              <w:ind w:right="20"/>
              <w:spacing w:after="0"/>
              <w:rPr>
                <w:sz w:val="20"/>
                <w:szCs w:val="20"/>
                <w:color w:val="auto"/>
              </w:rPr>
            </w:pPr>
            <w:r>
              <w:rPr>
                <w:rFonts w:ascii="Arial" w:cs="Arial" w:eastAsia="Arial" w:hAnsi="Arial"/>
                <w:sz w:val="17"/>
                <w:szCs w:val="17"/>
                <w:b w:val="1"/>
                <w:bCs w:val="1"/>
                <w:color w:val="auto"/>
              </w:rPr>
              <w:t>Year Ended December 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200" w:type="dxa"/>
            <w:vAlign w:val="bottom"/>
          </w:tcPr>
          <w:p>
            <w:pPr>
              <w:spacing w:after="0"/>
              <w:rPr>
                <w:sz w:val="20"/>
                <w:szCs w:val="20"/>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7"/>
                <w:szCs w:val="17"/>
                <w:b w:val="1"/>
                <w:bCs w:val="1"/>
                <w:color w:val="auto"/>
              </w:rPr>
              <w:t>2019</w:t>
            </w:r>
          </w:p>
        </w:tc>
        <w:tc>
          <w:tcPr>
            <w:tcW w:w="180" w:type="dxa"/>
            <w:vAlign w:val="bottom"/>
          </w:tcPr>
          <w:p>
            <w:pPr>
              <w:spacing w:after="0"/>
              <w:rPr>
                <w:sz w:val="20"/>
                <w:szCs w:val="20"/>
                <w:color w:val="auto"/>
              </w:rPr>
            </w:pPr>
          </w:p>
        </w:tc>
      </w:tr>
      <w:tr>
        <w:trPr>
          <w:trHeight w:val="228"/>
        </w:trPr>
        <w:tc>
          <w:tcPr>
            <w:tcW w:w="4200" w:type="dxa"/>
            <w:vAlign w:val="bottom"/>
          </w:tcPr>
          <w:p>
            <w:pPr>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Actual return on plan assets</w:t>
            </w:r>
          </w:p>
        </w:tc>
        <w:tc>
          <w:tcPr>
            <w:tcW w:w="2420" w:type="dxa"/>
            <w:vAlign w:val="bottom"/>
            <w:gridSpan w:val="2"/>
            <w:shd w:val="clear" w:color="auto" w:fill="CFF0FC"/>
          </w:tcPr>
          <w:p>
            <w:pPr>
              <w:jc w:val="right"/>
              <w:ind w:right="7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w:t>
            </w:r>
          </w:p>
        </w:tc>
        <w:tc>
          <w:tcPr>
            <w:tcW w:w="3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w:t>
            </w:r>
          </w:p>
        </w:tc>
        <w:tc>
          <w:tcPr>
            <w:tcW w:w="180" w:type="dxa"/>
            <w:vAlign w:val="bottom"/>
            <w:shd w:val="clear" w:color="auto" w:fill="CFF0FC"/>
          </w:tcPr>
          <w:p>
            <w:pPr>
              <w:spacing w:after="0"/>
              <w:rPr>
                <w:sz w:val="19"/>
                <w:szCs w:val="19"/>
                <w:color w:val="auto"/>
              </w:rPr>
            </w:pPr>
          </w:p>
        </w:tc>
      </w:tr>
      <w:tr>
        <w:trPr>
          <w:trHeight w:val="221"/>
        </w:trPr>
        <w:tc>
          <w:tcPr>
            <w:tcW w:w="420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1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214</w:t>
            </w:r>
          </w:p>
        </w:tc>
        <w:tc>
          <w:tcPr>
            <w:tcW w:w="180" w:type="dxa"/>
            <w:vAlign w:val="bottom"/>
          </w:tcPr>
          <w:p>
            <w:pPr>
              <w:spacing w:after="0"/>
              <w:rPr>
                <w:sz w:val="19"/>
                <w:szCs w:val="19"/>
                <w:color w:val="auto"/>
              </w:rPr>
            </w:pPr>
          </w:p>
        </w:tc>
      </w:tr>
      <w:tr>
        <w:trPr>
          <w:trHeight w:val="221"/>
        </w:trPr>
        <w:tc>
          <w:tcPr>
            <w:tcW w:w="4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7"/>
                <w:szCs w:val="17"/>
                <w:color w:val="auto"/>
              </w:rPr>
              <w:t>Actual rate of return on plan assets</w:t>
            </w:r>
          </w:p>
        </w:tc>
        <w:tc>
          <w:tcPr>
            <w:tcW w:w="1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w w:val="96"/>
              </w:rPr>
              <w:t>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9"/>
                <w:szCs w:val="19"/>
                <w:color w:val="auto"/>
              </w:rPr>
              <w:t>14.9%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9"/>
                <w:szCs w:val="19"/>
                <w:color w:val="auto"/>
              </w:rPr>
              <w:t>16.1%</w:t>
            </w:r>
          </w:p>
        </w:tc>
      </w:tr>
      <w:tr>
        <w:trPr>
          <w:trHeight w:val="234"/>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Expected rate of return on plan assets</w:t>
            </w:r>
          </w:p>
        </w:tc>
        <w:tc>
          <w:tcPr>
            <w:tcW w:w="16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5.2%</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6.0%</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6.5%</w:t>
            </w:r>
          </w:p>
        </w:tc>
      </w:tr>
    </w:tbl>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actual rate of return on Kodak’s major U.S. defined benefit pension plan for 2021 was 17.7%, higher than the expected rate of return of 5.2%, driven by higher returns for the U.S. Plan’s private equity and hedge fund portfolio. For 2020 and 2019, the actual rates of return exceeded the expected rates of return driven by strong stock and bond market performance as well as realized gains recorded from derivative investments held by the U.S. Plan. The expected average rate of return on plan assets is a long-term, forward-looking assumption and will likely differ from the actual return in any specific year.</w:t>
      </w:r>
    </w:p>
    <w:p>
      <w:pPr>
        <w:spacing w:after="0" w:line="18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Gains or losses from direct investments in derivative instruments by Kodak’s major U.S defined benefit pension plan can be volatile from year to year and could materially affect the fair value of plan assets. The total net realized (losses) gains from these derivative investments that were included in the actual return on plan assets balance in the table above for the years ending December 31, 2021, 2020 and 2019 was approximately ($23) million, $159 million and $131 million, respectively. Refer to the Derivative Instruments discussion below for additional information.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48" w:name="page49"/>
    <w:bookmarkEnd w:id="48"/>
    <w:p>
      <w:pPr>
        <w:ind w:right="60"/>
        <w:spacing w:after="0" w:line="303" w:lineRule="auto"/>
        <w:rPr>
          <w:sz w:val="20"/>
          <w:szCs w:val="20"/>
          <w:color w:val="auto"/>
        </w:rPr>
      </w:pPr>
      <w:r>
        <w:rPr>
          <w:rFonts w:ascii="Arial" w:cs="Arial" w:eastAsia="Arial" w:hAnsi="Arial"/>
          <w:sz w:val="15"/>
          <w:szCs w:val="15"/>
          <w:color w:val="auto"/>
        </w:rPr>
        <w:t>Approximately $3.4 billion and $3.1 billion of the total fair value of Kodak’s major U.S. defined pension plan as of December 31, 2021 and 2020, respectively, represents plan assets where the fair market value is not readily determinable and are measured using the net asset value (“NAV”) per share expedient. Except for investments in private equity funds and real estate funds, the remaining investments have redemption rights and can be, and historically have been, redeemed by the U.S. Plan at NAV. For private equity funds and real estate funds, the investors do not have an option to redeem their interest in these funds but rather receive distributions from time to time through the liquidation of the underlying investments in the funds. Secondary sales of a material portion of the investments in these funds are infrequent and historically, immaterial portions of these funds were sold for values not significantly different from NAV.</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 Rates:</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 the Citigroup Above Median Pension Discount Curve is used. For Kodak’s non-U.S. plans, discount rates are determined by comparison to published local high-quality bond yields or indices considering estimated plan duration and removing any outlying bonds, as warranted.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Changes in discount rates for Kodak’s major U.S. defined benefit plan has the most significant effect on the total projected benefit obligations for Kodak.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20" w:type="dxa"/>
            <w:vAlign w:val="bottom"/>
            <w:gridSpan w:val="4"/>
          </w:tcPr>
          <w:p>
            <w:pPr>
              <w:jc w:val="right"/>
              <w:ind w:right="33"/>
              <w:spacing w:after="0"/>
              <w:rPr>
                <w:sz w:val="20"/>
                <w:szCs w:val="20"/>
                <w:color w:val="auto"/>
              </w:rPr>
            </w:pPr>
            <w:r>
              <w:rPr>
                <w:rFonts w:ascii="Arial" w:cs="Arial" w:eastAsia="Arial" w:hAnsi="Arial"/>
                <w:sz w:val="17"/>
                <w:szCs w:val="17"/>
                <w:color w:val="auto"/>
                <w:w w:val="92"/>
              </w:rPr>
              <w:t>The table below shows the discount rates for Kodak’s major U.S. pension plan for the years shown: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69"/>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gridSpan w:val="5"/>
          </w:tcPr>
          <w:p>
            <w:pPr>
              <w:ind w:left="140"/>
              <w:spacing w:after="0"/>
              <w:rPr>
                <w:sz w:val="20"/>
                <w:szCs w:val="20"/>
                <w:color w:val="auto"/>
              </w:rPr>
            </w:pPr>
            <w:r>
              <w:rPr>
                <w:rFonts w:ascii="Arial" w:cs="Arial" w:eastAsia="Arial" w:hAnsi="Arial"/>
                <w:sz w:val="17"/>
                <w:szCs w:val="17"/>
                <w:b w:val="1"/>
                <w:bCs w:val="1"/>
                <w:color w:val="auto"/>
                <w:w w:val="96"/>
              </w:rPr>
              <w:t>Year Ended December 31,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5200" w:type="dxa"/>
            <w:vAlign w:val="bottom"/>
            <w:tcBorders>
              <w:bottom w:val="single" w:sz="8" w:color="CFF0FC"/>
            </w:tcBorders>
            <w:gridSpan w:val="2"/>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CFF0FC"/>
            </w:tcBorders>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240" w:type="dxa"/>
            <w:vAlign w:val="bottom"/>
            <w:tcBorders>
              <w:bottom w:val="single" w:sz="8" w:color="auto"/>
            </w:tcBorders>
            <w:shd w:val="clear" w:color="auto" w:fill="CFF0FC"/>
          </w:tcPr>
          <w:p>
            <w:pPr>
              <w:spacing w:after="0" w:line="176" w:lineRule="exact"/>
              <w:rPr>
                <w:sz w:val="20"/>
                <w:szCs w:val="20"/>
                <w:color w:val="auto"/>
              </w:rPr>
            </w:pPr>
            <w:r>
              <w:rPr>
                <w:rFonts w:ascii="Arial" w:cs="Arial" w:eastAsia="Arial" w:hAnsi="Arial"/>
                <w:sz w:val="17"/>
                <w:szCs w:val="17"/>
                <w:color w:val="auto"/>
                <w:w w:val="93"/>
              </w:rPr>
              <w:t>Discount Rates - Projected Benefit Obligation:</w:t>
            </w:r>
          </w:p>
        </w:tc>
        <w:tc>
          <w:tcPr>
            <w:tcW w:w="2640" w:type="dxa"/>
            <w:vAlign w:val="bottom"/>
            <w:tcBorders>
              <w:bottom w:val="single" w:sz="8" w:color="CFF0FC"/>
            </w:tcBorders>
            <w:gridSpan w:val="2"/>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42"/>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7"/>
                <w:szCs w:val="17"/>
                <w:color w:val="auto"/>
              </w:rPr>
              <w:t>U.S. Plan</w:t>
            </w:r>
          </w:p>
        </w:tc>
        <w:tc>
          <w:tcPr>
            <w:tcW w:w="680" w:type="dxa"/>
            <w:vAlign w:val="bottom"/>
            <w:gridSpan w:val="2"/>
          </w:tcPr>
          <w:p>
            <w:pPr>
              <w:jc w:val="right"/>
              <w:ind w:right="180"/>
              <w:spacing w:after="0"/>
              <w:rPr>
                <w:sz w:val="20"/>
                <w:szCs w:val="20"/>
                <w:color w:val="auto"/>
              </w:rPr>
            </w:pPr>
            <w:r>
              <w:rPr>
                <w:rFonts w:ascii="Arial" w:cs="Arial" w:eastAsia="Arial" w:hAnsi="Arial"/>
                <w:sz w:val="19"/>
                <w:szCs w:val="19"/>
                <w:color w:val="auto"/>
                <w:w w:val="89"/>
              </w:rPr>
              <w:t>2.54%</w:t>
            </w:r>
          </w:p>
        </w:tc>
        <w:tc>
          <w:tcPr>
            <w:tcW w:w="1320" w:type="dxa"/>
            <w:vAlign w:val="bottom"/>
            <w:gridSpan w:val="2"/>
          </w:tcPr>
          <w:p>
            <w:pPr>
              <w:jc w:val="right"/>
              <w:ind w:right="160"/>
              <w:spacing w:after="0"/>
              <w:rPr>
                <w:sz w:val="20"/>
                <w:szCs w:val="20"/>
                <w:color w:val="auto"/>
              </w:rPr>
            </w:pPr>
            <w:r>
              <w:rPr>
                <w:rFonts w:ascii="Arial" w:cs="Arial" w:eastAsia="Arial" w:hAnsi="Arial"/>
                <w:sz w:val="19"/>
                <w:szCs w:val="19"/>
                <w:color w:val="auto"/>
              </w:rPr>
              <w:t>2.09%</w:t>
            </w: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9"/>
                <w:szCs w:val="19"/>
                <w:color w:val="auto"/>
              </w:rPr>
              <w:t>2.97%</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As discount rates reflect the market rate on the measurement date, the rates can be volatile from year to year. The increase in the discount rate for Kodak’s major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U.S. defined benefit pension plan from December 31, 2020 to December 31, 2021 resulted in a decrease in the projected benefit obligation of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$105 million at December 31, 2021. The decrease in the discount rate for the U.S. Plan from December 31, 2019 to December 31, 2020 resulted in an increase in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 projected benefit obligation of approximately $276 million at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Sensitivity Analysis:</w:t>
      </w:r>
    </w:p>
    <w:p>
      <w:pPr>
        <w:spacing w:after="0" w:line="31"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The following table illustrates the sensitivity to a change to certain key assumptions used in the calculation of expense for the year ending December 31, 2022 and the projected benefit obligation (“PBO”) at December 31, 2021 for Kodak's major U.S. and non-U.S. defined benefit pension plans: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jc w:val="center"/>
              <w:ind w:right="580"/>
              <w:spacing w:after="0"/>
              <w:rPr>
                <w:sz w:val="20"/>
                <w:szCs w:val="20"/>
                <w:color w:val="auto"/>
              </w:rPr>
            </w:pPr>
            <w:r>
              <w:rPr>
                <w:rFonts w:ascii="Arial" w:cs="Arial" w:eastAsia="Arial" w:hAnsi="Arial"/>
                <w:sz w:val="17"/>
                <w:szCs w:val="17"/>
                <w:b w:val="1"/>
                <w:bCs w:val="1"/>
                <w:color w:val="auto"/>
                <w:w w:val="92"/>
              </w:rPr>
              <w:t>Impact on 2022</w:t>
            </w:r>
          </w:p>
        </w:tc>
        <w:tc>
          <w:tcPr>
            <w:tcW w:w="2160" w:type="dxa"/>
            <w:vAlign w:val="bottom"/>
            <w:gridSpan w:val="4"/>
          </w:tcPr>
          <w:p>
            <w:pPr>
              <w:jc w:val="center"/>
              <w:ind w:right="233"/>
              <w:spacing w:after="0"/>
              <w:rPr>
                <w:sz w:val="20"/>
                <w:szCs w:val="20"/>
                <w:color w:val="auto"/>
              </w:rPr>
            </w:pPr>
            <w:r>
              <w:rPr>
                <w:rFonts w:ascii="Arial" w:cs="Arial" w:eastAsia="Arial" w:hAnsi="Arial"/>
                <w:sz w:val="17"/>
                <w:szCs w:val="17"/>
                <w:b w:val="1"/>
                <w:bCs w:val="1"/>
                <w:color w:val="auto"/>
                <w:w w:val="95"/>
              </w:rPr>
              <w:t>Impact on PBO</w:t>
            </w:r>
          </w:p>
        </w:tc>
      </w:tr>
      <w:tr>
        <w:trPr>
          <w:trHeight w:val="208"/>
        </w:trPr>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jc w:val="center"/>
              <w:ind w:right="580"/>
              <w:spacing w:after="0"/>
              <w:rPr>
                <w:sz w:val="20"/>
                <w:szCs w:val="20"/>
                <w:color w:val="auto"/>
              </w:rPr>
            </w:pPr>
            <w:r>
              <w:rPr>
                <w:rFonts w:ascii="Arial" w:cs="Arial" w:eastAsia="Arial" w:hAnsi="Arial"/>
                <w:sz w:val="17"/>
                <w:szCs w:val="17"/>
                <w:b w:val="1"/>
                <w:bCs w:val="1"/>
                <w:color w:val="auto"/>
                <w:w w:val="89"/>
              </w:rPr>
              <w:t>Pre-Tax Pension Expense</w:t>
            </w:r>
          </w:p>
        </w:tc>
        <w:tc>
          <w:tcPr>
            <w:tcW w:w="2160" w:type="dxa"/>
            <w:vAlign w:val="bottom"/>
            <w:gridSpan w:val="4"/>
          </w:tcPr>
          <w:p>
            <w:pPr>
              <w:jc w:val="center"/>
              <w:ind w:right="233"/>
              <w:spacing w:after="0"/>
              <w:rPr>
                <w:sz w:val="20"/>
                <w:szCs w:val="20"/>
                <w:color w:val="auto"/>
              </w:rPr>
            </w:pPr>
            <w:r>
              <w:rPr>
                <w:rFonts w:ascii="Arial" w:cs="Arial" w:eastAsia="Arial" w:hAnsi="Arial"/>
                <w:sz w:val="17"/>
                <w:szCs w:val="17"/>
                <w:b w:val="1"/>
                <w:bCs w:val="1"/>
                <w:color w:val="auto"/>
                <w:w w:val="91"/>
              </w:rPr>
              <w:t>December 31, 2021</w:t>
            </w:r>
          </w:p>
        </w:tc>
      </w:tr>
      <w:tr>
        <w:trPr>
          <w:trHeight w:val="227"/>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6"/>
          </w:tcPr>
          <w:p>
            <w:pPr>
              <w:jc w:val="center"/>
              <w:ind w:right="600"/>
              <w:spacing w:after="0"/>
              <w:rPr>
                <w:sz w:val="20"/>
                <w:szCs w:val="20"/>
                <w:color w:val="auto"/>
              </w:rPr>
            </w:pPr>
            <w:r>
              <w:rPr>
                <w:rFonts w:ascii="Arial" w:cs="Arial" w:eastAsia="Arial" w:hAnsi="Arial"/>
                <w:sz w:val="17"/>
                <w:szCs w:val="17"/>
                <w:b w:val="1"/>
                <w:bCs w:val="1"/>
                <w:color w:val="auto"/>
                <w:w w:val="89"/>
              </w:rPr>
              <w:t>Increase (Decrease)</w:t>
            </w:r>
          </w:p>
        </w:tc>
        <w:tc>
          <w:tcPr>
            <w:tcW w:w="2160" w:type="dxa"/>
            <w:vAlign w:val="bottom"/>
            <w:gridSpan w:val="4"/>
          </w:tcPr>
          <w:p>
            <w:pPr>
              <w:jc w:val="center"/>
              <w:ind w:right="233"/>
              <w:spacing w:after="0"/>
              <w:rPr>
                <w:sz w:val="20"/>
                <w:szCs w:val="20"/>
                <w:color w:val="auto"/>
              </w:rPr>
            </w:pPr>
            <w:r>
              <w:rPr>
                <w:rFonts w:ascii="Arial" w:cs="Arial" w:eastAsia="Arial" w:hAnsi="Arial"/>
                <w:sz w:val="17"/>
                <w:szCs w:val="17"/>
                <w:b w:val="1"/>
                <w:bCs w:val="1"/>
                <w:color w:val="auto"/>
                <w:w w:val="89"/>
              </w:rPr>
              <w:t>Increase (Decrease)</w:t>
            </w:r>
          </w:p>
        </w:tc>
      </w:tr>
      <w:tr>
        <w:trPr>
          <w:trHeight w:val="214"/>
        </w:trPr>
        <w:tc>
          <w:tcPr>
            <w:tcW w:w="410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U.S.</w:t>
            </w:r>
          </w:p>
        </w:tc>
        <w:tc>
          <w:tcPr>
            <w:tcW w:w="12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7"/>
              </w:rPr>
              <w:t>Non-U.S.</w:t>
            </w: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U.S.</w:t>
            </w:r>
          </w:p>
        </w:tc>
        <w:tc>
          <w:tcPr>
            <w:tcW w:w="12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7"/>
              </w:rPr>
              <w:t>Non-U.S.</w:t>
            </w:r>
          </w:p>
        </w:tc>
      </w:tr>
      <w:tr>
        <w:trPr>
          <w:trHeight w:val="214"/>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Change in assumption:</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1"/>
        </w:trPr>
        <w:tc>
          <w:tcPr>
            <w:tcW w:w="4100" w:type="dxa"/>
            <w:vAlign w:val="bottom"/>
          </w:tcPr>
          <w:p>
            <w:pPr>
              <w:ind w:left="220"/>
              <w:spacing w:after="0"/>
              <w:rPr>
                <w:sz w:val="20"/>
                <w:szCs w:val="20"/>
                <w:color w:val="auto"/>
              </w:rPr>
            </w:pPr>
            <w:r>
              <w:rPr>
                <w:rFonts w:ascii="Arial" w:cs="Arial" w:eastAsia="Arial" w:hAnsi="Arial"/>
                <w:sz w:val="17"/>
                <w:szCs w:val="17"/>
                <w:color w:val="auto"/>
              </w:rPr>
              <w:t>25 basis point decrease in discount rate</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gridSpan w:val="3"/>
          </w:tcPr>
          <w:p>
            <w:pPr>
              <w:ind w:left="720"/>
              <w:spacing w:after="0"/>
              <w:rPr>
                <w:sz w:val="20"/>
                <w:szCs w:val="20"/>
                <w:color w:val="auto"/>
              </w:rPr>
            </w:pPr>
            <w:r>
              <w:rPr>
                <w:rFonts w:ascii="Arial" w:cs="Arial" w:eastAsia="Arial" w:hAnsi="Arial"/>
                <w:sz w:val="17"/>
                <w:szCs w:val="17"/>
                <w:color w:val="auto"/>
              </w:rPr>
              <w:t>—   $</w:t>
            </w:r>
          </w:p>
        </w:tc>
        <w:tc>
          <w:tcPr>
            <w:tcW w:w="920" w:type="dxa"/>
            <w:vAlign w:val="bottom"/>
          </w:tcPr>
          <w:p>
            <w:pPr>
              <w:jc w:val="right"/>
              <w:ind w:right="33"/>
              <w:spacing w:after="0"/>
              <w:rPr>
                <w:sz w:val="20"/>
                <w:szCs w:val="20"/>
                <w:color w:val="auto"/>
              </w:rPr>
            </w:pPr>
            <w:r>
              <w:rPr>
                <w:rFonts w:ascii="Arial" w:cs="Arial" w:eastAsia="Arial" w:hAnsi="Arial"/>
                <w:sz w:val="17"/>
                <w:szCs w:val="17"/>
                <w:color w:val="auto"/>
              </w:rPr>
              <w:t>67</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21</w:t>
            </w:r>
          </w:p>
        </w:tc>
      </w:tr>
      <w:tr>
        <w:trPr>
          <w:trHeight w:val="221"/>
        </w:trPr>
        <w:tc>
          <w:tcPr>
            <w:tcW w:w="4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25 basis point increase in discount rate</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r>
      <w:tr>
        <w:trPr>
          <w:trHeight w:val="221"/>
        </w:trPr>
        <w:tc>
          <w:tcPr>
            <w:tcW w:w="4100" w:type="dxa"/>
            <w:vAlign w:val="bottom"/>
          </w:tcPr>
          <w:p>
            <w:pPr>
              <w:ind w:left="220"/>
              <w:spacing w:after="0"/>
              <w:rPr>
                <w:sz w:val="20"/>
                <w:szCs w:val="20"/>
                <w:color w:val="auto"/>
              </w:rPr>
            </w:pPr>
            <w:r>
              <w:rPr>
                <w:rFonts w:ascii="Arial" w:cs="Arial" w:eastAsia="Arial" w:hAnsi="Arial"/>
                <w:sz w:val="17"/>
                <w:szCs w:val="17"/>
                <w:color w:val="auto"/>
              </w:rPr>
              <w:t>25 basis point decrease in EROA</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N/A</w:t>
            </w:r>
          </w:p>
        </w:tc>
      </w:tr>
      <w:tr>
        <w:trPr>
          <w:trHeight w:val="221"/>
        </w:trPr>
        <w:tc>
          <w:tcPr>
            <w:tcW w:w="4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25 basis point increase in EROA</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N/A</w:t>
            </w:r>
          </w:p>
        </w:tc>
      </w:tr>
    </w:tbl>
    <w:p>
      <w:pPr>
        <w:spacing w:after="0" w:line="22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Total pension income from continuing operations before special termination benefits, curtailments and settlements for the major U.S. defined benefit pension plan was $86 million for 2021 and is expected to be approximately $113 million in 2022. Pension expense from continuing operations before special termination benefits, curtailments and settlements for the major non-U.S. defined benefit pension plans was $2 million for 2021 and is projected to be $8 million in 2022.</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Derivative Instruments:</w:t>
      </w:r>
    </w:p>
    <w:p>
      <w:pPr>
        <w:spacing w:after="0" w:line="3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Kodak’s major U.S. defined benefit plan utilizes derivative investments primarily to hedge liability interest rate risk to U.S. government bonds. Kodak’s major U.S. defined benefit pension plan’s derivative portfolio consists of exchange traded futures contracts. As of December 31, 2021 and 2020 the notional amount of these derivative instruments approximated $1.0 billion and $1.7 billion, respectively. Daily variation margin payments are made to or received from the counterparty for changes in the market value of futures contracts and are recorded as realized gains and losses in the Gain on Plan Assets balance. As these futures contracts have short-term maturities, the fair value of these derivative instruments at December 31, 2021 and 2020 was $10 million and ($4) million, respectively, which represents the unrealized gains and losses on these contracts. Refer to Note 19, “Retirement Plans” in the Notes to Financial Statements for additional information.</w:t>
      </w:r>
    </w:p>
    <w:p>
      <w:pPr>
        <w:spacing w:after="0" w:line="21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An increase in interest rates is the primary factor that could precipitate material losses in the U.S. Plan’s existing derivatives portfolio. A 25-basis point increase in interest rates would cause a loss from the government bond derivatives of approximately $18 million. However, as illustrated in the above table, a 25-basis point increase in the discount rate used to measure the PBO of the U.S. Plan would cause a $65 million decrease in the PBO. Accordingly, while an increase in interest rates would expose the U.S. Plan’s derivative investments to losses, it would also likely result in an offsetting decrease the U.S. Plan’s PBO.</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Kodak’s major U.S. defined benefit plan invests in a diversified portfolio of hedge funds that utilize a variety of investment strategies. The total net asset value of these hedge funds was approximately $1.8 billion and $1.5 billion as of December 31, 2021 and 2020 respectively. Separate from the U.S. Plan’s direct investments in exchange traded futures contracts, hedge funds may utilize derivative instruments to execute their investment strategy.</w:t>
      </w:r>
    </w:p>
    <w:p>
      <w:pPr>
        <w:jc w:val="both"/>
        <w:ind w:right="1000"/>
        <w:spacing w:after="0" w:line="287" w:lineRule="auto"/>
        <w:rPr>
          <w:sz w:val="20"/>
          <w:szCs w:val="20"/>
          <w:color w:val="auto"/>
        </w:rPr>
      </w:pPr>
      <w:r>
        <w:rPr>
          <w:rFonts w:ascii="Arial" w:cs="Arial" w:eastAsia="Arial" w:hAnsi="Arial"/>
          <w:sz w:val="16"/>
          <w:szCs w:val="16"/>
          <w:color w:val="auto"/>
        </w:rPr>
        <w:t>Any gains or losses, as well as changes in the fair value of derivative investments held by the hedge fund, are included in the hedge fund’s net asset value. Losses could occur in the future from hedge fund investments which may result in part from the use of derivative investments by the hedge funds. However, the maximum potential loss on any individual fund would be limited to the U.S. Plan’s investment in that fund.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Workers’ Compensation</w:t>
      </w:r>
    </w:p>
    <w:p>
      <w:pPr>
        <w:spacing w:after="0" w:line="2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w:t>
      </w:r>
    </w:p>
    <w:p>
      <w:pPr>
        <w:spacing w:after="0" w:line="197"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Changes in discount rates is the primary driver for changes in workers’ compensation reserves. Kodak decreased workers’ compensation reserves by approximately $4 million in 2021 and increased workers’ compensation reserves by approximately $7 million in 2020 driven by changes in discount rates. A 25 basis-point change in the discount rate would have had a $2 million impact on the expense and net liability as of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Kodak recorded stock compensation expense of $7 million, $15 million and $7 million for the years ended December 31, 2021, 2020 and 2019,</w:t>
      </w:r>
    </w:p>
    <w:p>
      <w:pPr>
        <w:spacing w:after="0" w:line="25"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respectively. Compensation expense is recognized over the service or performance period for each separately vesting tranche of the award and is adjusted for actual forfeitures before vesting.</w:t>
      </w:r>
    </w:p>
    <w:p>
      <w:pPr>
        <w:spacing w:after="0" w:line="19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Compensation cost related to restricted stock units and restricted stock awards was $5 million, $1 million and $2 million for the years ended December 31, 2021, 2020 and 2019, respectively. The fair value of restricted stock units and restricted stock awards is based on the closing market price of the Company’s stock on the grant date. Changes in the fair value of restricted stock units and restricted stock awards is driven by the volatility of the Company’s stock price and the number of awards issued.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Compensation cost related to stock options for the years ended December 31, 2021, 2020 and 2019 was $2 million, $14 million and $5 million,</w:t>
      </w:r>
    </w:p>
    <w:p>
      <w:pPr>
        <w:spacing w:after="0" w:line="2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respectively. Except for the awards granted on July 27, 2020, which resulted in approximately $12.6 million of compensation expense being recognized in the year ended December 31, 2020, Kodak utilizes the Black-Scholes option valuation model to estimate the fair value of stock options. Changes in the fair value of stock options is primarily driven by the volatility of the Company’s stock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47"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color w:val="auto"/>
        </w:rPr>
        <w:t>Inventories are stated at the lower of average cost or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new accounting pronouncements is contained in Note 1, “Summary of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w:t>
      </w:r>
    </w:p>
    <w:p>
      <w:pPr>
        <w:spacing w:after="0" w:line="20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5" w:lineRule="exact"/>
        <w:rPr>
          <w:sz w:val="20"/>
          <w:szCs w:val="20"/>
          <w:color w:val="auto"/>
        </w:rPr>
      </w:pPr>
    </w:p>
    <w:p>
      <w:pPr>
        <w:jc w:val="both"/>
        <w:ind w:right="280"/>
        <w:spacing w:after="0" w:line="295" w:lineRule="auto"/>
        <w:rPr>
          <w:sz w:val="20"/>
          <w:szCs w:val="20"/>
          <w:color w:val="auto"/>
        </w:rPr>
      </w:pPr>
      <w:r>
        <w:rPr>
          <w:rFonts w:ascii="Arial" w:cs="Arial" w:eastAsia="Arial" w:hAnsi="Arial"/>
          <w:sz w:val="16"/>
          <w:szCs w:val="16"/>
          <w:color w:val="auto"/>
        </w:rPr>
        <w:t>Using a sensitivity analysis based on estimated fair value of open foreign currency forward contracts using available forward rates, if the U.S. dollar had been 10% stronger at December 31, 2021 and 2020, the fair value of open forward contracts would have decreased $14 million and $15 million, respectively. Such changes in fair value would be substantially offset by the revaluation or settlement of the underlying positions hedged.</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majority of the Company’s debt is fixed rate debt. The fair market value of fixed-rate debt is sensitive to changes in interest rates. At December 31, 2021, a 10% change in market interest rates would change the fair value of the Company’s debt by approximately $1 million.</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2021 was not significant to Kodak.</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Eastman Kodak Company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have audited the accompanying consolidated statement of financial position of Eastman Kodak Company (the Company) as of December 31, 2021 and 2020, the related consolidated statement of operations, comprehensive income (loss), equity (deficit) and cash flow for each of the two years in the period ended December 31, 2021, and the related notes and financial statement schedule for each of the two years in the period ended December 31, 2021 listed in the Index at Item 15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15, 2022 expressed an unqualified opinion thereon.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Identification of Embedded Derivatives</w:t>
            </w:r>
          </w:p>
        </w:tc>
      </w:tr>
      <w:tr>
        <w:trPr>
          <w:trHeight w:val="404"/>
        </w:trPr>
        <w:tc>
          <w:tcPr>
            <w:tcW w:w="1800" w:type="dxa"/>
            <w:vAlign w:val="bottom"/>
          </w:tcPr>
          <w:p>
            <w:pPr>
              <w:spacing w:after="0"/>
              <w:rPr>
                <w:sz w:val="20"/>
                <w:szCs w:val="20"/>
                <w:color w:val="auto"/>
              </w:rPr>
            </w:pPr>
            <w:r>
              <w:rPr>
                <w:rFonts w:ascii="Arial" w:cs="Arial" w:eastAsia="Arial" w:hAnsi="Arial"/>
                <w:sz w:val="17"/>
                <w:szCs w:val="17"/>
                <w:i w:val="1"/>
                <w:iCs w:val="1"/>
                <w:color w:val="auto"/>
              </w:rPr>
              <w:t>Description of the</w:t>
            </w:r>
          </w:p>
        </w:tc>
        <w:tc>
          <w:tcPr>
            <w:tcW w:w="9440" w:type="dxa"/>
            <w:vAlign w:val="bottom"/>
          </w:tcPr>
          <w:p>
            <w:pPr>
              <w:ind w:left="220"/>
              <w:spacing w:after="0"/>
              <w:rPr>
                <w:sz w:val="20"/>
                <w:szCs w:val="20"/>
                <w:color w:val="auto"/>
              </w:rPr>
            </w:pPr>
            <w:r>
              <w:rPr>
                <w:rFonts w:ascii="Arial" w:cs="Arial" w:eastAsia="Arial" w:hAnsi="Arial"/>
                <w:sz w:val="17"/>
                <w:szCs w:val="17"/>
                <w:color w:val="auto"/>
                <w:w w:val="94"/>
              </w:rPr>
              <w:t>As discussed in Notes 8, 9 and 13 of the consolidated financial statements, on February 26, 2021 the Company executed a series</w:t>
            </w:r>
          </w:p>
        </w:tc>
      </w:tr>
      <w:tr>
        <w:trPr>
          <w:trHeight w:val="208"/>
        </w:trPr>
        <w:tc>
          <w:tcPr>
            <w:tcW w:w="1800" w:type="dxa"/>
            <w:vAlign w:val="bottom"/>
          </w:tcPr>
          <w:p>
            <w:pPr>
              <w:spacing w:after="0"/>
              <w:rPr>
                <w:sz w:val="20"/>
                <w:szCs w:val="20"/>
                <w:color w:val="auto"/>
              </w:rPr>
            </w:pPr>
            <w:r>
              <w:rPr>
                <w:rFonts w:ascii="Arial" w:cs="Arial" w:eastAsia="Arial" w:hAnsi="Arial"/>
                <w:sz w:val="17"/>
                <w:szCs w:val="17"/>
                <w:i w:val="1"/>
                <w:iCs w:val="1"/>
                <w:color w:val="auto"/>
              </w:rPr>
              <w:t>Matter</w:t>
            </w:r>
          </w:p>
        </w:tc>
        <w:tc>
          <w:tcPr>
            <w:tcW w:w="9440" w:type="dxa"/>
            <w:vAlign w:val="bottom"/>
          </w:tcPr>
          <w:p>
            <w:pPr>
              <w:ind w:left="220"/>
              <w:spacing w:after="0"/>
              <w:rPr>
                <w:sz w:val="20"/>
                <w:szCs w:val="20"/>
                <w:color w:val="auto"/>
              </w:rPr>
            </w:pPr>
            <w:r>
              <w:rPr>
                <w:rFonts w:ascii="Arial" w:cs="Arial" w:eastAsia="Arial" w:hAnsi="Arial"/>
                <w:sz w:val="17"/>
                <w:szCs w:val="17"/>
                <w:color w:val="auto"/>
                <w:w w:val="96"/>
              </w:rPr>
              <w:t>of transactions which included a Term Loan Credit Agreement, an Amended ABL Credit Agreement, a Series A Preferred Stock</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3"/>
              </w:rPr>
              <w:t>Repurchase and Exchange Agreement and a Series C Preferred Stock Purchase Agreement. Certain of these agreements contain</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9"/>
              </w:rPr>
              <w:t>conversion features that are not considered clearly and closely related to their respective host contracts. Accordingly, these</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embedded features are bifurcated and separately accounted for at fair value as derivatives with changes in fair value reported in</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Other (income) charges, net in the Consolidated Statement of Operations.</w:t>
            </w:r>
          </w:p>
        </w:tc>
      </w:tr>
      <w:tr>
        <w:trPr>
          <w:trHeight w:val="561"/>
        </w:trPr>
        <w:tc>
          <w:tcPr>
            <w:tcW w:w="18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Auditing management’s evaluation of the initial accounting for these transactions was challenging due to the complexity in</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assessing the Company's analysis of the terms of the agreements to identify whether there were any embedded derivatives that</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required separate identification and valuation under applicable accounting guidance.</w:t>
            </w:r>
          </w:p>
        </w:tc>
      </w:tr>
      <w:tr>
        <w:trPr>
          <w:trHeight w:val="326"/>
        </w:trPr>
        <w:tc>
          <w:tcPr>
            <w:tcW w:w="1800" w:type="dxa"/>
            <w:vAlign w:val="bottom"/>
          </w:tcPr>
          <w:p>
            <w:pPr>
              <w:spacing w:after="0"/>
              <w:rPr>
                <w:sz w:val="20"/>
                <w:szCs w:val="20"/>
                <w:color w:val="auto"/>
              </w:rPr>
            </w:pPr>
            <w:r>
              <w:rPr>
                <w:rFonts w:ascii="Arial" w:cs="Arial" w:eastAsia="Arial" w:hAnsi="Arial"/>
                <w:sz w:val="17"/>
                <w:szCs w:val="17"/>
                <w:i w:val="1"/>
                <w:iCs w:val="1"/>
                <w:color w:val="auto"/>
                <w:w w:val="99"/>
              </w:rPr>
              <w:t>How We Addressed the</w:t>
            </w:r>
          </w:p>
        </w:tc>
        <w:tc>
          <w:tcPr>
            <w:tcW w:w="9440" w:type="dxa"/>
            <w:vAlign w:val="bottom"/>
          </w:tcPr>
          <w:p>
            <w:pPr>
              <w:ind w:left="220"/>
              <w:spacing w:after="0"/>
              <w:rPr>
                <w:sz w:val="20"/>
                <w:szCs w:val="20"/>
                <w:color w:val="auto"/>
              </w:rPr>
            </w:pPr>
            <w:r>
              <w:rPr>
                <w:rFonts w:ascii="Arial" w:cs="Arial" w:eastAsia="Arial" w:hAnsi="Arial"/>
                <w:sz w:val="17"/>
                <w:szCs w:val="17"/>
                <w:color w:val="auto"/>
                <w:w w:val="96"/>
              </w:rPr>
              <w:t>We obtained an understanding, evaluated the design and tested the operating effectiveness of the Company's controls over the</w:t>
            </w:r>
          </w:p>
        </w:tc>
      </w:tr>
      <w:tr>
        <w:trPr>
          <w:trHeight w:val="208"/>
        </w:trPr>
        <w:tc>
          <w:tcPr>
            <w:tcW w:w="1800" w:type="dxa"/>
            <w:vAlign w:val="bottom"/>
          </w:tcPr>
          <w:p>
            <w:pPr>
              <w:spacing w:after="0"/>
              <w:rPr>
                <w:sz w:val="20"/>
                <w:szCs w:val="20"/>
                <w:color w:val="auto"/>
              </w:rPr>
            </w:pPr>
            <w:r>
              <w:rPr>
                <w:rFonts w:ascii="Arial" w:cs="Arial" w:eastAsia="Arial" w:hAnsi="Arial"/>
                <w:sz w:val="17"/>
                <w:szCs w:val="17"/>
                <w:i w:val="1"/>
                <w:iCs w:val="1"/>
                <w:color w:val="auto"/>
              </w:rPr>
              <w:t>Matter in Our Audit</w:t>
            </w:r>
          </w:p>
        </w:tc>
        <w:tc>
          <w:tcPr>
            <w:tcW w:w="9440" w:type="dxa"/>
            <w:vAlign w:val="bottom"/>
          </w:tcPr>
          <w:p>
            <w:pPr>
              <w:ind w:left="220"/>
              <w:spacing w:after="0"/>
              <w:rPr>
                <w:sz w:val="20"/>
                <w:szCs w:val="20"/>
                <w:color w:val="auto"/>
              </w:rPr>
            </w:pPr>
            <w:r>
              <w:rPr>
                <w:rFonts w:ascii="Arial" w:cs="Arial" w:eastAsia="Arial" w:hAnsi="Arial"/>
                <w:sz w:val="17"/>
                <w:szCs w:val="17"/>
                <w:color w:val="auto"/>
                <w:w w:val="97"/>
              </w:rPr>
              <w:t>company's accounting for the transactions, including its controls over the evaluation of the existence of and accounting for the</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embedded derivatives.</w:t>
            </w:r>
          </w:p>
        </w:tc>
      </w:tr>
      <w:tr>
        <w:trPr>
          <w:trHeight w:val="404"/>
        </w:trPr>
        <w:tc>
          <w:tcPr>
            <w:tcW w:w="18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Our testing of the Company's initial accounting for the transactions, among other procedures, included inspecting the underlying</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agreements and evaluating the Company's accounting analysis of the initial accounting for the transactions, including the</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determination of the balance sheet classification of each transaction and identification of any derivatives included in the</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arrangements. We also assessed the appropriateness of the disclosures in the consolidated financial statements.</w:t>
            </w:r>
          </w:p>
        </w:tc>
      </w:tr>
      <w:tr>
        <w:trPr>
          <w:trHeight w:val="352"/>
        </w:trPr>
        <w:tc>
          <w:tcPr>
            <w:tcW w:w="18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Retirement Benefits – Valuation of Private Equity Investment</w:t>
            </w:r>
          </w:p>
        </w:tc>
      </w:tr>
      <w:tr>
        <w:trPr>
          <w:trHeight w:val="404"/>
        </w:trPr>
        <w:tc>
          <w:tcPr>
            <w:tcW w:w="1800" w:type="dxa"/>
            <w:vAlign w:val="bottom"/>
          </w:tcPr>
          <w:p>
            <w:pPr>
              <w:spacing w:after="0"/>
              <w:rPr>
                <w:sz w:val="20"/>
                <w:szCs w:val="20"/>
                <w:color w:val="auto"/>
              </w:rPr>
            </w:pPr>
            <w:r>
              <w:rPr>
                <w:rFonts w:ascii="Arial" w:cs="Arial" w:eastAsia="Arial" w:hAnsi="Arial"/>
                <w:sz w:val="17"/>
                <w:szCs w:val="17"/>
                <w:i w:val="1"/>
                <w:iCs w:val="1"/>
                <w:color w:val="auto"/>
              </w:rPr>
              <w:t>Description of the</w:t>
            </w:r>
          </w:p>
        </w:tc>
        <w:tc>
          <w:tcPr>
            <w:tcW w:w="9440" w:type="dxa"/>
            <w:vAlign w:val="bottom"/>
          </w:tcPr>
          <w:p>
            <w:pPr>
              <w:ind w:left="220"/>
              <w:spacing w:after="0"/>
              <w:rPr>
                <w:sz w:val="20"/>
                <w:szCs w:val="20"/>
                <w:color w:val="auto"/>
              </w:rPr>
            </w:pPr>
            <w:r>
              <w:rPr>
                <w:rFonts w:ascii="Arial" w:cs="Arial" w:eastAsia="Arial" w:hAnsi="Arial"/>
                <w:sz w:val="17"/>
                <w:szCs w:val="17"/>
                <w:color w:val="auto"/>
                <w:w w:val="96"/>
              </w:rPr>
              <w:t>As described in Note 19 to the consolidated financial statements, at December 31, 2021 the Company’s U.S Plan holds $1,082</w:t>
            </w:r>
          </w:p>
        </w:tc>
      </w:tr>
      <w:tr>
        <w:trPr>
          <w:trHeight w:val="208"/>
        </w:trPr>
        <w:tc>
          <w:tcPr>
            <w:tcW w:w="1800" w:type="dxa"/>
            <w:vAlign w:val="bottom"/>
          </w:tcPr>
          <w:p>
            <w:pPr>
              <w:spacing w:after="0"/>
              <w:rPr>
                <w:sz w:val="20"/>
                <w:szCs w:val="20"/>
                <w:color w:val="auto"/>
              </w:rPr>
            </w:pPr>
            <w:r>
              <w:rPr>
                <w:rFonts w:ascii="Arial" w:cs="Arial" w:eastAsia="Arial" w:hAnsi="Arial"/>
                <w:sz w:val="17"/>
                <w:szCs w:val="17"/>
                <w:i w:val="1"/>
                <w:iCs w:val="1"/>
                <w:color w:val="auto"/>
              </w:rPr>
              <w:t>Matter</w:t>
            </w:r>
          </w:p>
        </w:tc>
        <w:tc>
          <w:tcPr>
            <w:tcW w:w="9440" w:type="dxa"/>
            <w:vAlign w:val="bottom"/>
          </w:tcPr>
          <w:p>
            <w:pPr>
              <w:ind w:left="220"/>
              <w:spacing w:after="0"/>
              <w:rPr>
                <w:sz w:val="20"/>
                <w:szCs w:val="20"/>
                <w:color w:val="auto"/>
              </w:rPr>
            </w:pPr>
            <w:r>
              <w:rPr>
                <w:rFonts w:ascii="Arial" w:cs="Arial" w:eastAsia="Arial" w:hAnsi="Arial"/>
                <w:sz w:val="17"/>
                <w:szCs w:val="17"/>
                <w:color w:val="auto"/>
                <w:w w:val="99"/>
              </w:rPr>
              <w:t>million in private equity investments. The private equity investments are valued primarily based on independent appraisals,</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1"/>
              </w:rPr>
              <w:t>discounted cash flow models, cost and comparable market transactions. These investments are valued by the U.S. Plan using the net</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2"/>
              </w:rPr>
              <w:t>asset value (NAV) per share expedient. For investments with lagged pricing, the Company uses the latest available net asset values,</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and also considers expected return and other relevant material events for the year-end valuation of these investments.</w:t>
            </w:r>
          </w:p>
        </w:tc>
      </w:tr>
      <w:tr>
        <w:trPr>
          <w:trHeight w:val="326"/>
        </w:trPr>
        <w:tc>
          <w:tcPr>
            <w:tcW w:w="18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Auditing the fair value of these private equity investments is challenging because of the higher estimation uncertainty associated</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with the inputs to the underlying net asset values and estimated returns used in determining year-end valuations for investments</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9"/>
              </w:rPr>
              <w:t>with lagged pricing. Additionally, certain information regarding the fair value of these private equity investments is based on</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unaudited information available to management at the time of valuation.</w:t>
            </w:r>
          </w:p>
        </w:tc>
      </w:tr>
      <w:tr>
        <w:trPr>
          <w:trHeight w:val="313"/>
        </w:trPr>
        <w:tc>
          <w:tcPr>
            <w:tcW w:w="1800" w:type="dxa"/>
            <w:vAlign w:val="bottom"/>
          </w:tcPr>
          <w:p>
            <w:pPr>
              <w:spacing w:after="0"/>
              <w:rPr>
                <w:sz w:val="20"/>
                <w:szCs w:val="20"/>
                <w:color w:val="auto"/>
              </w:rPr>
            </w:pPr>
            <w:r>
              <w:rPr>
                <w:rFonts w:ascii="Arial" w:cs="Arial" w:eastAsia="Arial" w:hAnsi="Arial"/>
                <w:sz w:val="17"/>
                <w:szCs w:val="17"/>
                <w:i w:val="1"/>
                <w:iCs w:val="1"/>
                <w:color w:val="auto"/>
                <w:w w:val="99"/>
              </w:rPr>
              <w:t>How We Addressed the</w:t>
            </w:r>
          </w:p>
        </w:tc>
        <w:tc>
          <w:tcPr>
            <w:tcW w:w="9440" w:type="dxa"/>
            <w:vAlign w:val="bottom"/>
          </w:tcPr>
          <w:p>
            <w:pPr>
              <w:ind w:left="220"/>
              <w:spacing w:after="0"/>
              <w:rPr>
                <w:sz w:val="20"/>
                <w:szCs w:val="20"/>
                <w:color w:val="auto"/>
              </w:rPr>
            </w:pPr>
            <w:r>
              <w:rPr>
                <w:rFonts w:ascii="Arial" w:cs="Arial" w:eastAsia="Arial" w:hAnsi="Arial"/>
                <w:sz w:val="17"/>
                <w:szCs w:val="17"/>
                <w:color w:val="auto"/>
                <w:w w:val="96"/>
              </w:rPr>
              <w:t>We obtained an understanding, evaluated the design and tested the operating effectiveness of the Company's controls over the</w:t>
            </w:r>
          </w:p>
        </w:tc>
      </w:tr>
      <w:tr>
        <w:trPr>
          <w:trHeight w:val="208"/>
        </w:trPr>
        <w:tc>
          <w:tcPr>
            <w:tcW w:w="1800" w:type="dxa"/>
            <w:vAlign w:val="bottom"/>
          </w:tcPr>
          <w:p>
            <w:pPr>
              <w:spacing w:after="0"/>
              <w:rPr>
                <w:sz w:val="20"/>
                <w:szCs w:val="20"/>
                <w:color w:val="auto"/>
              </w:rPr>
            </w:pPr>
            <w:r>
              <w:rPr>
                <w:rFonts w:ascii="Arial" w:cs="Arial" w:eastAsia="Arial" w:hAnsi="Arial"/>
                <w:sz w:val="17"/>
                <w:szCs w:val="17"/>
                <w:i w:val="1"/>
                <w:iCs w:val="1"/>
                <w:color w:val="auto"/>
              </w:rPr>
              <w:t>Matter in Our Audit</w:t>
            </w: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valuation of plan assets. This included testing management’s controls over private equity investment valuation, which included a</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7"/>
              </w:rPr>
              <w:t>comparison of historical returns to benchmarks, a look-back analysis to identify if there were significant changes in the private</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1"/>
              </w:rPr>
              <w:t>equity fund valuations subsequent to year-end values, inspecting responses to questionnaires sent to asset managers and evaluating</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4"/>
              </w:rPr>
              <w:t>the fourth quarter returns of benchmark indices to assess whether the valuations of the U.S. Plan’s private equity investments with</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lagged pricing should be adjusted.</w:t>
            </w:r>
          </w:p>
        </w:tc>
      </w:tr>
      <w:tr>
        <w:trPr>
          <w:trHeight w:val="404"/>
        </w:trPr>
        <w:tc>
          <w:tcPr>
            <w:tcW w:w="18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Our audit procedures included, among others, comparing private equity investment returns to selected relevant benchmarks and</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understanding variations, obtaining the latest audited financial statements and comparing to the Company's recorded values and</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2"/>
              </w:rPr>
              <w:t>understanding any significant differences. We also inquired of management about changes to the investment portfolio and/or related</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5"/>
              </w:rPr>
              <w:t>investment strategies and considerations. We assessed the historical accuracy of management's estimates by comparing actual</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8"/>
              </w:rPr>
              <w:t>activity to previous estimates. We evaluated for contrary evidence by confirming the net asset values of the investments and</w:t>
            </w:r>
          </w:p>
        </w:tc>
      </w:tr>
      <w:tr>
        <w:trPr>
          <w:trHeight w:val="208"/>
        </w:trPr>
        <w:tc>
          <w:tcPr>
            <w:tcW w:w="1800" w:type="dxa"/>
            <w:vAlign w:val="bottom"/>
          </w:tcPr>
          <w:p>
            <w:pPr>
              <w:spacing w:after="0"/>
              <w:rPr>
                <w:sz w:val="18"/>
                <w:szCs w:val="18"/>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w w:val="93"/>
              </w:rPr>
              <w:t>ownership interests directly with the trustees and a sample of managers at year end. We also assessed the appropriateness of the</w:t>
            </w:r>
          </w:p>
        </w:tc>
      </w:tr>
      <w:tr>
        <w:trPr>
          <w:trHeight w:val="221"/>
        </w:trPr>
        <w:tc>
          <w:tcPr>
            <w:tcW w:w="180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Arial" w:cs="Arial" w:eastAsia="Arial" w:hAnsi="Arial"/>
                <w:sz w:val="17"/>
                <w:szCs w:val="17"/>
                <w:color w:val="auto"/>
              </w:rPr>
              <w:t>disclosures in the consolidated financial statements.</w:t>
            </w:r>
          </w:p>
        </w:tc>
      </w:tr>
      <w:tr>
        <w:trPr>
          <w:trHeight w:val="417"/>
        </w:trPr>
        <w:tc>
          <w:tcPr>
            <w:tcW w:w="1800" w:type="dxa"/>
            <w:vAlign w:val="bottom"/>
          </w:tcPr>
          <w:p>
            <w:pPr>
              <w:spacing w:after="0"/>
              <w:rPr>
                <w:sz w:val="24"/>
                <w:szCs w:val="24"/>
                <w:color w:val="auto"/>
              </w:rPr>
            </w:pPr>
          </w:p>
        </w:tc>
        <w:tc>
          <w:tcPr>
            <w:tcW w:w="9440" w:type="dxa"/>
            <w:vAlign w:val="bottom"/>
          </w:tcPr>
          <w:p>
            <w:pPr>
              <w:ind w:left="3740"/>
              <w:spacing w:after="0"/>
              <w:rPr>
                <w:sz w:val="20"/>
                <w:szCs w:val="20"/>
                <w:color w:val="auto"/>
              </w:rPr>
            </w:pPr>
            <w:r>
              <w:rPr>
                <w:rFonts w:ascii="Arial" w:cs="Arial" w:eastAsia="Arial" w:hAnsi="Arial"/>
                <w:sz w:val="17"/>
                <w:szCs w:val="17"/>
                <w:color w:val="auto"/>
              </w:rPr>
              <w:t>53</w:t>
            </w:r>
          </w:p>
        </w:tc>
      </w:tr>
      <w:tr>
        <w:trPr>
          <w:trHeight w:val="110"/>
        </w:trPr>
        <w:tc>
          <w:tcPr>
            <w:tcW w:w="1800" w:type="dxa"/>
            <w:vAlign w:val="bottom"/>
            <w:tcBorders>
              <w:bottom w:val="single" w:sz="8" w:color="9A9A9A"/>
            </w:tcBorders>
          </w:tcPr>
          <w:p>
            <w:pPr>
              <w:spacing w:after="0"/>
              <w:rPr>
                <w:sz w:val="9"/>
                <w:szCs w:val="9"/>
                <w:color w:val="auto"/>
              </w:rPr>
            </w:pPr>
          </w:p>
        </w:tc>
        <w:tc>
          <w:tcPr>
            <w:tcW w:w="9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15, 2022</w:t>
      </w:r>
    </w:p>
    <w:p>
      <w:pPr>
        <w:spacing w:after="0" w:line="235" w:lineRule="exact"/>
        <w:rPr>
          <w:sz w:val="20"/>
          <w:szCs w:val="20"/>
          <w:color w:val="auto"/>
        </w:rPr>
      </w:pPr>
    </w:p>
    <w:p>
      <w:pPr>
        <w:ind w:left="100"/>
        <w:spacing w:after="0"/>
        <w:tabs>
          <w:tab w:leader="none" w:pos="1460" w:val="left"/>
          <w:tab w:leader="none" w:pos="3320" w:val="left"/>
          <w:tab w:leader="none" w:pos="4900" w:val="left"/>
          <w:tab w:leader="none" w:pos="7000" w:val="left"/>
          <w:tab w:leader="none" w:pos="8740" w:val="left"/>
        </w:tabs>
        <w:rPr>
          <w:sz w:val="20"/>
          <w:szCs w:val="20"/>
          <w:color w:val="auto"/>
        </w:rPr>
      </w:pPr>
      <w:r>
        <w:rPr>
          <w:rFonts w:ascii="Arial" w:cs="Arial" w:eastAsia="Arial" w:hAnsi="Arial"/>
          <w:sz w:val="17"/>
          <w:szCs w:val="17"/>
          <w:color w:val="auto"/>
        </w:rPr>
        <w:t># of Firm Id</w:t>
      </w:r>
      <w:r>
        <w:rPr>
          <w:sz w:val="20"/>
          <w:szCs w:val="20"/>
          <w:color w:val="auto"/>
        </w:rPr>
        <w:tab/>
      </w:r>
      <w:r>
        <w:rPr>
          <w:rFonts w:ascii="Arial" w:cs="Arial" w:eastAsia="Arial" w:hAnsi="Arial"/>
          <w:sz w:val="17"/>
          <w:szCs w:val="17"/>
          <w:color w:val="auto"/>
        </w:rPr>
        <w:t>EY-42;</w:t>
      </w:r>
      <w:r>
        <w:rPr>
          <w:sz w:val="20"/>
          <w:szCs w:val="20"/>
          <w:color w:val="auto"/>
        </w:rPr>
        <w:tab/>
      </w:r>
      <w:r>
        <w:rPr>
          <w:rFonts w:ascii="Arial" w:cs="Arial" w:eastAsia="Arial" w:hAnsi="Arial"/>
          <w:sz w:val="17"/>
          <w:szCs w:val="17"/>
          <w:color w:val="auto"/>
        </w:rPr>
        <w:t>Auditor Name:</w:t>
      </w:r>
      <w:r>
        <w:rPr>
          <w:sz w:val="20"/>
          <w:szCs w:val="20"/>
          <w:color w:val="auto"/>
        </w:rPr>
        <w:tab/>
      </w:r>
      <w:r>
        <w:rPr>
          <w:rFonts w:ascii="Arial" w:cs="Arial" w:eastAsia="Arial" w:hAnsi="Arial"/>
          <w:sz w:val="17"/>
          <w:szCs w:val="17"/>
          <w:color w:val="auto"/>
        </w:rPr>
        <w:t>Ernst &amp; Young</w:t>
      </w:r>
      <w:r>
        <w:rPr>
          <w:sz w:val="20"/>
          <w:szCs w:val="20"/>
          <w:color w:val="auto"/>
        </w:rPr>
        <w:tab/>
      </w:r>
      <w:r>
        <w:rPr>
          <w:rFonts w:ascii="Arial" w:cs="Arial" w:eastAsia="Arial" w:hAnsi="Arial"/>
          <w:sz w:val="17"/>
          <w:szCs w:val="17"/>
          <w:color w:val="auto"/>
        </w:rPr>
        <w:t>Auditor Location:</w:t>
      </w:r>
      <w:r>
        <w:rPr>
          <w:sz w:val="20"/>
          <w:szCs w:val="20"/>
          <w:color w:val="auto"/>
        </w:rPr>
        <w:tab/>
      </w:r>
      <w:r>
        <w:rPr>
          <w:rFonts w:ascii="Arial" w:cs="Arial" w:eastAsia="Arial" w:hAnsi="Arial"/>
          <w:sz w:val="15"/>
          <w:szCs w:val="15"/>
          <w:color w:val="auto"/>
        </w:rPr>
        <w:t>Rochester, New York, USA</w:t>
      </w: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680"/>
          </w:cols>
          <w:pgMar w:left="320" w:top="336" w:right="89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Eastman Kodak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audited Eastman Kodak Company’s internal control over financial reporting as of December 31, 2021, based on criteria established in Internal Control-Integrated Framework issued by the Committee of Sponsoring Organizations of the Treadway Commission (2013 framework), (the COSO criteria). In our opinion, Eastman Kodak Company (the Company) maintained, in all material respects, effective internal control over financial reporting as of December 31, 2021, based on the COSO criteria.</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statement of financial position of the Company as of December 31, 2021 and 2020, the related consolidated statement of operations, comprehensive income (loss), equity (deficit) and cash flow for each of the two years in the period ended December 31, 2021, and the related notes and financial statement schedule for each of the two years in the period ended December 31, 2021 listed in the Index at Item 15, and our report dated March 15, 2022 expressed an unqualified opinion thereon.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March 15, 2022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Report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2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have audited the consolidated statements of operations, comprehensive (loss) income, equity (deficit) and cash flow of Eastman Kodak Company and its subsidiaries (the “Company”) for the year ended December 31, 2019, including the related notes and schedule of valuation and qualifying accounts for the year ended December 31, 2019 appearing under Item 15(1) (collectively referred to as the “consolidated financial statements”). In our opinion, the consolidated financial statements present fairly, in all material respects, the results of operations and cash flows of the Company for the year ended December 31, 2019 in conformity with accounting principles generally accepted in the United States of America.</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Doubt About the Company’s Ability to Continue as a Going Concern</w:t>
      </w:r>
    </w:p>
    <w:p>
      <w:pPr>
        <w:spacing w:after="0" w:line="2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(not presented herein) to the consolidated financial statements, the Company has limitations on its ability to repatriate cash held outside the U.S. to other jurisdictions, experienced recent operating losses and negative cash flow from operations, redemption dates in 2021 for debt and preferred stock and significant cash requirements to fund ongoing operations and other obligations that raise substantial doubt about its ability to continue as a going concern. Management’s plans in regard to these matters are also described in Note 1 (not presented herein). The consolidated financial statements do not include any adjustments that might result from the outcome of this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2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March 17, 2020, except for the change in composition of reportable segments discussed in Note 27 (not presented herein) to the consolidated financial statements appearing under Item 8 of the Company’s 2020 Annual Report on Form 10-K, as to which the date is March 16, 2021.</w:t>
      </w:r>
    </w:p>
    <w:p>
      <w:pPr>
        <w:spacing w:after="0" w:line="81"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We served as the Company's auditor from at least 1924 to 2020. We have not been able to determine the specific year we began serving as auditor of the Company.</w:t>
      </w:r>
    </w:p>
    <w:p>
      <w:pPr>
        <w:spacing w:after="0" w:line="185" w:lineRule="exact"/>
        <w:rPr>
          <w:sz w:val="20"/>
          <w:szCs w:val="20"/>
          <w:color w:val="auto"/>
        </w:rPr>
      </w:pPr>
    </w:p>
    <w:p>
      <w:pPr>
        <w:ind w:left="140"/>
        <w:spacing w:after="0"/>
        <w:tabs>
          <w:tab w:leader="none" w:pos="1420" w:val="left"/>
          <w:tab w:leader="none" w:pos="3160" w:val="left"/>
          <w:tab w:leader="none" w:pos="4880" w:val="left"/>
          <w:tab w:leader="none" w:pos="6760" w:val="left"/>
          <w:tab w:leader="none" w:pos="8560" w:val="left"/>
        </w:tabs>
        <w:rPr>
          <w:sz w:val="20"/>
          <w:szCs w:val="20"/>
          <w:color w:val="auto"/>
        </w:rPr>
      </w:pPr>
      <w:r>
        <w:rPr>
          <w:rFonts w:ascii="Arial" w:cs="Arial" w:eastAsia="Arial" w:hAnsi="Arial"/>
          <w:sz w:val="17"/>
          <w:szCs w:val="17"/>
          <w:color w:val="auto"/>
        </w:rPr>
        <w:t># of Firm Id</w:t>
      </w:r>
      <w:r>
        <w:rPr>
          <w:sz w:val="20"/>
          <w:szCs w:val="20"/>
          <w:color w:val="auto"/>
        </w:rPr>
        <w:tab/>
      </w:r>
      <w:r>
        <w:rPr>
          <w:rFonts w:ascii="Arial" w:cs="Arial" w:eastAsia="Arial" w:hAnsi="Arial"/>
          <w:sz w:val="17"/>
          <w:szCs w:val="17"/>
          <w:color w:val="auto"/>
        </w:rPr>
        <w:t>PwC-238</w:t>
      </w:r>
      <w:r>
        <w:rPr>
          <w:sz w:val="20"/>
          <w:szCs w:val="20"/>
          <w:color w:val="auto"/>
        </w:rPr>
        <w:tab/>
      </w:r>
      <w:r>
        <w:rPr>
          <w:rFonts w:ascii="Arial" w:cs="Arial" w:eastAsia="Arial" w:hAnsi="Arial"/>
          <w:sz w:val="17"/>
          <w:szCs w:val="17"/>
          <w:color w:val="auto"/>
        </w:rPr>
        <w:t>Auditor Name:</w:t>
      </w:r>
      <w:r>
        <w:rPr>
          <w:sz w:val="20"/>
          <w:szCs w:val="20"/>
          <w:color w:val="auto"/>
        </w:rPr>
        <w:tab/>
      </w:r>
      <w:r>
        <w:rPr>
          <w:rFonts w:ascii="Arial" w:cs="Arial" w:eastAsia="Arial" w:hAnsi="Arial"/>
          <w:sz w:val="17"/>
          <w:szCs w:val="17"/>
          <w:color w:val="auto"/>
        </w:rPr>
        <w:t>PricewaterhouseCoopers</w:t>
        <w:tab/>
        <w:t>Auditor Location:</w:t>
      </w:r>
      <w:r>
        <w:rPr>
          <w:sz w:val="20"/>
          <w:szCs w:val="20"/>
          <w:color w:val="auto"/>
        </w:rPr>
        <w:tab/>
      </w:r>
      <w:r>
        <w:rPr>
          <w:rFonts w:ascii="Arial" w:cs="Arial" w:eastAsia="Arial" w:hAnsi="Arial"/>
          <w:sz w:val="15"/>
          <w:szCs w:val="15"/>
          <w:color w:val="auto"/>
        </w:rPr>
        <w:t>Rochester, New York, USA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8"/>
        </w:trPr>
        <w:tc>
          <w:tcPr>
            <w:tcW w:w="5420" w:type="dxa"/>
            <w:vAlign w:val="bottom"/>
          </w:tcPr>
          <w:p>
            <w:pPr>
              <w:spacing w:after="0"/>
              <w:rPr>
                <w:sz w:val="20"/>
                <w:szCs w:val="20"/>
                <w:color w:val="auto"/>
              </w:rPr>
            </w:pPr>
            <w:r>
              <w:rPr>
                <w:rFonts w:ascii="Arial" w:cs="Arial" w:eastAsia="Arial" w:hAnsi="Arial"/>
                <w:sz w:val="17"/>
                <w:szCs w:val="17"/>
                <w:b w:val="1"/>
                <w:bCs w:val="1"/>
                <w:color w:val="auto"/>
              </w:rPr>
              <w:t>EASTMAN KODAK COMPANY</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tcPr>
          <w:p>
            <w:pPr>
              <w:spacing w:after="0"/>
              <w:rPr>
                <w:sz w:val="20"/>
                <w:szCs w:val="20"/>
                <w:color w:val="auto"/>
              </w:rPr>
            </w:pPr>
            <w:r>
              <w:rPr>
                <w:rFonts w:ascii="Arial" w:cs="Arial" w:eastAsia="Arial" w:hAnsi="Arial"/>
                <w:sz w:val="17"/>
                <w:szCs w:val="17"/>
                <w:b w:val="1"/>
                <w:bCs w:val="1"/>
                <w:color w:val="auto"/>
              </w:rPr>
              <w:t>CONSOLIDATED STATEMENT OF OPERATIONS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40" w:type="dxa"/>
            <w:vAlign w:val="bottom"/>
            <w:gridSpan w:val="6"/>
            <w:vMerge w:val="restart"/>
          </w:tcPr>
          <w:p>
            <w:pPr>
              <w:jc w:val="right"/>
              <w:ind w:right="164"/>
              <w:spacing w:after="0"/>
              <w:rPr>
                <w:sz w:val="20"/>
                <w:szCs w:val="20"/>
                <w:color w:val="auto"/>
              </w:rPr>
            </w:pPr>
            <w:r>
              <w:rPr>
                <w:rFonts w:ascii="Arial" w:cs="Arial" w:eastAsia="Arial" w:hAnsi="Arial"/>
                <w:sz w:val="17"/>
                <w:szCs w:val="17"/>
                <w:b w:val="1"/>
                <w:bCs w:val="1"/>
                <w:color w:val="auto"/>
              </w:rPr>
              <w:t>Year Ended December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(in millions, except per share data)</w:t>
            </w:r>
          </w:p>
        </w:tc>
        <w:tc>
          <w:tcPr>
            <w:tcW w:w="1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240"/>
              <w:spacing w:after="0"/>
              <w:rPr>
                <w:sz w:val="20"/>
                <w:szCs w:val="20"/>
                <w:color w:val="auto"/>
              </w:rPr>
            </w:pPr>
            <w:r>
              <w:rPr>
                <w:rFonts w:ascii="Arial" w:cs="Arial" w:eastAsia="Arial" w:hAnsi="Arial"/>
                <w:sz w:val="17"/>
                <w:szCs w:val="17"/>
                <w:color w:val="auto"/>
              </w:rPr>
              <w:t>Sales</w:t>
            </w:r>
          </w:p>
        </w:tc>
        <w:tc>
          <w:tcPr>
            <w:tcW w:w="2140" w:type="dxa"/>
            <w:vAlign w:val="bottom"/>
            <w:gridSpan w:val="2"/>
          </w:tcPr>
          <w:p>
            <w:pPr>
              <w:jc w:val="right"/>
              <w:ind w:right="69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925</w:t>
            </w:r>
          </w:p>
        </w:tc>
        <w:tc>
          <w:tcPr>
            <w:tcW w:w="2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806</w:t>
            </w:r>
          </w:p>
        </w:tc>
        <w:tc>
          <w:tcPr>
            <w:tcW w:w="2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1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net revenues</w:t>
            </w:r>
          </w:p>
        </w:tc>
        <w:tc>
          <w:tcPr>
            <w:tcW w:w="12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1,150</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240"/>
              <w:spacing w:after="0"/>
              <w:rPr>
                <w:sz w:val="20"/>
                <w:szCs w:val="20"/>
                <w:color w:val="auto"/>
              </w:rPr>
            </w:pPr>
            <w:r>
              <w:rPr>
                <w:rFonts w:ascii="Arial" w:cs="Arial" w:eastAsia="Arial" w:hAnsi="Arial"/>
                <w:sz w:val="17"/>
                <w:szCs w:val="17"/>
                <w:color w:val="auto"/>
              </w:rPr>
              <w:t>Sales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1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cost of revenues</w:t>
            </w:r>
          </w:p>
        </w:tc>
        <w:tc>
          <w:tcPr>
            <w:tcW w:w="12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(income) expense, net</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rPr>
                <w:sz w:val="20"/>
                <w:szCs w:val="20"/>
                <w:color w:val="auto"/>
              </w:rPr>
            </w:pPr>
            <w:r>
              <w:rPr>
                <w:rFonts w:ascii="Arial" w:cs="Arial" w:eastAsia="Arial" w:hAnsi="Arial"/>
                <w:sz w:val="17"/>
                <w:szCs w:val="17"/>
                <w:color w:val="auto"/>
              </w:rPr>
              <w:t>Loss from continuing operations before interest expense,</w:t>
            </w:r>
          </w:p>
        </w:tc>
        <w:tc>
          <w:tcPr>
            <w:tcW w:w="1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40"/>
              <w:spacing w:after="0"/>
              <w:rPr>
                <w:sz w:val="20"/>
                <w:szCs w:val="20"/>
                <w:color w:val="auto"/>
              </w:rPr>
            </w:pPr>
            <w:r>
              <w:rPr>
                <w:rFonts w:ascii="Arial" w:cs="Arial" w:eastAsia="Arial" w:hAnsi="Arial"/>
                <w:sz w:val="17"/>
                <w:szCs w:val="17"/>
                <w:color w:val="auto"/>
              </w:rPr>
              <w:t>pension income excluding service cost component,</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40"/>
              <w:spacing w:after="0"/>
              <w:rPr>
                <w:sz w:val="20"/>
                <w:szCs w:val="20"/>
                <w:color w:val="auto"/>
              </w:rPr>
            </w:pPr>
            <w:r>
              <w:rPr>
                <w:rFonts w:ascii="Arial" w:cs="Arial" w:eastAsia="Arial" w:hAnsi="Arial"/>
                <w:sz w:val="17"/>
                <w:szCs w:val="17"/>
                <w:color w:val="auto"/>
              </w:rPr>
              <w:t>loss on early extinguishment of debt, other (income)</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140"/>
              <w:spacing w:after="0"/>
              <w:rPr>
                <w:sz w:val="20"/>
                <w:szCs w:val="20"/>
                <w:color w:val="auto"/>
              </w:rPr>
            </w:pPr>
            <w:r>
              <w:rPr>
                <w:rFonts w:ascii="Arial" w:cs="Arial" w:eastAsia="Arial" w:hAnsi="Arial"/>
                <w:sz w:val="17"/>
                <w:szCs w:val="17"/>
                <w:color w:val="auto"/>
              </w:rPr>
              <w:t>charges, net and income taxes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(46)</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Pension income excluding service cost component</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(102)</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(98)</w:t>
            </w: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Loss on early extinguishment of debt</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Other (income) charges, net</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Earnings (loss) from continuing operations before</w:t>
            </w:r>
          </w:p>
        </w:tc>
        <w:tc>
          <w:tcPr>
            <w:tcW w:w="1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income taxes</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(376)</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Provision for income taxes</w:t>
            </w:r>
          </w:p>
        </w:tc>
        <w:tc>
          <w:tcPr>
            <w:tcW w:w="1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Earnings (loss) from continuing operations</w:t>
            </w: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(544)</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Earnings from discontinued operations, net of income taxes</w:t>
            </w:r>
          </w:p>
        </w:tc>
        <w:tc>
          <w:tcPr>
            <w:tcW w:w="1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214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(541)</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(loss) per share attributable to</w:t>
            </w: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Eastman Kodak Company common shareholders:</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240"/>
              <w:spacing w:after="0"/>
              <w:rPr>
                <w:sz w:val="20"/>
                <w:szCs w:val="20"/>
                <w:color w:val="auto"/>
              </w:rPr>
            </w:pPr>
            <w:r>
              <w:rPr>
                <w:rFonts w:ascii="Arial" w:cs="Arial" w:eastAsia="Arial" w:hAnsi="Arial"/>
                <w:sz w:val="17"/>
                <w:szCs w:val="17"/>
                <w:color w:val="auto"/>
              </w:rPr>
              <w:t>Continuing operations</w:t>
            </w:r>
          </w:p>
        </w:tc>
        <w:tc>
          <w:tcPr>
            <w:tcW w:w="2140" w:type="dxa"/>
            <w:vAlign w:val="bottom"/>
            <w:gridSpan w:val="2"/>
          </w:tcPr>
          <w:p>
            <w:pPr>
              <w:jc w:val="right"/>
              <w:ind w:right="69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0.28</w:t>
            </w:r>
          </w:p>
        </w:tc>
        <w:tc>
          <w:tcPr>
            <w:tcW w:w="2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(9.83)</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Discontinued operations</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(0.00)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40"/>
              <w:spacing w:after="0"/>
              <w:rPr>
                <w:sz w:val="20"/>
                <w:szCs w:val="20"/>
                <w:color w:val="auto"/>
              </w:rPr>
            </w:pPr>
            <w:r>
              <w:rPr>
                <w:rFonts w:ascii="Arial" w:cs="Arial" w:eastAsia="Arial" w:hAnsi="Arial"/>
                <w:sz w:val="17"/>
                <w:szCs w:val="17"/>
                <w:color w:val="auto"/>
              </w:rPr>
              <w:t>Total</w:t>
            </w: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420" w:type="dxa"/>
            <w:vAlign w:val="bottom"/>
            <w:vMerge w:val="continue"/>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jc w:val="right"/>
              <w:ind w:right="69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0.28</w:t>
            </w:r>
          </w:p>
        </w:tc>
        <w:tc>
          <w:tcPr>
            <w:tcW w:w="240" w:type="dxa"/>
            <w:vAlign w:val="bottom"/>
          </w:tcPr>
          <w:p>
            <w:pPr>
              <w:spacing w:after="0"/>
              <w:rPr>
                <w:sz w:val="22"/>
                <w:szCs w:val="22"/>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(9.77)</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4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7"/>
                <w:szCs w:val="17"/>
                <w:color w:val="auto"/>
              </w:rPr>
              <w:t>Diluted earnings (loss) per share attributable to</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140"/>
              <w:spacing w:after="0"/>
              <w:rPr>
                <w:sz w:val="20"/>
                <w:szCs w:val="20"/>
                <w:color w:val="auto"/>
              </w:rPr>
            </w:pPr>
            <w:r>
              <w:rPr>
                <w:rFonts w:ascii="Arial" w:cs="Arial" w:eastAsia="Arial" w:hAnsi="Arial"/>
                <w:sz w:val="17"/>
                <w:szCs w:val="17"/>
                <w:color w:val="auto"/>
              </w:rPr>
              <w:t>Eastman Kodak Company common shareholders: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Continuing operations</w:t>
            </w:r>
          </w:p>
        </w:tc>
        <w:tc>
          <w:tcPr>
            <w:tcW w:w="214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(9.83)</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21"/>
        </w:trPr>
        <w:tc>
          <w:tcPr>
            <w:tcW w:w="5420" w:type="dxa"/>
            <w:vAlign w:val="bottom"/>
          </w:tcPr>
          <w:p>
            <w:pPr>
              <w:ind w:left="120"/>
              <w:spacing w:after="0"/>
              <w:rPr>
                <w:sz w:val="20"/>
                <w:szCs w:val="20"/>
                <w:color w:val="auto"/>
              </w:rPr>
            </w:pPr>
            <w:r>
              <w:rPr>
                <w:rFonts w:ascii="Arial" w:cs="Arial" w:eastAsia="Arial" w:hAnsi="Arial"/>
                <w:sz w:val="17"/>
                <w:szCs w:val="17"/>
                <w:color w:val="auto"/>
              </w:rPr>
              <w:t>Discontinued operations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(0.00)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1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2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(9.77)</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Number of common shares used in basic and</w:t>
            </w: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diluted earnings (loss) per share</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240"/>
              <w:spacing w:after="0"/>
              <w:rPr>
                <w:sz w:val="20"/>
                <w:szCs w:val="20"/>
                <w:color w:val="auto"/>
              </w:rPr>
            </w:pPr>
            <w:r>
              <w:rPr>
                <w:rFonts w:ascii="Arial" w:cs="Arial" w:eastAsia="Arial" w:hAnsi="Arial"/>
                <w:sz w:val="17"/>
                <w:szCs w:val="17"/>
                <w:color w:val="auto"/>
              </w:rPr>
              <w:t>Basic</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1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INCOME (LOSS)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FF0FC"/>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EARNINGS (LOSS)</w:t>
            </w:r>
          </w:p>
        </w:tc>
        <w:tc>
          <w:tcPr>
            <w:tcW w:w="1020" w:type="dxa"/>
            <w:vAlign w:val="bottom"/>
            <w:shd w:val="clear" w:color="auto" w:fill="CFF0FC"/>
          </w:tcPr>
          <w:p>
            <w:pPr>
              <w:jc w:val="right"/>
              <w:ind w:right="8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(541)</w:t>
            </w:r>
          </w:p>
        </w:tc>
        <w:tc>
          <w:tcPr>
            <w:tcW w:w="160" w:type="dxa"/>
            <w:vAlign w:val="bottom"/>
          </w:tcPr>
          <w:p>
            <w:pPr>
              <w:spacing w:after="0"/>
              <w:rPr>
                <w:sz w:val="18"/>
                <w:szCs w:val="18"/>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 net:</w:t>
            </w: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Currency translation adjustments and other</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 plan obligation</w:t>
            </w: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activity, net of tax</w:t>
            </w: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2"/>
        </w:trPr>
        <w:tc>
          <w:tcPr>
            <w:tcW w:w="6220" w:type="dxa"/>
            <w:vAlign w:val="bottom"/>
          </w:tcPr>
          <w:p>
            <w:pPr>
              <w:spacing w:after="0"/>
              <w:rPr>
                <w:sz w:val="20"/>
                <w:szCs w:val="20"/>
                <w:color w:val="auto"/>
              </w:rPr>
            </w:pPr>
            <w:r>
              <w:rPr>
                <w:rFonts w:ascii="Arial" w:cs="Arial" w:eastAsia="Arial" w:hAnsi="Arial"/>
                <w:sz w:val="17"/>
                <w:szCs w:val="17"/>
                <w:color w:val="auto"/>
              </w:rPr>
              <w:t>Other comprehensive income (loss), net attributable to</w:t>
            </w:r>
          </w:p>
        </w:tc>
        <w:tc>
          <w:tcPr>
            <w:tcW w:w="10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20" w:type="dxa"/>
            <w:vAlign w:val="bottom"/>
          </w:tcPr>
          <w:p>
            <w:pPr>
              <w:ind w:left="140"/>
              <w:spacing w:after="0"/>
              <w:rPr>
                <w:sz w:val="20"/>
                <w:szCs w:val="20"/>
                <w:color w:val="auto"/>
              </w:rPr>
            </w:pPr>
            <w:r>
              <w:rPr>
                <w:rFonts w:ascii="Arial" w:cs="Arial" w:eastAsia="Arial" w:hAnsi="Arial"/>
                <w:sz w:val="17"/>
                <w:szCs w:val="17"/>
                <w:color w:val="auto"/>
              </w:rPr>
              <w:t>Eastman Kodak Company</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667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COMPREHENSIVE INCOME (LOSS), NET</w:t>
            </w: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2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ind w:right="8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691</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(570)</w:t>
            </w:r>
          </w:p>
        </w:tc>
        <w:tc>
          <w:tcPr>
            <w:tcW w:w="160" w:type="dxa"/>
            <w:vAlign w:val="bottom"/>
          </w:tcPr>
          <w:p>
            <w:pPr>
              <w:spacing w:after="0"/>
              <w:rPr>
                <w:sz w:val="18"/>
                <w:szCs w:val="18"/>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40" w:type="dxa"/>
            <w:vAlign w:val="bottom"/>
          </w:tcPr>
          <w:p>
            <w:pPr>
              <w:spacing w:after="0"/>
              <w:rPr>
                <w:sz w:val="19"/>
                <w:szCs w:val="19"/>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7"/>
                <w:szCs w:val="17"/>
                <w:b w:val="1"/>
                <w:bCs w:val="1"/>
                <w:color w:val="auto"/>
              </w:rPr>
              <w:t>As of December 31,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9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14"/>
        </w:trPr>
        <w:tc>
          <w:tcPr>
            <w:tcW w:w="7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362</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Trade receivables, net of allowances of $7 and $10</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Inventories, net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Current assets held for sale</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9"/>
                <w:szCs w:val="19"/>
                <w:color w:val="auto"/>
              </w:rPr>
            </w:pPr>
          </w:p>
        </w:tc>
      </w:tr>
      <w:tr>
        <w:trPr>
          <w:trHeight w:val="214"/>
        </w:trPr>
        <w:tc>
          <w:tcPr>
            <w:tcW w:w="7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current assets</w:t>
            </w: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807</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627</w:t>
            </w:r>
          </w:p>
        </w:tc>
        <w:tc>
          <w:tcPr>
            <w:tcW w:w="120" w:type="dxa"/>
            <w:vAlign w:val="bottom"/>
            <w:shd w:val="clear" w:color="auto" w:fill="CFF0FC"/>
          </w:tcPr>
          <w:p>
            <w:pPr>
              <w:spacing w:after="0"/>
              <w:rPr>
                <w:sz w:val="18"/>
                <w:szCs w:val="18"/>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140</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Intangible assets, net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Restricted cash</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assets</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assets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FF0FC"/>
            </w:tcBorders>
          </w:tcPr>
          <w:p>
            <w:pPr>
              <w:spacing w:after="0"/>
              <w:rPr>
                <w:sz w:val="19"/>
                <w:szCs w:val="19"/>
                <w:color w:val="auto"/>
              </w:rPr>
            </w:pPr>
          </w:p>
        </w:tc>
      </w:tr>
      <w:tr>
        <w:trPr>
          <w:trHeight w:val="214"/>
        </w:trPr>
        <w:tc>
          <w:tcPr>
            <w:tcW w:w="7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TOTAL ASSETS</w:t>
            </w: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2,171</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1,248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7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REDEEMABLE, CONVERTIBLE PREFERRED STOCK AND EQUITY</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Accounts payable, trade</w:t>
            </w: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153</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Short-term borrowings and current portion of long-term debt</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Current portion of operating leases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9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FF0FC"/>
          </w:tcPr>
          <w:p>
            <w:pPr>
              <w:spacing w:after="0"/>
              <w:rPr>
                <w:sz w:val="19"/>
                <w:szCs w:val="19"/>
                <w:color w:val="auto"/>
              </w:rPr>
            </w:pPr>
          </w:p>
        </w:tc>
      </w:tr>
      <w:tr>
        <w:trPr>
          <w:trHeight w:val="214"/>
        </w:trPr>
        <w:tc>
          <w:tcPr>
            <w:tcW w:w="7940" w:type="dxa"/>
            <w:vAlign w:val="bottom"/>
          </w:tcPr>
          <w:p>
            <w:pPr>
              <w:ind w:left="240"/>
              <w:spacing w:after="0"/>
              <w:rPr>
                <w:sz w:val="20"/>
                <w:szCs w:val="20"/>
                <w:color w:val="auto"/>
              </w:rPr>
            </w:pPr>
            <w:r>
              <w:rPr>
                <w:rFonts w:ascii="Arial" w:cs="Arial" w:eastAsia="Arial" w:hAnsi="Arial"/>
                <w:sz w:val="17"/>
                <w:szCs w:val="17"/>
                <w:color w:val="auto"/>
              </w:rPr>
              <w:t>Total current liabilities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296</w:t>
            </w:r>
          </w:p>
        </w:tc>
        <w:tc>
          <w:tcPr>
            <w:tcW w:w="120" w:type="dxa"/>
            <w:vAlign w:val="bottom"/>
          </w:tcPr>
          <w:p>
            <w:pPr>
              <w:spacing w:after="0"/>
              <w:rPr>
                <w:sz w:val="18"/>
                <w:szCs w:val="18"/>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 of current portion</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Pension and other postretirement liabilities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382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 net of current portion</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liabilities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20" w:type="dxa"/>
            <w:vAlign w:val="bottom"/>
            <w:tcBorders>
              <w:bottom w:val="single" w:sz="8" w:color="CFF0FC"/>
            </w:tcBorders>
          </w:tcPr>
          <w:p>
            <w:pPr>
              <w:spacing w:after="0"/>
              <w:rPr>
                <w:sz w:val="19"/>
                <w:szCs w:val="19"/>
                <w:color w:val="auto"/>
              </w:rPr>
            </w:pPr>
          </w:p>
        </w:tc>
      </w:tr>
      <w:tr>
        <w:trPr>
          <w:trHeight w:val="214"/>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9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1,194</w:t>
            </w:r>
          </w:p>
        </w:tc>
        <w:tc>
          <w:tcPr>
            <w:tcW w:w="2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980</w:t>
            </w:r>
          </w:p>
        </w:tc>
        <w:tc>
          <w:tcPr>
            <w:tcW w:w="120" w:type="dxa"/>
            <w:vAlign w:val="bottom"/>
            <w:shd w:val="clear" w:color="auto" w:fill="CFF0FC"/>
          </w:tcPr>
          <w:p>
            <w:pPr>
              <w:spacing w:after="0"/>
              <w:rPr>
                <w:sz w:val="18"/>
                <w:szCs w:val="18"/>
                <w:color w:val="auto"/>
              </w:rPr>
            </w:pPr>
          </w:p>
        </w:tc>
      </w:tr>
      <w:tr>
        <w:trPr>
          <w:trHeight w:val="214"/>
        </w:trPr>
        <w:tc>
          <w:tcPr>
            <w:tcW w:w="7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11)</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Redeemable, convertible preferred stock, no par value, $100 per share</w:t>
            </w: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79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liquidation preference</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9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 in capital</w:t>
            </w: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120" w:type="dxa"/>
            <w:vAlign w:val="bottom"/>
            <w:shd w:val="clear" w:color="auto" w:fill="CFF0FC"/>
          </w:tcPr>
          <w:p>
            <w:pPr>
              <w:spacing w:after="0"/>
              <w:rPr>
                <w:sz w:val="19"/>
                <w:szCs w:val="19"/>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Treasury stock, at cost</w:t>
            </w:r>
          </w:p>
        </w:tc>
        <w:tc>
          <w:tcPr>
            <w:tcW w:w="9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9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(596)</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(620)</w:t>
            </w: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Accumulated other comprehensive income (loss)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221</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(446)</w:t>
            </w:r>
          </w:p>
        </w:tc>
      </w:tr>
      <w:tr>
        <w:trPr>
          <w:trHeight w:val="214"/>
        </w:trPr>
        <w:tc>
          <w:tcPr>
            <w:tcW w:w="7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equity</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2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4"/>
        </w:trPr>
        <w:tc>
          <w:tcPr>
            <w:tcW w:w="7940" w:type="dxa"/>
            <w:vAlign w:val="bottom"/>
          </w:tcPr>
          <w:p>
            <w:pPr>
              <w:ind w:left="240"/>
              <w:spacing w:after="0"/>
              <w:rPr>
                <w:sz w:val="20"/>
                <w:szCs w:val="20"/>
                <w:color w:val="auto"/>
              </w:rPr>
            </w:pPr>
            <w:r>
              <w:rPr>
                <w:rFonts w:ascii="Arial" w:cs="Arial" w:eastAsia="Arial" w:hAnsi="Arial"/>
                <w:sz w:val="17"/>
                <w:szCs w:val="17"/>
                <w:b w:val="1"/>
                <w:bCs w:val="1"/>
                <w:color w:val="auto"/>
              </w:rPr>
              <w:t>TOTAL LIABILITIES, REDEEMABLE CONVERTIBLE PREFERRED STOCK AND EQUITY</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2,171</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1,248</w:t>
            </w:r>
          </w:p>
        </w:tc>
        <w:tc>
          <w:tcPr>
            <w:tcW w:w="12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Redeemable</w:t>
            </w:r>
          </w:p>
        </w:tc>
      </w:tr>
      <w:tr>
        <w:trPr>
          <w:trHeight w:val="195"/>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Convertible</w:t>
            </w:r>
          </w:p>
        </w:tc>
      </w:tr>
      <w:tr>
        <w:trPr>
          <w:trHeight w:val="194"/>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Paid in</w:t>
            </w:r>
          </w:p>
        </w:tc>
        <w:tc>
          <w:tcPr>
            <w:tcW w:w="8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w w:val="96"/>
              </w:rPr>
              <w:t>Comprehensive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Treasury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Preferred</w:t>
            </w:r>
          </w:p>
        </w:tc>
      </w:tr>
      <w:tr>
        <w:trPr>
          <w:trHeight w:val="211"/>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9"/>
              </w:rPr>
              <w:t>Deficit</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line="211" w:lineRule="exact"/>
              <w:rPr>
                <w:sz w:val="20"/>
                <w:szCs w:val="20"/>
                <w:color w:val="auto"/>
              </w:rPr>
            </w:pPr>
            <w:r>
              <w:rPr>
                <w:rFonts w:ascii="Arial" w:cs="Arial" w:eastAsia="Arial" w:hAnsi="Arial"/>
                <w:sz w:val="15"/>
                <w:szCs w:val="15"/>
                <w:b w:val="1"/>
                <w:bCs w:val="1"/>
                <w:color w:val="auto"/>
                <w:w w:val="86"/>
              </w:rPr>
              <w:t xml:space="preserve">Stock </w:t>
            </w:r>
            <w:r>
              <w:rPr>
                <w:rFonts w:ascii="Arial" w:cs="Arial" w:eastAsia="Arial" w:hAnsi="Arial"/>
                <w:sz w:val="24"/>
                <w:szCs w:val="24"/>
                <w:b w:val="1"/>
                <w:bCs w:val="1"/>
                <w:color w:val="auto"/>
                <w:w w:val="86"/>
                <w:vertAlign w:val="superscript"/>
              </w:rPr>
              <w:t>(1)</w:t>
            </w:r>
          </w:p>
        </w:tc>
      </w:tr>
      <w:tr>
        <w:trPr>
          <w:trHeight w:val="202"/>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December 31,</w:t>
            </w: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2019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(417)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FF0FC"/>
          </w:tcPr>
          <w:p>
            <w:pPr>
              <w:spacing w:after="0"/>
              <w:rPr>
                <w:sz w:val="19"/>
                <w:szCs w:val="19"/>
                <w:color w:val="auto"/>
              </w:rPr>
            </w:pP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Net loss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(541)</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(loss) (net of tax):</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2960" w:type="dxa"/>
            <w:vAlign w:val="bottom"/>
          </w:tcPr>
          <w:p>
            <w:pPr>
              <w:ind w:left="240"/>
              <w:spacing w:after="0"/>
              <w:rPr>
                <w:sz w:val="20"/>
                <w:szCs w:val="20"/>
                <w:color w:val="auto"/>
              </w:rPr>
            </w:pPr>
            <w:r>
              <w:rPr>
                <w:rFonts w:ascii="Arial" w:cs="Arial" w:eastAsia="Arial" w:hAnsi="Arial"/>
                <w:sz w:val="17"/>
                <w:szCs w:val="17"/>
                <w:color w:val="auto"/>
              </w:rPr>
              <w:t>Currency translation adjustments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Pension and other</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29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postretirement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Series A preferred stock cash and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60" w:type="dxa"/>
            <w:vAlign w:val="bottom"/>
          </w:tcPr>
          <w:p>
            <w:pPr>
              <w:ind w:left="140"/>
              <w:spacing w:after="0"/>
              <w:rPr>
                <w:sz w:val="20"/>
                <w:szCs w:val="20"/>
                <w:color w:val="auto"/>
              </w:rPr>
            </w:pPr>
            <w:r>
              <w:rPr>
                <w:rFonts w:ascii="Arial" w:cs="Arial" w:eastAsia="Arial" w:hAnsi="Arial"/>
                <w:sz w:val="17"/>
                <w:szCs w:val="17"/>
                <w:color w:val="auto"/>
              </w:rPr>
              <w:t>accrued dividends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9"/>
                <w:szCs w:val="19"/>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Conversion of 2019 Convertible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60" w:type="dxa"/>
            <w:vAlign w:val="bottom"/>
          </w:tcPr>
          <w:p>
            <w:pPr>
              <w:ind w:left="140"/>
              <w:spacing w:after="0"/>
              <w:rPr>
                <w:sz w:val="20"/>
                <w:szCs w:val="20"/>
                <w:color w:val="auto"/>
              </w:rPr>
            </w:pPr>
            <w:r>
              <w:rPr>
                <w:rFonts w:ascii="Arial" w:cs="Arial" w:eastAsia="Arial" w:hAnsi="Arial"/>
                <w:sz w:val="17"/>
                <w:szCs w:val="17"/>
                <w:color w:val="auto"/>
              </w:rPr>
              <w:t>Notes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Stock option exercises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December 31,</w:t>
            </w: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2020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(620)</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(446)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FF0FC"/>
          </w:tcPr>
          <w:p>
            <w:pPr>
              <w:spacing w:after="0"/>
              <w:rPr>
                <w:sz w:val="19"/>
                <w:szCs w:val="19"/>
                <w:color w:val="auto"/>
              </w:rPr>
            </w:pPr>
          </w:p>
        </w:tc>
      </w:tr>
      <w:tr>
        <w:trPr>
          <w:trHeight w:val="214"/>
        </w:trPr>
        <w:tc>
          <w:tcPr>
            <w:tcW w:w="2960" w:type="dxa"/>
            <w:vAlign w:val="bottom"/>
          </w:tcPr>
          <w:p>
            <w:pPr>
              <w:spacing w:after="0"/>
              <w:rPr>
                <w:sz w:val="20"/>
                <w:szCs w:val="20"/>
                <w:color w:val="auto"/>
              </w:rPr>
            </w:pPr>
            <w:r>
              <w:rPr>
                <w:rFonts w:ascii="Arial" w:cs="Arial" w:eastAsia="Arial" w:hAnsi="Arial"/>
                <w:sz w:val="17"/>
                <w:szCs w:val="17"/>
                <w:color w:val="auto"/>
              </w:rPr>
              <w:t>Net earnings</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(loss) (net of tax):</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2960" w:type="dxa"/>
            <w:vAlign w:val="bottom"/>
          </w:tcPr>
          <w:p>
            <w:pPr>
              <w:ind w:left="240"/>
              <w:spacing w:after="0"/>
              <w:rPr>
                <w:sz w:val="20"/>
                <w:szCs w:val="20"/>
                <w:color w:val="auto"/>
              </w:rPr>
            </w:pPr>
            <w:r>
              <w:rPr>
                <w:rFonts w:ascii="Arial" w:cs="Arial" w:eastAsia="Arial" w:hAnsi="Arial"/>
                <w:sz w:val="17"/>
                <w:szCs w:val="17"/>
                <w:color w:val="auto"/>
              </w:rPr>
              <w:t>Currency translation adjustments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Pension and other</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29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postretirement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Repurchase of Series A Preferred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60" w:type="dxa"/>
            <w:vAlign w:val="bottom"/>
          </w:tcPr>
          <w:p>
            <w:pPr>
              <w:ind w:left="140"/>
              <w:spacing w:after="0"/>
              <w:rPr>
                <w:sz w:val="20"/>
                <w:szCs w:val="20"/>
                <w:color w:val="auto"/>
              </w:rPr>
            </w:pPr>
            <w:r>
              <w:rPr>
                <w:rFonts w:ascii="Arial" w:cs="Arial" w:eastAsia="Arial" w:hAnsi="Arial"/>
                <w:sz w:val="17"/>
                <w:szCs w:val="17"/>
                <w:color w:val="auto"/>
              </w:rPr>
              <w:t>Stock</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r>
      <w:tr>
        <w:trPr>
          <w:trHeight w:val="221"/>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Exchange of Series A Preferred Stock</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(92)</w:t>
            </w: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Expiration of Series A embedded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60" w:type="dxa"/>
            <w:vAlign w:val="bottom"/>
          </w:tcPr>
          <w:p>
            <w:pPr>
              <w:ind w:left="140"/>
              <w:spacing w:after="0"/>
              <w:rPr>
                <w:sz w:val="20"/>
                <w:szCs w:val="20"/>
                <w:color w:val="auto"/>
              </w:rPr>
            </w:pPr>
            <w:r>
              <w:rPr>
                <w:rFonts w:ascii="Arial" w:cs="Arial" w:eastAsia="Arial" w:hAnsi="Arial"/>
                <w:sz w:val="17"/>
                <w:szCs w:val="17"/>
                <w:color w:val="auto"/>
              </w:rPr>
              <w:t>derivative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Series B Preferred Stock,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FF0FC"/>
          </w:tcPr>
          <w:p>
            <w:pPr>
              <w:spacing w:after="0"/>
              <w:rPr>
                <w:sz w:val="19"/>
                <w:szCs w:val="19"/>
                <w:color w:val="auto"/>
              </w:rPr>
            </w:pP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Series C Preferred Stock,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FF0FC"/>
          </w:tcPr>
          <w:p>
            <w:pPr>
              <w:spacing w:after="0"/>
              <w:rPr>
                <w:sz w:val="19"/>
                <w:szCs w:val="19"/>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Preferred stock cash and accrued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6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in-kind dividends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9"/>
                <w:szCs w:val="19"/>
                <w:color w:val="auto"/>
              </w:rPr>
            </w:pP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Preferred stock deemed dividends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r>
      <w:tr>
        <w:trPr>
          <w:trHeight w:val="221"/>
        </w:trPr>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Treasury stock purchases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December 31,</w:t>
            </w: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2021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(596)</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9"/>
                <w:szCs w:val="19"/>
                <w:color w:val="auto"/>
              </w:rPr>
            </w:pPr>
          </w:p>
        </w:tc>
      </w:tr>
      <w:tr>
        <w:trPr>
          <w:trHeight w:val="651"/>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ind w:left="120"/>
              <w:spacing w:after="0"/>
              <w:rPr>
                <w:sz w:val="20"/>
                <w:szCs w:val="20"/>
                <w:color w:val="auto"/>
              </w:rPr>
            </w:pPr>
            <w:r>
              <w:rPr>
                <w:rFonts w:ascii="Arial" w:cs="Arial" w:eastAsia="Arial" w:hAnsi="Arial"/>
                <w:sz w:val="17"/>
                <w:szCs w:val="17"/>
                <w:color w:val="auto"/>
                <w:w w:val="84"/>
              </w:rPr>
              <w:t>60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29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 (Continued)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Redeemable</w:t>
            </w:r>
          </w:p>
        </w:tc>
      </w:tr>
      <w:tr>
        <w:trPr>
          <w:trHeight w:val="195"/>
        </w:trPr>
        <w:tc>
          <w:tcPr>
            <w:tcW w:w="2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Convertible</w:t>
            </w:r>
          </w:p>
        </w:tc>
      </w:tr>
      <w:tr>
        <w:trPr>
          <w:trHeight w:val="194"/>
        </w:trPr>
        <w:tc>
          <w:tcPr>
            <w:tcW w:w="2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Paid in</w:t>
            </w:r>
          </w:p>
        </w:tc>
        <w:tc>
          <w:tcPr>
            <w:tcW w:w="8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6"/>
              </w:rPr>
              <w:t>Comprehensive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Treasury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Preferred</w:t>
            </w:r>
          </w:p>
        </w:tc>
      </w:tr>
      <w:tr>
        <w:trPr>
          <w:trHeight w:val="211"/>
        </w:trPr>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line="211" w:lineRule="exact"/>
              <w:rPr>
                <w:sz w:val="20"/>
                <w:szCs w:val="20"/>
                <w:color w:val="auto"/>
              </w:rPr>
            </w:pPr>
            <w:r>
              <w:rPr>
                <w:rFonts w:ascii="Arial" w:cs="Arial" w:eastAsia="Arial" w:hAnsi="Arial"/>
                <w:sz w:val="15"/>
                <w:szCs w:val="15"/>
                <w:b w:val="1"/>
                <w:bCs w:val="1"/>
                <w:color w:val="auto"/>
                <w:w w:val="86"/>
              </w:rPr>
              <w:t xml:space="preserve">Stock </w:t>
            </w:r>
            <w:r>
              <w:rPr>
                <w:rFonts w:ascii="Arial" w:cs="Arial" w:eastAsia="Arial" w:hAnsi="Arial"/>
                <w:sz w:val="24"/>
                <w:szCs w:val="24"/>
                <w:b w:val="1"/>
                <w:bCs w:val="1"/>
                <w:color w:val="auto"/>
                <w:w w:val="86"/>
                <w:vertAlign w:val="superscript"/>
              </w:rPr>
              <w:t>(1)</w:t>
            </w:r>
          </w:p>
        </w:tc>
      </w:tr>
      <w:tr>
        <w:trPr>
          <w:trHeight w:val="202"/>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December 31,</w:t>
            </w:r>
          </w:p>
        </w:tc>
        <w:tc>
          <w:tcPr>
            <w:tcW w:w="3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1"/>
        </w:trPr>
        <w:tc>
          <w:tcPr>
            <w:tcW w:w="29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2018</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(200)</w:t>
            </w: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(411)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FF0FC"/>
          </w:tcPr>
          <w:p>
            <w:pPr>
              <w:spacing w:after="0"/>
              <w:rPr>
                <w:sz w:val="19"/>
                <w:szCs w:val="19"/>
                <w:color w:val="auto"/>
              </w:rPr>
            </w:pPr>
          </w:p>
        </w:tc>
      </w:tr>
      <w:tr>
        <w:trPr>
          <w:trHeight w:val="221"/>
        </w:trPr>
        <w:tc>
          <w:tcPr>
            <w:tcW w:w="2920" w:type="dxa"/>
            <w:vAlign w:val="bottom"/>
          </w:tcPr>
          <w:p>
            <w:pPr>
              <w:spacing w:after="0"/>
              <w:rPr>
                <w:sz w:val="20"/>
                <w:szCs w:val="20"/>
                <w:color w:val="auto"/>
              </w:rPr>
            </w:pPr>
            <w:r>
              <w:rPr>
                <w:rFonts w:ascii="Arial" w:cs="Arial" w:eastAsia="Arial" w:hAnsi="Arial"/>
                <w:sz w:val="17"/>
                <w:szCs w:val="17"/>
                <w:color w:val="auto"/>
              </w:rPr>
              <w:t>Net earnings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Cumulative effect of adoption of</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new lease accounting guidance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7"/>
                <w:szCs w:val="17"/>
                <w:color w:val="auto"/>
              </w:rPr>
              <w:t>(loss) (net of tax):</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2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tcPr>
          <w:p>
            <w:pPr>
              <w:ind w:left="240"/>
              <w:spacing w:after="0"/>
              <w:rPr>
                <w:sz w:val="20"/>
                <w:szCs w:val="20"/>
                <w:color w:val="auto"/>
              </w:rPr>
            </w:pPr>
            <w:r>
              <w:rPr>
                <w:rFonts w:ascii="Arial" w:cs="Arial" w:eastAsia="Arial" w:hAnsi="Arial"/>
                <w:sz w:val="17"/>
                <w:szCs w:val="17"/>
                <w:color w:val="auto"/>
              </w:rPr>
              <w:t>Pension and other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920" w:type="dxa"/>
            <w:vAlign w:val="bottom"/>
          </w:tcPr>
          <w:p>
            <w:pPr>
              <w:ind w:left="380"/>
              <w:spacing w:after="0"/>
              <w:rPr>
                <w:sz w:val="20"/>
                <w:szCs w:val="20"/>
                <w:color w:val="auto"/>
              </w:rPr>
            </w:pPr>
            <w:r>
              <w:rPr>
                <w:rFonts w:ascii="Arial" w:cs="Arial" w:eastAsia="Arial" w:hAnsi="Arial"/>
                <w:sz w:val="17"/>
                <w:szCs w:val="17"/>
                <w:color w:val="auto"/>
              </w:rPr>
              <w:t>postretirement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2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tcPr>
          <w:p>
            <w:pPr>
              <w:spacing w:after="0"/>
              <w:rPr>
                <w:sz w:val="20"/>
                <w:szCs w:val="20"/>
                <w:color w:val="auto"/>
              </w:rPr>
            </w:pPr>
            <w:r>
              <w:rPr>
                <w:rFonts w:ascii="Arial" w:cs="Arial" w:eastAsia="Arial" w:hAnsi="Arial"/>
                <w:sz w:val="17"/>
                <w:szCs w:val="17"/>
                <w:color w:val="auto"/>
              </w:rPr>
              <w:t>Series A Preferred Stock deemed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r>
      <w:tr>
        <w:trPr>
          <w:trHeight w:val="221"/>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2920" w:type="dxa"/>
            <w:vAlign w:val="bottom"/>
          </w:tcPr>
          <w:p>
            <w:pPr>
              <w:spacing w:after="0"/>
              <w:rPr>
                <w:sz w:val="20"/>
                <w:szCs w:val="20"/>
                <w:color w:val="auto"/>
              </w:rPr>
            </w:pPr>
            <w:r>
              <w:rPr>
                <w:rFonts w:ascii="Arial" w:cs="Arial" w:eastAsia="Arial" w:hAnsi="Arial"/>
                <w:sz w:val="17"/>
                <w:szCs w:val="17"/>
                <w:color w:val="auto"/>
              </w:rPr>
              <w:t>Equity (deficit) as of December 31,</w:t>
            </w: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7"/>
                <w:szCs w:val="17"/>
                <w:color w:val="auto"/>
              </w:rPr>
              <w:t>2019</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ind w:left="600"/>
              <w:spacing w:after="0"/>
              <w:rPr>
                <w:sz w:val="20"/>
                <w:szCs w:val="20"/>
                <w:color w:val="auto"/>
              </w:rPr>
            </w:pPr>
            <w:r>
              <w:rPr>
                <w:rFonts w:ascii="Arial" w:cs="Arial" w:eastAsia="Arial" w:hAnsi="Arial"/>
                <w:sz w:val="17"/>
                <w:szCs w:val="17"/>
                <w:color w:val="auto"/>
                <w:w w:val="93"/>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604</w:t>
            </w:r>
          </w:p>
        </w:tc>
        <w:tc>
          <w:tcPr>
            <w:tcW w:w="12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200" w:type="dxa"/>
            <w:vAlign w:val="bottom"/>
          </w:tcPr>
          <w:p>
            <w:pPr>
              <w:jc w:val="right"/>
              <w:ind w:right="18"/>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(417)</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720" w:firstLine="4"/>
        <w:spacing w:after="0" w:line="574" w:lineRule="auto"/>
        <w:tabs>
          <w:tab w:leader="none" w:pos="365" w:val="left"/>
        </w:tabs>
        <w:numPr>
          <w:ilvl w:val="0"/>
          <w:numId w:val="30"/>
        </w:numPr>
        <w:rPr>
          <w:rFonts w:ascii="Arial" w:cs="Arial" w:eastAsia="Arial" w:hAnsi="Arial"/>
          <w:sz w:val="15"/>
          <w:szCs w:val="15"/>
          <w:color w:val="auto"/>
        </w:rPr>
      </w:pPr>
      <w:r>
        <w:rPr>
          <w:rFonts w:ascii="Arial" w:cs="Arial" w:eastAsia="Arial" w:hAnsi="Arial"/>
          <w:sz w:val="17"/>
          <w:szCs w:val="17"/>
          <w:color w:val="auto"/>
        </w:rPr>
        <w:t>There are 60 million shares of no par value preferred stock authorized, 2 million of which are issued and outstanding. The accompanying notes are an integral part of these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right"/>
              <w:ind w:right="147"/>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spacing w:after="0"/>
              <w:rPr>
                <w:sz w:val="20"/>
                <w:szCs w:val="20"/>
                <w:color w:val="auto"/>
              </w:rPr>
            </w:pPr>
            <w:r>
              <w:rPr>
                <w:rFonts w:ascii="Arial" w:cs="Arial" w:eastAsia="Arial" w:hAnsi="Arial"/>
                <w:sz w:val="16"/>
                <w:szCs w:val="16"/>
                <w:color w:val="auto"/>
              </w:rPr>
              <w:t>Net earnings (loss)</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to net cash (used in) provided by operating</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activities: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Pension and other postretirement income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8"/>
        </w:trPr>
        <w:tc>
          <w:tcPr>
            <w:tcW w:w="5140" w:type="dxa"/>
            <w:vAlign w:val="bottom"/>
          </w:tcPr>
          <w:p>
            <w:pPr>
              <w:ind w:left="100"/>
              <w:spacing w:after="0"/>
              <w:rPr>
                <w:sz w:val="20"/>
                <w:szCs w:val="20"/>
                <w:color w:val="auto"/>
              </w:rPr>
            </w:pPr>
            <w:r>
              <w:rPr>
                <w:rFonts w:ascii="Arial" w:cs="Arial" w:eastAsia="Arial" w:hAnsi="Arial"/>
                <w:sz w:val="16"/>
                <w:szCs w:val="16"/>
                <w:color w:val="auto"/>
              </w:rPr>
              <w:t>Change in fair value of the Preferred Stock and Convertible Notes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20"/>
              <w:spacing w:after="0"/>
              <w:rPr>
                <w:sz w:val="20"/>
                <w:szCs w:val="20"/>
                <w:color w:val="auto"/>
              </w:rPr>
            </w:pPr>
            <w:r>
              <w:rPr>
                <w:rFonts w:ascii="Arial" w:cs="Arial" w:eastAsia="Arial" w:hAnsi="Arial"/>
                <w:sz w:val="16"/>
                <w:szCs w:val="16"/>
                <w:color w:val="auto"/>
              </w:rPr>
              <w:t>embedded derivatives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Asset impairments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Stock based compensation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Non-cash changes in workers' compensation and</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postemployment reserves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Net losses (gains) on sales of businesses/assets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on early extinguishment of debt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(Benefit) provision for deferred income taxes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(Increase) decrease in trade receivables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(Increase) decrease in inventories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Increase (decrease) in trade accounts payable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Decrease in liabilities excluding borrowings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items, net</w:t>
            </w:r>
          </w:p>
        </w:tc>
        <w:tc>
          <w:tcPr>
            <w:tcW w:w="8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220"/>
              <w:spacing w:after="0"/>
              <w:rPr>
                <w:sz w:val="20"/>
                <w:szCs w:val="20"/>
                <w:color w:val="auto"/>
              </w:rPr>
            </w:pPr>
            <w:r>
              <w:rPr>
                <w:rFonts w:ascii="Arial" w:cs="Arial" w:eastAsia="Arial" w:hAnsi="Arial"/>
                <w:sz w:val="16"/>
                <w:szCs w:val="16"/>
                <w:color w:val="auto"/>
              </w:rPr>
              <w:t>Total adjustments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20"/>
              <w:spacing w:after="0"/>
              <w:rPr>
                <w:sz w:val="20"/>
                <w:szCs w:val="20"/>
                <w:color w:val="auto"/>
              </w:rPr>
            </w:pPr>
            <w:r>
              <w:rPr>
                <w:rFonts w:ascii="Arial" w:cs="Arial" w:eastAsia="Arial" w:hAnsi="Arial"/>
                <w:sz w:val="16"/>
                <w:szCs w:val="16"/>
                <w:color w:val="auto"/>
              </w:rPr>
              <w:t>Net cash (used in) provided by operating activities</w:t>
            </w: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40" w:type="dxa"/>
            <w:vAlign w:val="bottom"/>
            <w:vMerge w:val="continue"/>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Additions to properties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proceeds from sales of businesses/assets, net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Net proceeds from return of equity investment</w:t>
            </w:r>
          </w:p>
        </w:tc>
        <w:tc>
          <w:tcPr>
            <w:tcW w:w="8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cash (used in) provided by investing activities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Net proceeds from the Term Loan Credit Agreement</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Proceeds from issuance of Convertible Notes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Net proceeds from Series C Preferred Stock</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proceeds from the sale of common stock</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Repurchase of Series A Preferred Stock</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Debt issuance costs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Repayment of emergence credit facilities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Proceeds from other borrowings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Proceeds from stock option exercises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Preferred stock dividend payments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Treasury stock purchases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Payment of contingent consideration related to the</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sale of a business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Repayment of other borrowings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Finance lease payments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94"/>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w:t>
            </w:r>
          </w:p>
        </w:tc>
        <w:tc>
          <w:tcPr>
            <w:tcW w:w="8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restricted cash</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Arial" w:cs="Arial" w:eastAsia="Arial" w:hAnsi="Arial"/>
                <w:sz w:val="16"/>
                <w:szCs w:val="16"/>
                <w:color w:val="auto"/>
              </w:rPr>
              <w:t>Net increase (decrease) in cash, cash equivalents, restricted cash</w:t>
            </w:r>
          </w:p>
        </w:tc>
        <w:tc>
          <w:tcPr>
            <w:tcW w:w="8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100"/>
              <w:spacing w:after="0"/>
              <w:rPr>
                <w:sz w:val="20"/>
                <w:szCs w:val="20"/>
                <w:color w:val="auto"/>
              </w:rPr>
            </w:pPr>
            <w:r>
              <w:rPr>
                <w:rFonts w:ascii="Arial" w:cs="Arial" w:eastAsia="Arial" w:hAnsi="Arial"/>
                <w:sz w:val="16"/>
                <w:szCs w:val="16"/>
                <w:color w:val="auto"/>
              </w:rPr>
              <w:t>and cash in assets held for sale</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restricted cash and cash in assets held for</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 beginning of period</w:t>
            </w:r>
          </w:p>
        </w:tc>
        <w:tc>
          <w:tcPr>
            <w:tcW w:w="8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spacing w:after="0" w:line="201" w:lineRule="exact"/>
              <w:rPr>
                <w:sz w:val="20"/>
                <w:szCs w:val="20"/>
                <w:color w:val="auto"/>
              </w:rPr>
            </w:pPr>
            <w:r>
              <w:rPr>
                <w:rFonts w:ascii="Arial" w:cs="Arial" w:eastAsia="Arial" w:hAnsi="Arial"/>
                <w:sz w:val="14"/>
                <w:szCs w:val="14"/>
                <w:color w:val="auto"/>
              </w:rPr>
              <w:t xml:space="preserve">Cash, cash equivalents and restricted cash, end of period </w:t>
            </w:r>
            <w:r>
              <w:rPr>
                <w:rFonts w:ascii="Arial" w:cs="Arial" w:eastAsia="Arial" w:hAnsi="Arial"/>
                <w:sz w:val="23"/>
                <w:szCs w:val="23"/>
                <w:color w:val="auto"/>
                <w:vertAlign w:val="superscript"/>
              </w:rPr>
              <w:t>(1)</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680"/>
          </w:cols>
          <w:pgMar w:left="320" w:top="329" w:right="899" w:bottom="1440" w:gutter="0" w:footer="0" w:header="0"/>
        </w:sectPr>
      </w:pPr>
    </w:p>
    <w:bookmarkStart w:id="62" w:name="page63"/>
    <w:bookmarkEnd w:id="62"/>
    <w:p>
      <w:pPr>
        <w:ind w:left="-278" w:right="659" w:firstLine="278"/>
        <w:spacing w:after="0" w:line="511" w:lineRule="auto"/>
        <w:tabs>
          <w:tab w:leader="none" w:pos="269" w:val="left"/>
        </w:tabs>
        <w:numPr>
          <w:ilvl w:val="0"/>
          <w:numId w:val="31"/>
        </w:numPr>
        <w:rPr>
          <w:rFonts w:ascii="Arial" w:cs="Arial" w:eastAsia="Arial" w:hAnsi="Arial"/>
          <w:sz w:val="15"/>
          <w:szCs w:val="15"/>
          <w:color w:val="auto"/>
        </w:rPr>
      </w:pPr>
      <w:r>
        <w:rPr>
          <w:rFonts w:ascii="Arial" w:cs="Arial" w:eastAsia="Arial" w:hAnsi="Arial"/>
          <w:sz w:val="17"/>
          <w:szCs w:val="17"/>
          <w:color w:val="auto"/>
        </w:rPr>
        <w:t>Refer to Note 2, “Cash, Cash Equivalents and Restricted Cash” for the components of cash, cash equivalents and restricted cash. The accompanying notes are an integral part of these consolidated financial statements.</w:t>
      </w:r>
    </w:p>
    <w:p>
      <w:pPr>
        <w:spacing w:after="0" w:line="1" w:lineRule="exact"/>
        <w:rPr>
          <w:sz w:val="20"/>
          <w:szCs w:val="20"/>
          <w:color w:val="auto"/>
        </w:rPr>
      </w:pPr>
    </w:p>
    <w:p>
      <w:pPr>
        <w:ind w:left="5262"/>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69215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9862"/>
          </w:cols>
          <w:pgMar w:left="598" w:top="440" w:right="1440"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 (Continued)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51"/>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6"/>
          </w:tcPr>
          <w:p>
            <w:pPr>
              <w:jc w:val="right"/>
              <w:ind w:right="240"/>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67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14"/>
        </w:trPr>
        <w:tc>
          <w:tcPr>
            <w:tcW w:w="6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paid for interest and income taxes was:</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6740" w:type="dxa"/>
            <w:vAlign w:val="bottom"/>
          </w:tcPr>
          <w:p>
            <w:pPr>
              <w:spacing w:after="0"/>
              <w:rPr>
                <w:sz w:val="20"/>
                <w:szCs w:val="20"/>
                <w:color w:val="auto"/>
              </w:rPr>
            </w:pPr>
            <w:r>
              <w:rPr>
                <w:rFonts w:ascii="Arial" w:cs="Arial" w:eastAsia="Arial" w:hAnsi="Arial"/>
                <w:sz w:val="17"/>
                <w:szCs w:val="17"/>
                <w:color w:val="auto"/>
              </w:rPr>
              <w:t>Interest</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w:t>
            </w: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r>
      <w:tr>
        <w:trPr>
          <w:trHeight w:val="221"/>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Income taxes (net of refunds)</w:t>
            </w:r>
          </w:p>
        </w:tc>
        <w:tc>
          <w:tcPr>
            <w:tcW w:w="940" w:type="dxa"/>
            <w:vAlign w:val="bottom"/>
            <w:shd w:val="clear" w:color="auto" w:fill="CFF0FC"/>
          </w:tcPr>
          <w:p>
            <w:pPr>
              <w:jc w:val="right"/>
              <w:ind w:right="7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PRINCIPLES</w:t>
      </w:r>
    </w:p>
    <w:p>
      <w:pPr>
        <w:spacing w:after="0" w:line="1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2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2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in the disaggregated revenue information for the Advanced Materials and Chemicals segment and Brand segment in Note 17, “Revenue” and the classification of hedge funds included in the U.S. pension plan table of assets in Note 19, “Retirement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53" w:lineRule="exact"/>
        <w:rPr>
          <w:sz w:val="20"/>
          <w:szCs w:val="20"/>
          <w:color w:val="auto"/>
        </w:rPr>
      </w:pPr>
    </w:p>
    <w:p>
      <w:pPr>
        <w:jc w:val="both"/>
        <w:ind w:right="460"/>
        <w:spacing w:after="0" w:line="271" w:lineRule="auto"/>
        <w:rPr>
          <w:sz w:val="20"/>
          <w:szCs w:val="20"/>
          <w:color w:val="auto"/>
        </w:rPr>
      </w:pPr>
      <w:r>
        <w:rPr>
          <w:rFonts w:ascii="Arial" w:cs="Arial" w:eastAsia="Arial" w:hAnsi="Arial"/>
          <w:sz w:val="17"/>
          <w:szCs w:val="17"/>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certain other subsidiaries and branches outside the U.S., operations are conducted primarily in U.S. dollars, which is therefore the functional</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(income) charges, net in the accompanying Consolidated Statement of Operations.</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effects of foreign currency transactions, including related hedging activities, are included in Other (income) charges, net, in the accompanying Consolidated Statement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All highly liquid investments with a remaining maturity of three months or less at date of purchase are considered to be cash equivalents.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INVENTORIES</w:t>
      </w:r>
    </w:p>
    <w:p>
      <w:pPr>
        <w:spacing w:after="0" w:line="25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Inventories are stated at the lower of cost or net realizable value. The cost of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5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Other operating (income) expense, net in the Consolidated Statement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Kodak calculates depreciation expense using the straight-line method over the assets’ estimated useful lives, which are as follows:</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208"/>
        </w:trPr>
        <w:tc>
          <w:tcPr>
            <w:tcW w:w="4560" w:type="dxa"/>
            <w:vAlign w:val="bottom"/>
          </w:tcPr>
          <w:p>
            <w:pPr>
              <w:spacing w:after="0"/>
              <w:rPr>
                <w:sz w:val="18"/>
                <w:szCs w:val="18"/>
                <w:color w:val="auto"/>
              </w:rPr>
            </w:pPr>
          </w:p>
        </w:tc>
        <w:tc>
          <w:tcPr>
            <w:tcW w:w="3300" w:type="dxa"/>
            <w:vAlign w:val="bottom"/>
          </w:tcPr>
          <w:p>
            <w:pPr>
              <w:jc w:val="center"/>
              <w:ind w:left="1793"/>
              <w:spacing w:after="0"/>
              <w:rPr>
                <w:sz w:val="20"/>
                <w:szCs w:val="20"/>
                <w:color w:val="auto"/>
              </w:rPr>
            </w:pPr>
            <w:r>
              <w:rPr>
                <w:rFonts w:ascii="Arial" w:cs="Arial" w:eastAsia="Arial" w:hAnsi="Arial"/>
                <w:sz w:val="17"/>
                <w:szCs w:val="17"/>
                <w:b w:val="1"/>
                <w:bCs w:val="1"/>
                <w:color w:val="auto"/>
                <w:w w:val="91"/>
              </w:rPr>
              <w:t>Estimated Useful</w:t>
            </w:r>
          </w:p>
        </w:tc>
      </w:tr>
      <w:tr>
        <w:trPr>
          <w:trHeight w:val="227"/>
        </w:trPr>
        <w:tc>
          <w:tcPr>
            <w:tcW w:w="4560" w:type="dxa"/>
            <w:vAlign w:val="bottom"/>
          </w:tcPr>
          <w:p>
            <w:pPr>
              <w:spacing w:after="0"/>
              <w:rPr>
                <w:sz w:val="19"/>
                <w:szCs w:val="19"/>
                <w:color w:val="auto"/>
              </w:rPr>
            </w:pPr>
          </w:p>
        </w:tc>
        <w:tc>
          <w:tcPr>
            <w:tcW w:w="3300" w:type="dxa"/>
            <w:vAlign w:val="bottom"/>
          </w:tcPr>
          <w:p>
            <w:pPr>
              <w:jc w:val="center"/>
              <w:ind w:left="1813"/>
              <w:spacing w:after="0"/>
              <w:rPr>
                <w:sz w:val="20"/>
                <w:szCs w:val="20"/>
                <w:color w:val="auto"/>
              </w:rPr>
            </w:pPr>
            <w:r>
              <w:rPr>
                <w:rFonts w:ascii="Arial" w:cs="Arial" w:eastAsia="Arial" w:hAnsi="Arial"/>
                <w:sz w:val="17"/>
                <w:szCs w:val="17"/>
                <w:b w:val="1"/>
                <w:bCs w:val="1"/>
                <w:color w:val="auto"/>
                <w:w w:val="91"/>
              </w:rPr>
              <w:t>Lives</w:t>
            </w: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Buildings and building improvements</w:t>
            </w:r>
          </w:p>
        </w:tc>
        <w:tc>
          <w:tcPr>
            <w:tcW w:w="3300" w:type="dxa"/>
            <w:vAlign w:val="bottom"/>
            <w:shd w:val="clear" w:color="auto" w:fill="CFF0FC"/>
          </w:tcPr>
          <w:p>
            <w:pPr>
              <w:jc w:val="center"/>
              <w:ind w:left="1813"/>
              <w:spacing w:after="0"/>
              <w:rPr>
                <w:sz w:val="20"/>
                <w:szCs w:val="20"/>
                <w:color w:val="auto"/>
              </w:rPr>
            </w:pPr>
            <w:r>
              <w:rPr>
                <w:rFonts w:ascii="Arial" w:cs="Arial" w:eastAsia="Arial" w:hAnsi="Arial"/>
                <w:sz w:val="17"/>
                <w:szCs w:val="17"/>
                <w:color w:val="auto"/>
                <w:w w:val="93"/>
              </w:rPr>
              <w:t>5-40</w:t>
            </w: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Land improvements</w:t>
            </w:r>
          </w:p>
        </w:tc>
        <w:tc>
          <w:tcPr>
            <w:tcW w:w="3300" w:type="dxa"/>
            <w:vAlign w:val="bottom"/>
          </w:tcPr>
          <w:p>
            <w:pPr>
              <w:jc w:val="center"/>
              <w:ind w:left="1813"/>
              <w:spacing w:after="0"/>
              <w:rPr>
                <w:sz w:val="20"/>
                <w:szCs w:val="20"/>
                <w:color w:val="auto"/>
              </w:rPr>
            </w:pPr>
            <w:r>
              <w:rPr>
                <w:rFonts w:ascii="Arial" w:cs="Arial" w:eastAsia="Arial" w:hAnsi="Arial"/>
                <w:sz w:val="17"/>
                <w:szCs w:val="17"/>
                <w:color w:val="auto"/>
                <w:w w:val="93"/>
              </w:rPr>
              <w:t>4-20</w:t>
            </w: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3300" w:type="dxa"/>
            <w:vAlign w:val="bottom"/>
            <w:shd w:val="clear" w:color="auto" w:fill="CFF0FC"/>
          </w:tcPr>
          <w:p>
            <w:pPr>
              <w:jc w:val="center"/>
              <w:ind w:left="1813"/>
              <w:spacing w:after="0"/>
              <w:rPr>
                <w:sz w:val="20"/>
                <w:szCs w:val="20"/>
                <w:color w:val="auto"/>
              </w:rPr>
            </w:pPr>
            <w:r>
              <w:rPr>
                <w:rFonts w:ascii="Arial" w:cs="Arial" w:eastAsia="Arial" w:hAnsi="Arial"/>
                <w:sz w:val="17"/>
                <w:szCs w:val="17"/>
                <w:color w:val="auto"/>
                <w:w w:val="93"/>
              </w:rPr>
              <w:t>3-20</w:t>
            </w: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Equipment</w:t>
            </w:r>
          </w:p>
        </w:tc>
        <w:tc>
          <w:tcPr>
            <w:tcW w:w="3300" w:type="dxa"/>
            <w:vAlign w:val="bottom"/>
          </w:tcPr>
          <w:p>
            <w:pPr>
              <w:jc w:val="center"/>
              <w:ind w:left="1813"/>
              <w:spacing w:after="0"/>
              <w:rPr>
                <w:sz w:val="20"/>
                <w:szCs w:val="20"/>
                <w:color w:val="auto"/>
              </w:rPr>
            </w:pPr>
            <w:r>
              <w:rPr>
                <w:rFonts w:ascii="Arial" w:cs="Arial" w:eastAsia="Arial" w:hAnsi="Arial"/>
                <w:sz w:val="17"/>
                <w:szCs w:val="17"/>
                <w:color w:val="auto"/>
                <w:w w:val="93"/>
              </w:rPr>
              <w:t>3-20</w:t>
            </w: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Tooling</w:t>
            </w:r>
          </w:p>
        </w:tc>
        <w:tc>
          <w:tcPr>
            <w:tcW w:w="3300" w:type="dxa"/>
            <w:vAlign w:val="bottom"/>
            <w:shd w:val="clear" w:color="auto" w:fill="CFF0FC"/>
          </w:tcPr>
          <w:p>
            <w:pPr>
              <w:jc w:val="center"/>
              <w:ind w:left="1793"/>
              <w:spacing w:after="0"/>
              <w:rPr>
                <w:sz w:val="20"/>
                <w:szCs w:val="20"/>
                <w:color w:val="auto"/>
              </w:rPr>
            </w:pPr>
            <w:r>
              <w:rPr>
                <w:rFonts w:ascii="Arial" w:cs="Arial" w:eastAsia="Arial" w:hAnsi="Arial"/>
                <w:sz w:val="17"/>
                <w:szCs w:val="17"/>
                <w:color w:val="auto"/>
                <w:w w:val="89"/>
              </w:rPr>
              <w:t>1-3</w:t>
            </w: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300" w:type="dxa"/>
            <w:vAlign w:val="bottom"/>
          </w:tcPr>
          <w:p>
            <w:pPr>
              <w:jc w:val="center"/>
              <w:ind w:left="1813"/>
              <w:spacing w:after="0"/>
              <w:rPr>
                <w:sz w:val="20"/>
                <w:szCs w:val="20"/>
                <w:color w:val="auto"/>
              </w:rPr>
            </w:pPr>
            <w:r>
              <w:rPr>
                <w:rFonts w:ascii="Arial" w:cs="Arial" w:eastAsia="Arial" w:hAnsi="Arial"/>
                <w:sz w:val="17"/>
                <w:szCs w:val="17"/>
                <w:color w:val="auto"/>
                <w:w w:val="93"/>
              </w:rPr>
              <w:t>5-10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 depreciates leasehold improvements over the shorter of the lease term or the assets’ estimated useful life.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The amount of goodwill impairment, if any, is calculated as the amount by which a reporting unit’s carrying value exceeds its fair value, not to exceed the carrying amount of goodwill. Determining the fair value of a reporting unit involves the use of significant estimates and assumptions. Refer to Note 5, “Goodwill and Other Intangible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WORKERS’ COMPENSATION</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6, “Other Current Liabilities” and Note 7,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2021 and 2020 was $20 million and $21 million, respectively, of which $18 million is reported in Other long-term assets in the Consolidated Statement of Financial Position each year. The remaining $2 million and $3 million, respectively, is reported in Other current assets in the Consolidated Statement of Financial Position.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lessee</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 determines if an arrangement is a lease at inception. The primary criteria used to classify transactions as operating or finance leases are: (1) whether the ownership transfers at the end of the lease, (2) whether the lease term is equal to or greater than 75% of the economic life of the asset, and (3) whether the present value of the minimum lease payments is equal to or greater than 90% of the fair value of the asset at inception of the lease. Kodak does not have leases that include assets of a specialized nature, generally does not provide residual value guarantees or have any leases for which the exercise of end-of-lease purchase options is reasonably assured at lease inception.</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Operating lease right-of-use (“ROU”) assets represent the right to use an underlying asset for the lease term and operating lease liabilities represent the obligation to make lease payments arising from the operating lease. ROU assets and liabilities are recognized at the lease commencement date based on the present value of lease payments over the lease term. The ROU assets are adjusted for prepayments and lease incentives. Variable lease payments are excluded from the measurement of ROU assets and lease liabilities and are recognized in the period in which the obligation for those payments is incurred. Lease agreements may include options to extend or terminate the lease at Kodak’s discretion, which are included in the determination of the lease term when they are reasonably certain to be exercised.</w:t>
      </w:r>
    </w:p>
    <w:p>
      <w:pPr>
        <w:spacing w:after="0" w:line="204"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Kodak’s lease agreements are primarily for real estate space and vehicles. Arrangements for goods and services are assessed to determine if the arrangement contains a lease at its inception. Operating leases are included within Operating lease right-of-use assets, Current portion of operating leases and Operating leases, net of current portion in the Consolidated Statement of Financial Position. Finance leases are included in Property, plant and equipment, net, Short-term borrowings and current portion of long-term debt and Long-term debt, net of current portion in the Consolidated Statement of Financial Position.</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When available, the rate implicit in the lease is used to discount lease payments to present value; however, many leases do not provide a readily determinable implicit rate. Therefore, Kodak applies its incremental borrowing rate to discount the lease payments at lease commencement. The incremental borrowing rate is the rate of interest that EKC would have to pay to borrow, on a collateralized basis, over a similar term. Renewal options and/or termination options are factored into the determination of lease payments if considered probable.</w:t>
      </w:r>
    </w:p>
    <w:p>
      <w:pPr>
        <w:spacing w:after="0" w:line="20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Rental expense related to operating leases is recognized on a straight-line basis over the lease term. The lease agreements have both lease and non-lease components. Kodak does not separate lease and non-lease components of contracts for real estate leases but does separate lease and non-lease components for equipment leases.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Lessor</w:t>
      </w:r>
    </w:p>
    <w:p>
      <w:pPr>
        <w:spacing w:after="0" w:line="25"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Kodak places its own equipment at customer sites under sales-type and operating lease arrangements. Arrangements classified as sales-type leases with revenue recognition at inception generally transfer title to the equipment by the end of the lease term or have a lease term that is for a major part of the remaining economic life of the equipment; and collectability is considered probable. Leases meeting the sales-type lease criteria with variable lease payments that do not depend upon a reference rate or index are classified as operating leases if they would otherwise result in a day-one loss. If the arrangement meets the criteria for a sales-type lease but collectability is not considered probable, Kodak will not derecognize the asset and will record all payments received as a liability until the earlier of collectability becoming probable or the termination of the lease. Arrangements that do not meet the sales-type lease criteria are classified as operating leases with revenue recognized over the term. Contracts with customers may include multiple performance obligations including equipment, optional software licenses and service agreements. For such arrangements, revenue is allocated to each performance obligation based on its relative standalone selling price.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spacing w:after="0" w:line="18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Eastman Business Park segment’s core operations are to lease real estate. Kodak also leases underutilized portions of other real estate properties to third parties under both operating lease and sublease agreements. Payments received under operating lease agreements as part of the Eastman Business Park segment are recognized on a straight-line basis over the term and are reported in Revenues in the Consolidated Statement of Operations. Payments received under lease and sublease agreements for underutilized space are recognized on a straight-line basis and reported as cost reductions in Cost of revenues, SG&amp;A expenses, R&amp;D costs and Other charges, net.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7" w:name="page68"/>
    <w:bookmarkEnd w:id="67"/>
    <w:p>
      <w:pPr>
        <w:ind w:right="340"/>
        <w:spacing w:after="0" w:line="319" w:lineRule="auto"/>
        <w:rPr>
          <w:sz w:val="20"/>
          <w:szCs w:val="20"/>
          <w:color w:val="auto"/>
        </w:rPr>
      </w:pPr>
      <w:r>
        <w:rPr>
          <w:rFonts w:ascii="Arial" w:cs="Arial" w:eastAsia="Arial" w:hAnsi="Arial"/>
          <w:sz w:val="16"/>
          <w:szCs w:val="16"/>
          <w:color w:val="auto"/>
        </w:rPr>
        <w:t>Renewal options and/or termination options are factored into the determination of lease payments if considered probable. Kodak does not separate lease and non-lease components of contracts for real estate leases but does separate lease and non-lease components for equipment leases.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253"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Kodak’s revenue transactions include sales of products (such as components and consumables for use in Kodak and other manufacturers’ equipment, film-based products and specialty materials and chemicals), equipment, software, services, integrated solutions, intellectual property and brand licensing, and real estate management activities. Revenue from services includes extended warranty, customer support and maintenance agreements, consulting, training and education.</w:t>
      </w:r>
    </w:p>
    <w:p>
      <w:pPr>
        <w:spacing w:after="0" w:line="1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Revenue is recognized when control of the promised goods or services is transferred to customers in an amount that reflects the consideration Kodak expects to be entitled to in exchange for those goods or services.</w:t>
      </w:r>
    </w:p>
    <w:p>
      <w:pPr>
        <w:spacing w:after="0" w:line="15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For product sales (such as plates, film, inks, specialty materials and chemicals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spacing w:after="0" w:line="16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Equipment is generally dependent on, and interrelated with, the underlying operating system (firmware)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generally have initial term of one year subject to annual renewals and may be prepaid or paid over-time. For such arrangements, revenue is allocated to each performance obligation based on its relative standalone selling price. Kodak applies the residual allocation method for sales of certain complex, highly customized equipment due to significant variability in pricing. Standalone selling prices are based on the observable prices of the products or services when sold separately or by using expected cost-plus margin when directly observable prices are not available. The Company reassesses its standalone selling prices at least annually.</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For non-complex equipment installations and software sales (Prepress and PROSPER Components and Software)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Software) revenue is deferred until receipt of customer acceptance and control has transferred to the buyer.</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Software licenses are sold both in bundled equipment arrangements as discussed above or on a stand-alone basis (Software). Perpetual licenses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 The Company also sells SaaS arrangements with revenue recognized over the contract term.</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service arrangements such as consulting where final acceptance by the customer is required, revenue is deferred until all acceptance criteria have been met and Kodak has a legal right to payment.</w:t>
      </w:r>
    </w:p>
    <w:p>
      <w:pPr>
        <w:spacing w:after="0" w:line="15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Kodak’s licensing revenue is comprised of software licenses as discussed above, licenses to use functional intellectual property (e.g. patents and technical know-how) and licenses to use symbolic intellectual property (e.g. brand names and trademarks) (Advanced Materials and Chemicals and Brand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8" w:name="page69"/>
    <w:bookmarkEnd w:id="68"/>
    <w:p>
      <w:pPr>
        <w:jc w:val="both"/>
        <w:ind w:right="40"/>
        <w:spacing w:after="0" w:line="271" w:lineRule="auto"/>
        <w:rPr>
          <w:sz w:val="20"/>
          <w:szCs w:val="20"/>
          <w:color w:val="auto"/>
        </w:rPr>
      </w:pPr>
      <w:r>
        <w:rPr>
          <w:rFonts w:ascii="Arial" w:cs="Arial" w:eastAsia="Arial" w:hAnsi="Arial"/>
          <w:sz w:val="17"/>
          <w:szCs w:val="17"/>
          <w:color w:val="auto"/>
        </w:rPr>
        <w:t>Real estate management revenue consists primarily of income from tenant leases, including rent and utilities, as well as facility management services and hosting onsite events. Usage based revenue is recognized as earned while tenant lease income is recognized on a straight-line basis over the lease term (Refer to Leases; Kodak as Lessor above).</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171" w:lineRule="exact"/>
        <w:rPr>
          <w:sz w:val="20"/>
          <w:szCs w:val="20"/>
          <w:color w:val="auto"/>
        </w:rPr>
      </w:pPr>
    </w:p>
    <w:p>
      <w:pPr>
        <w:ind w:right="620"/>
        <w:spacing w:after="0" w:line="319" w:lineRule="auto"/>
        <w:rPr>
          <w:sz w:val="20"/>
          <w:szCs w:val="20"/>
          <w:color w:val="auto"/>
        </w:rPr>
      </w:pPr>
      <w:r>
        <w:rPr>
          <w:rFonts w:ascii="Arial" w:cs="Arial" w:eastAsia="Arial" w:hAnsi="Arial"/>
          <w:sz w:val="16"/>
          <w:szCs w:val="16"/>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3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Incremental direct costs of obtaining a contract consist of sales commissions. Kodak expenses sales commissions when incurred if the amortization period would be one year or less. Capitalized sales commissions are amortized on a straight-line basis over the life of the contract. These costs are recorded in Selling, general and administrative expenses in the Consolidated Statement of Operations. Kodak accrues the estimated cost of post-sale obligations, including basic product warranties, at the time of revenue recognition.</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December 31, 2021, there was approximately $70 million of unrecognized revenue from unsatisfied performance obligations. Approximately 30% of the revenue from unsatisfied performance obligations is expected to be recognized in 2022, 25% in 2023, 15% in 2024 and 30% thereafter.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123" w:lineRule="exact"/>
        <w:rPr>
          <w:sz w:val="20"/>
          <w:szCs w:val="20"/>
          <w:color w:val="auto"/>
        </w:rPr>
      </w:pPr>
    </w:p>
    <w:p>
      <w:pPr>
        <w:jc w:val="both"/>
        <w:ind w:right="400"/>
        <w:spacing w:after="0" w:line="357" w:lineRule="auto"/>
        <w:rPr>
          <w:sz w:val="20"/>
          <w:szCs w:val="20"/>
          <w:color w:val="auto"/>
        </w:rPr>
      </w:pPr>
      <w:r>
        <w:rPr>
          <w:rFonts w:ascii="Arial" w:cs="Arial" w:eastAsia="Arial" w:hAnsi="Arial"/>
          <w:sz w:val="15"/>
          <w:szCs w:val="15"/>
          <w:color w:val="auto"/>
        </w:rPr>
        <w:t>Advertising costs are expensed as incurred and are included in Selling, general and administrative expenses in the accompanying Consolidated Statement of Operations. Advertising expenses amounted to $2 million for each of the years ended 2021 and 2020 and $5 million for the year ended December 31, 2019.</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Amounts charged to customers and costs incurred by Kodak related to shipping and handling are included in net revenue and cost of revenues,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5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Long-lived assets are grouped with other assets and liabilities at the lowest level for which identifiable cash flows are largely independent of the cash flows of other assets and liabilities (the asset group). If the sum of the expected undiscounted cash flows from the use of and eventual disposition of such asset group is less than the carrying value of the asset group a loss is recognized to the extent the carrying value of the asset group exceeds its fair value. Kodak determines fair value through quoted market prices in active markets or, if quoted market prices are unavailable, through the performance of internal analyses of discounted cash flows.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9" w:name="page70"/>
    <w:bookmarkEnd w:id="69"/>
    <w:p>
      <w:pPr>
        <w:ind w:right="100"/>
        <w:spacing w:after="0" w:line="271" w:lineRule="auto"/>
        <w:rPr>
          <w:sz w:val="20"/>
          <w:szCs w:val="20"/>
          <w:color w:val="auto"/>
        </w:rPr>
      </w:pPr>
      <w:r>
        <w:rPr>
          <w:rFonts w:ascii="Arial" w:cs="Arial" w:eastAsia="Arial" w:hAnsi="Arial"/>
          <w:sz w:val="17"/>
          <w:szCs w:val="17"/>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6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2021 and 2020, refer to Note 17, “Income Taxes.”</w:t>
      </w:r>
    </w:p>
    <w:p>
      <w:pPr>
        <w:spacing w:after="0" w:line="7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53"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In July 2021, the Financial Accounting Standards Board (“FASB”) issued Accounting Standards Update (“ASU”) 2021-05, “Leases (Topic 842): Lessors— Certain Leases with Variable Lease Payments”. Under this ASU, lessors should classify and account for a lease with variable lease payments that do not depend on a reference index or a rate as an operating lease if both of the following criteria are met: (1) the lease would have been classified as a sales-type lease or a direct financing lease in accordance with the classification criteria in Topic 842 and (2) the lessor would have otherwise recognized a day-one loss. The amendments are effective for fiscal years beginning after December 15, 2021 and interim periods within those fiscal years for all public business entities (January 1, 2022 for Kodak). Entities that have adopted Topic 842 before the issuance date of this update have the option to apply the amendments in this update either</w:t>
      </w:r>
    </w:p>
    <w:p>
      <w:pPr>
        <w:spacing w:after="0" w:line="3" w:lineRule="exact"/>
        <w:rPr>
          <w:sz w:val="20"/>
          <w:szCs w:val="20"/>
          <w:color w:val="auto"/>
        </w:rPr>
      </w:pPr>
    </w:p>
    <w:p>
      <w:pPr>
        <w:ind w:right="100" w:firstLine="4"/>
        <w:spacing w:after="0" w:line="263" w:lineRule="auto"/>
        <w:tabs>
          <w:tab w:leader="none" w:pos="2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retrospectively to leases that commenced or were modified on or after the adoption of ASU 2016-02, “Leases (Topic 842)” or (2) prospectively to leases that commence or are modified on or after the date that an entity first applies the amendments. Earlier application is permitted. Kodak adopted this ASU prospectively on October 1, 2021. The adoption did not have an impact on Kodak’s consolidated financial statements.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convertible instruments.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EPS calculation in certain circumstances. The ASU is effective January 1, 2024 for Kodak. Early adoption is permitted for all entities for fiscal years beginning after December 15, 2020. The ASU allows entities to use either a modified retrospective or full retrospective transition method. Kodak adopted this ASU on January 1, 2021 using the modified retrospective method, under which companies apply the guidance to all financial instruments that are outstanding as of the beginning of the year of adoption with the cumulative effect recognized as an adjustment to the opening balance of retained earnings. The adoption of this standard had no impact on Kodak’s financial statements.</w:t>
      </w:r>
    </w:p>
    <w:p>
      <w:pPr>
        <w:spacing w:after="0" w:line="20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2020 (January 1, 2021 for Kodak). Kodak adopted this ASU prospectively on January 1, 2021 and it did not have any impact on Kodak’s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5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Kodak for fiscal years, and interim periods within those fiscal years, beginning after December 15, 2022, (January 1, 2023 for Kodak). Early adoption is permitted. Kodak is currently evaluating the impact of this ASU.</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RESTRICTED CASH</w:t>
      </w:r>
    </w:p>
    <w:p>
      <w:pPr>
        <w:spacing w:after="0" w:line="25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192"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1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14"/>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80" w:type="dxa"/>
            <w:vAlign w:val="bottom"/>
            <w:shd w:val="clear" w:color="auto" w:fill="CFF0FC"/>
          </w:tcPr>
          <w:p>
            <w:pPr>
              <w:spacing w:after="0"/>
              <w:rPr>
                <w:sz w:val="18"/>
                <w:szCs w:val="18"/>
                <w:color w:val="auto"/>
              </w:rPr>
            </w:pPr>
          </w:p>
        </w:tc>
      </w:tr>
      <w:tr>
        <w:trPr>
          <w:trHeight w:val="221"/>
        </w:trPr>
        <w:tc>
          <w:tcPr>
            <w:tcW w:w="5180" w:type="dxa"/>
            <w:vAlign w:val="bottom"/>
          </w:tcPr>
          <w:p>
            <w:pPr>
              <w:spacing w:after="0"/>
              <w:rPr>
                <w:sz w:val="20"/>
                <w:szCs w:val="20"/>
                <w:color w:val="auto"/>
              </w:rPr>
            </w:pPr>
            <w:r>
              <w:rPr>
                <w:rFonts w:ascii="Arial" w:cs="Arial" w:eastAsia="Arial" w:hAnsi="Arial"/>
                <w:sz w:val="17"/>
                <w:szCs w:val="17"/>
                <w:color w:val="auto"/>
              </w:rPr>
              <w:t>Restricted cash reported in Other current assets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r>
      <w:tr>
        <w:trPr>
          <w:trHeight w:val="221"/>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FF0FC"/>
          </w:tcPr>
          <w:p>
            <w:pPr>
              <w:spacing w:after="0"/>
              <w:rPr>
                <w:sz w:val="19"/>
                <w:szCs w:val="19"/>
                <w:color w:val="auto"/>
              </w:rPr>
            </w:pPr>
          </w:p>
        </w:tc>
      </w:tr>
      <w:tr>
        <w:trPr>
          <w:trHeight w:val="202"/>
        </w:trPr>
        <w:tc>
          <w:tcPr>
            <w:tcW w:w="5180" w:type="dxa"/>
            <w:vAlign w:val="bottom"/>
          </w:tcPr>
          <w:p>
            <w:pPr>
              <w:spacing w:after="0"/>
              <w:rPr>
                <w:sz w:val="20"/>
                <w:szCs w:val="20"/>
                <w:color w:val="auto"/>
              </w:rPr>
            </w:pPr>
            <w:r>
              <w:rPr>
                <w:rFonts w:ascii="Arial" w:cs="Arial" w:eastAsia="Arial" w:hAnsi="Arial"/>
                <w:sz w:val="17"/>
                <w:szCs w:val="17"/>
                <w:color w:val="auto"/>
              </w:rPr>
              <w:t>Total cash, cash equivalents and restricted cash shown in the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180" w:type="dxa"/>
            <w:vAlign w:val="bottom"/>
          </w:tcPr>
          <w:p>
            <w:pPr>
              <w:ind w:left="120"/>
              <w:spacing w:after="0"/>
              <w:rPr>
                <w:sz w:val="20"/>
                <w:szCs w:val="20"/>
                <w:color w:val="auto"/>
              </w:rPr>
            </w:pPr>
            <w:r>
              <w:rPr>
                <w:rFonts w:ascii="Arial" w:cs="Arial" w:eastAsia="Arial" w:hAnsi="Arial"/>
                <w:sz w:val="17"/>
                <w:szCs w:val="17"/>
                <w:color w:val="auto"/>
              </w:rPr>
              <w:t>Statement of Cash Flows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423</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256</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Restricted cash reported in Other current assets on the Consolidated Statement of Financial Position primarily represents amounts that support hedging activities.</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Restricted cash includes $45 million as of December 31, 2021 representing the cash collateral required to be posted by the Company under the Letter of Credit Facility (“L/C Cash Collateral”). Restricted cash included $35 million as of December 31, 2020 supporting compliance with the Excess Availability threshold under the ABL Credit Agreement, as defined therein (Refer to Note 8, “Debt and Finance Leases” for information on the Restricted cash supporting the L/C Cash Collateral and the Excess Availability threshold). In addition, Restricted cash as of December 31, 2021 and 2020 includes an escrow of $4 million and $12 million, respectively, in China to secure various ongoing obligations under the agreements for the strategic relationship with Lucky HuaGuang Graphics Co.</w:t>
      </w:r>
    </w:p>
    <w:p>
      <w:pPr>
        <w:spacing w:after="0" w:line="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Ltd. Long-term restricted cash also includes $3 million and $4 million of security posted related to Brazilian legal contingencies as of December 31, 2021 and 2020,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INVENTORIES, NET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180" w:type="dxa"/>
            <w:vAlign w:val="bottom"/>
            <w:gridSpan w:val="2"/>
          </w:tcPr>
          <w:p>
            <w:pPr>
              <w:ind w:left="1700"/>
              <w:spacing w:after="0"/>
              <w:rPr>
                <w:sz w:val="20"/>
                <w:szCs w:val="20"/>
                <w:color w:val="auto"/>
              </w:rPr>
            </w:pPr>
            <w:r>
              <w:rPr>
                <w:rFonts w:ascii="Arial" w:cs="Arial" w:eastAsia="Arial" w:hAnsi="Arial"/>
                <w:sz w:val="14"/>
                <w:szCs w:val="14"/>
                <w:color w:val="auto"/>
              </w:rPr>
              <w:t>(in millions)</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2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2480" w:type="dxa"/>
            <w:vAlign w:val="bottom"/>
            <w:vMerge w:val="continue"/>
            <w:shd w:val="clear" w:color="auto" w:fill="CFF0FC"/>
          </w:tcPr>
          <w:p>
            <w:pPr>
              <w:spacing w:after="0"/>
              <w:rPr>
                <w:sz w:val="18"/>
                <w:szCs w:val="18"/>
                <w:color w:val="auto"/>
              </w:rPr>
            </w:pPr>
          </w:p>
        </w:tc>
        <w:tc>
          <w:tcPr>
            <w:tcW w:w="3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ind w:left="1700"/>
              <w:spacing w:after="0"/>
              <w:rPr>
                <w:sz w:val="20"/>
                <w:szCs w:val="20"/>
                <w:color w:val="auto"/>
              </w:rPr>
            </w:pPr>
            <w:r>
              <w:rPr>
                <w:rFonts w:ascii="Arial" w:cs="Arial" w:eastAsia="Arial" w:hAnsi="Arial"/>
                <w:sz w:val="17"/>
                <w:szCs w:val="17"/>
                <w:color w:val="auto"/>
              </w:rPr>
              <w:t>Work in process</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7"/>
                <w:szCs w:val="17"/>
                <w:color w:val="auto"/>
              </w:rPr>
              <w:t>Raw materials</w:t>
            </w:r>
          </w:p>
        </w:tc>
        <w:tc>
          <w:tcPr>
            <w:tcW w:w="2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700"/>
              <w:spacing w:after="0"/>
              <w:rPr>
                <w:sz w:val="20"/>
                <w:szCs w:val="20"/>
                <w:color w:val="auto"/>
              </w:rPr>
            </w:pPr>
            <w:r>
              <w:rPr>
                <w:rFonts w:ascii="Arial" w:cs="Arial" w:eastAsia="Arial" w:hAnsi="Arial"/>
                <w:sz w:val="17"/>
                <w:szCs w:val="17"/>
                <w:color w:val="auto"/>
              </w:rPr>
              <w:t>Total</w:t>
            </w:r>
          </w:p>
        </w:tc>
        <w:tc>
          <w:tcPr>
            <w:tcW w:w="3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219</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00" w:type="dxa"/>
            <w:vAlign w:val="bottom"/>
            <w:vMerge w:val="restart"/>
          </w:tcPr>
          <w:p>
            <w:pPr>
              <w:jc w:val="right"/>
              <w:ind w:right="1273"/>
              <w:spacing w:after="0"/>
              <w:rPr>
                <w:sz w:val="20"/>
                <w:szCs w:val="20"/>
                <w:color w:val="auto"/>
              </w:rPr>
            </w:pPr>
            <w:r>
              <w:rPr>
                <w:rFonts w:ascii="Arial" w:cs="Arial" w:eastAsia="Arial" w:hAnsi="Arial"/>
                <w:sz w:val="17"/>
                <w:szCs w:val="17"/>
                <w:color w:val="auto"/>
              </w:rPr>
              <w:t>71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NOTE 4: PROPERTY, PLANT AND EQUIPMENT, NET</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27"/>
        </w:trPr>
        <w:tc>
          <w:tcPr>
            <w:tcW w:w="4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Land</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Construction in progress</w:t>
            </w:r>
          </w:p>
        </w:tc>
        <w:tc>
          <w:tcPr>
            <w:tcW w:w="1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1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00" w:type="dxa"/>
            <w:vAlign w:val="bottom"/>
            <w:vMerge w:val="continue"/>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$26 million, $32 million and $48 million for the years ended December 31, 2021, 2020 and 2019,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GOODWILL AND OTHER INTANGIBLE ASSETS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the carrying value of goodwill by reportable segment.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left="153"/>
              <w:spacing w:after="0"/>
              <w:rPr>
                <w:sz w:val="20"/>
                <w:szCs w:val="20"/>
                <w:color w:val="auto"/>
              </w:rPr>
            </w:pPr>
            <w:r>
              <w:rPr>
                <w:rFonts w:ascii="Arial" w:cs="Arial" w:eastAsia="Arial" w:hAnsi="Arial"/>
                <w:sz w:val="17"/>
                <w:szCs w:val="17"/>
                <w:b w:val="1"/>
                <w:bCs w:val="1"/>
                <w:color w:val="auto"/>
                <w:w w:val="93"/>
              </w:rPr>
              <w:t>Advanced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Traditional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b w:val="1"/>
                <w:bCs w:val="1"/>
                <w:color w:val="auto"/>
              </w:rPr>
              <w:t>Digital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5"/>
              </w:rPr>
              <w:t>Materials and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4"/>
              </w:rPr>
              <w:t>Consolidated</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7"/>
                <w:szCs w:val="17"/>
                <w:color w:val="auto"/>
              </w:rPr>
              <w:t>(in millions)</w:t>
            </w:r>
          </w:p>
        </w:tc>
        <w:tc>
          <w:tcPr>
            <w:tcW w:w="3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7"/>
                <w:szCs w:val="17"/>
                <w:b w:val="1"/>
                <w:bCs w:val="1"/>
                <w:color w:val="auto"/>
              </w:rPr>
              <w:t>Printing</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7"/>
                <w:szCs w:val="17"/>
                <w:b w:val="1"/>
                <w:bCs w:val="1"/>
                <w:color w:val="auto"/>
              </w:rPr>
              <w:t>Printing</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left="153"/>
              <w:spacing w:after="0"/>
              <w:rPr>
                <w:sz w:val="20"/>
                <w:szCs w:val="20"/>
                <w:color w:val="auto"/>
              </w:rPr>
            </w:pPr>
            <w:r>
              <w:rPr>
                <w:rFonts w:ascii="Arial" w:cs="Arial" w:eastAsia="Arial" w:hAnsi="Arial"/>
                <w:sz w:val="17"/>
                <w:szCs w:val="17"/>
                <w:b w:val="1"/>
                <w:bCs w:val="1"/>
                <w:color w:val="auto"/>
                <w:w w:val="89"/>
              </w:rPr>
              <w:t>Chemicals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b w:val="1"/>
                <w:bCs w:val="1"/>
                <w:color w:val="auto"/>
              </w:rPr>
              <w:t>Brand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4"/>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 of December 31, 2019</w:t>
            </w:r>
          </w:p>
        </w:tc>
        <w:tc>
          <w:tcPr>
            <w:tcW w:w="3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ind w:left="120"/>
              <w:spacing w:after="0"/>
              <w:rPr>
                <w:sz w:val="20"/>
                <w:szCs w:val="20"/>
                <w:color w:val="auto"/>
              </w:rPr>
            </w:pPr>
            <w:r>
              <w:rPr>
                <w:rFonts w:ascii="Arial" w:cs="Arial" w:eastAsia="Arial" w:hAnsi="Arial"/>
                <w:sz w:val="17"/>
                <w:szCs w:val="17"/>
                <w:color w:val="auto"/>
              </w:rPr>
              <w:t>Goodwill</w:t>
            </w:r>
          </w:p>
        </w:tc>
        <w:tc>
          <w:tcPr>
            <w:tcW w:w="1500" w:type="dxa"/>
            <w:vAlign w:val="bottom"/>
            <w:gridSpan w:val="2"/>
          </w:tcPr>
          <w:p>
            <w:pPr>
              <w:jc w:val="right"/>
              <w:ind w:right="933"/>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9"/>
                <w:szCs w:val="19"/>
                <w:color w:val="auto"/>
              </w:rPr>
            </w:pPr>
          </w:p>
        </w:tc>
        <w:tc>
          <w:tcPr>
            <w:tcW w:w="118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1380" w:type="dxa"/>
            <w:vAlign w:val="bottom"/>
            <w:gridSpan w:val="2"/>
          </w:tcPr>
          <w:p>
            <w:pPr>
              <w:jc w:val="right"/>
              <w:ind w:right="933"/>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1140" w:type="dxa"/>
            <w:vAlign w:val="bottom"/>
            <w:gridSpan w:val="2"/>
          </w:tcPr>
          <w:p>
            <w:pPr>
              <w:jc w:val="right"/>
              <w:ind w:right="87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Accumulated impairment losses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99"/>
              </w:rPr>
              <w:t>(56)</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as of December 31, 2019</w:t>
            </w:r>
          </w:p>
        </w:tc>
        <w:tc>
          <w:tcPr>
            <w:tcW w:w="38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Goodwill reallocation</w:t>
            </w: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as of December 31, 2020</w:t>
            </w:r>
          </w:p>
        </w:tc>
        <w:tc>
          <w:tcPr>
            <w:tcW w:w="38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Impairment</w:t>
            </w:r>
          </w:p>
        </w:tc>
        <w:tc>
          <w:tcPr>
            <w:tcW w:w="3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20" w:type="dxa"/>
            <w:vAlign w:val="bottom"/>
          </w:tcPr>
          <w:p>
            <w:pPr>
              <w:spacing w:after="0"/>
              <w:rPr>
                <w:sz w:val="20"/>
                <w:szCs w:val="20"/>
                <w:color w:val="auto"/>
              </w:rPr>
            </w:pPr>
            <w:r>
              <w:rPr>
                <w:rFonts w:ascii="Arial" w:cs="Arial" w:eastAsia="Arial" w:hAnsi="Arial"/>
                <w:sz w:val="17"/>
                <w:szCs w:val="17"/>
                <w:b w:val="1"/>
                <w:bCs w:val="1"/>
                <w:color w:val="auto"/>
              </w:rPr>
              <w:t>As of December 31, 2021</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tcPr>
          <w:p>
            <w:pPr>
              <w:ind w:left="120"/>
              <w:spacing w:after="0"/>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Accumulated impairment losses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99"/>
              </w:rPr>
              <w:t>(56)</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7"/>
                <w:szCs w:val="17"/>
                <w:b w:val="1"/>
                <w:bCs w:val="1"/>
                <w:color w:val="auto"/>
              </w:rPr>
              <w:t>Balance as of December 31, 2021</w:t>
            </w: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933"/>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1380" w:type="dxa"/>
            <w:vAlign w:val="bottom"/>
            <w:gridSpan w:val="2"/>
          </w:tcPr>
          <w:p>
            <w:pPr>
              <w:jc w:val="right"/>
              <w:ind w:right="933"/>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7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Digital Printing segment has three goodwill reporting units: Electrophotographic Printing Solutions; Prosper and Versamark; and Software. The Advanced Materials and Chemicals segment has two goodwill reporting units: Motion Picture and Industrial Films and Chemicals; and Advanced Materials and Functional Printing. The Traditional Printing segment and Brand segment each have one goodwill reporting unit. As of December 31, 2021, goodwill is only recorded in the Brand and Software reporting units.</w:t>
      </w:r>
    </w:p>
    <w:p>
      <w:pPr>
        <w:spacing w:after="0" w:line="20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Kodak performed interim tests of impairment for goodwill as of June 30, 2020 due to the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w:t>
      </w:r>
    </w:p>
    <w:p>
      <w:pPr>
        <w:spacing w:after="0" w:line="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Based on the results of the June 30, 2020 and March 31, 2020 analyses, no impairment of goodwill was indicated. No interim impairment test for goodwill was performed as of September 30, 2020. No interim impairment tests for goodwill were required to be performed for any interim periods in the years ended December 31, 2021 or 2019.</w:t>
      </w:r>
    </w:p>
    <w:p>
      <w:pPr>
        <w:spacing w:after="0" w:line="20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Based upon the results of Kodak’s December 31, 2021 and 2020 annual impairment tests, no impairment of goodwill is indicated. As of December 31, 2021 and 2020 the Brand reporting unit had negative carrying values.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2021 and 2020 were as follows: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2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As of December 31, 2021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r>
      <w:tr>
        <w:trPr>
          <w:trHeight w:val="209"/>
        </w:trPr>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r>
      <w:tr>
        <w:trPr>
          <w:trHeight w:val="221"/>
        </w:trPr>
        <w:tc>
          <w:tcPr>
            <w:tcW w:w="2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Gross Carrying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Accumulated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4"/>
              </w:rPr>
              <w:t>Remaining</w:t>
            </w:r>
          </w:p>
        </w:tc>
      </w:tr>
      <w:tr>
        <w:trPr>
          <w:trHeight w:val="227"/>
        </w:trPr>
        <w:tc>
          <w:tcPr>
            <w:tcW w:w="2120" w:type="dxa"/>
            <w:vAlign w:val="bottom"/>
          </w:tcPr>
          <w:p>
            <w:pPr>
              <w:spacing w:after="0"/>
              <w:rPr>
                <w:sz w:val="20"/>
                <w:szCs w:val="20"/>
                <w:color w:val="auto"/>
              </w:rPr>
            </w:pPr>
            <w:r>
              <w:rPr>
                <w:rFonts w:ascii="Arial" w:cs="Arial" w:eastAsia="Arial" w:hAnsi="Arial"/>
                <w:sz w:val="17"/>
                <w:szCs w:val="17"/>
                <w:color w:val="auto"/>
              </w:rPr>
              <w:t>(in millions)</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8"/>
              </w:rPr>
              <w:t>Amortization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Net</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Amortization Period</w:t>
            </w:r>
          </w:p>
        </w:tc>
      </w:tr>
      <w:tr>
        <w:trPr>
          <w:trHeight w:val="214"/>
        </w:trPr>
        <w:tc>
          <w:tcPr>
            <w:tcW w:w="2120" w:type="dxa"/>
            <w:vAlign w:val="bottom"/>
          </w:tcPr>
          <w:p>
            <w:pPr>
              <w:spacing w:after="0"/>
              <w:rPr>
                <w:sz w:val="20"/>
                <w:szCs w:val="20"/>
                <w:color w:val="auto"/>
              </w:rPr>
            </w:pPr>
            <w:r>
              <w:rPr>
                <w:rFonts w:ascii="Arial" w:cs="Arial" w:eastAsia="Arial" w:hAnsi="Arial"/>
                <w:sz w:val="17"/>
                <w:szCs w:val="17"/>
                <w:color w:val="auto"/>
              </w:rPr>
              <w:t>Technology-based</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99</w:t>
            </w: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84</w:t>
            </w:r>
          </w:p>
        </w:tc>
        <w:tc>
          <w:tcPr>
            <w:tcW w:w="1200" w:type="dxa"/>
            <w:vAlign w:val="bottom"/>
            <w:gridSpan w:val="3"/>
          </w:tcPr>
          <w:p>
            <w:pPr>
              <w:jc w:val="right"/>
              <w:ind w:right="793"/>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89"/>
              </w:rPr>
              <w:t>4 years</w:t>
            </w:r>
          </w:p>
        </w:tc>
      </w:tr>
      <w:tr>
        <w:trPr>
          <w:trHeight w:val="221"/>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Kodak trade name</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8"/>
              </w:rPr>
              <w:t>Indefinite life</w:t>
            </w:r>
          </w:p>
        </w:tc>
      </w:tr>
      <w:tr>
        <w:trPr>
          <w:trHeight w:val="221"/>
        </w:trPr>
        <w:tc>
          <w:tcPr>
            <w:tcW w:w="2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Customer-related</w:t>
            </w:r>
          </w:p>
        </w:tc>
        <w:tc>
          <w:tcPr>
            <w:tcW w:w="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9"/>
              </w:rPr>
              <w:t>2 years</w:t>
            </w:r>
          </w:p>
        </w:tc>
      </w:tr>
      <w:tr>
        <w:trPr>
          <w:trHeight w:val="214"/>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200" w:type="dxa"/>
            <w:vAlign w:val="bottom"/>
            <w:gridSpan w:val="3"/>
            <w:shd w:val="clear" w:color="auto" w:fill="CFF0FC"/>
          </w:tcPr>
          <w:p>
            <w:pPr>
              <w:jc w:val="right"/>
              <w:ind w:right="79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r>
      <w:tr>
        <w:trPr>
          <w:trHeight w:val="435"/>
        </w:trPr>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14"/>
        </w:trPr>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r>
      <w:tr>
        <w:trPr>
          <w:trHeight w:val="209"/>
        </w:trPr>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4"/>
              </w:rPr>
              <w:t>Remaining</w:t>
            </w:r>
          </w:p>
        </w:tc>
      </w:tr>
      <w:tr>
        <w:trPr>
          <w:trHeight w:val="227"/>
        </w:trPr>
        <w:tc>
          <w:tcPr>
            <w:tcW w:w="2120" w:type="dxa"/>
            <w:vAlign w:val="bottom"/>
          </w:tcPr>
          <w:p>
            <w:pPr>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8"/>
              </w:rPr>
              <w:t>Amortization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Net</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Amortization Period</w:t>
            </w:r>
          </w:p>
        </w:tc>
      </w:tr>
      <w:tr>
        <w:trPr>
          <w:trHeight w:val="214"/>
        </w:trPr>
        <w:tc>
          <w:tcPr>
            <w:tcW w:w="2120" w:type="dxa"/>
            <w:vAlign w:val="bottom"/>
          </w:tcPr>
          <w:p>
            <w:pPr>
              <w:spacing w:after="0"/>
              <w:rPr>
                <w:sz w:val="20"/>
                <w:szCs w:val="20"/>
                <w:color w:val="auto"/>
              </w:rPr>
            </w:pPr>
            <w:r>
              <w:rPr>
                <w:rFonts w:ascii="Arial" w:cs="Arial" w:eastAsia="Arial" w:hAnsi="Arial"/>
                <w:sz w:val="17"/>
                <w:szCs w:val="17"/>
                <w:color w:val="auto"/>
              </w:rPr>
              <w:t>Technology-based</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99</w:t>
            </w: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80</w:t>
            </w:r>
          </w:p>
        </w:tc>
        <w:tc>
          <w:tcPr>
            <w:tcW w:w="1200" w:type="dxa"/>
            <w:vAlign w:val="bottom"/>
            <w:gridSpan w:val="3"/>
          </w:tcPr>
          <w:p>
            <w:pPr>
              <w:jc w:val="right"/>
              <w:ind w:right="793"/>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89"/>
              </w:rPr>
              <w:t>5 years</w:t>
            </w:r>
          </w:p>
        </w:tc>
      </w:tr>
      <w:tr>
        <w:trPr>
          <w:trHeight w:val="221"/>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Kodak trade name</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8"/>
              </w:rPr>
              <w:t>Indefinite life</w:t>
            </w:r>
          </w:p>
        </w:tc>
      </w:tr>
      <w:tr>
        <w:trPr>
          <w:trHeight w:val="221"/>
        </w:trPr>
        <w:tc>
          <w:tcPr>
            <w:tcW w:w="2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Customer-related</w:t>
            </w:r>
          </w:p>
        </w:tc>
        <w:tc>
          <w:tcPr>
            <w:tcW w:w="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9"/>
              </w:rPr>
              <w:t>3 years</w:t>
            </w:r>
          </w:p>
        </w:tc>
      </w:tr>
      <w:tr>
        <w:trPr>
          <w:trHeight w:val="214"/>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200" w:type="dxa"/>
            <w:vAlign w:val="bottom"/>
            <w:gridSpan w:val="3"/>
            <w:shd w:val="clear" w:color="auto" w:fill="CFF0FC"/>
          </w:tcPr>
          <w:p>
            <w:pPr>
              <w:jc w:val="right"/>
              <w:ind w:right="79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annual and interim impairment tests of the Kodak trade name use the income approach, specifically the relief from royalty method.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results of Kodak’s annual December 31, 2021 and 2020 impairment tests, no impairment of the Kodak trade name was indicated.</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the first quarter of 2020, due to the uncertainty regarding the negative impact of the COVID-19 pandemic at that time, Kodak performed an interim test of impairment for the Kodak trade name. Based on the result of the interim impairment test, Kodak concluded the carrying value of the Kodak trade name exceeded its fair value. Pre-tax impairment charges of $3 million are included in Other operating (income) expense, net for the year ended December 31, 2020 in the Consolidated Statement of Operations. Kodak also performed an interim test of impairment for the Kodak trade name as of June 30, 2020 due to the uncertainty regarding the negative impact of the COVID-19 pandemic. Based on the result of the interim impairment test as of June 30, 2020, Kodak concluded the fair value of the Kodak trade name exceeded its’ carrying value resulting in no additional impairment. No interim impairment test for the Kodak tradename was performed as of September 30, 2020. No interim impairment tests for the Kodak tradename were required to be performed for any interim periods in the years ended December 31, 2021 or 2019.</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fourth quarter of 2019, Kodak concluded the carrying value of the Kodak trade name exceeded its fair value. Pre-tax impairment charges of $4 million are included in Other operating (income) expense, net in the Consolidated Statement of Operations.</w:t>
      </w:r>
    </w:p>
    <w:p>
      <w:pPr>
        <w:spacing w:after="0" w:line="185"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Amortization expense related to intangible assets was $5 million for both the years ended December 31, 2021 and 2020 and $7 million for the year ended December 31, 2019.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Estimated future amortization expense related to intangible assets that are currently being amortized as of December 31, 2021 was as follows:</w:t>
      </w:r>
    </w:p>
    <w:p>
      <w:pPr>
        <w:spacing w:after="0" w:line="260" w:lineRule="exact"/>
        <w:rPr>
          <w:sz w:val="20"/>
          <w:szCs w:val="20"/>
          <w:color w:val="auto"/>
        </w:rPr>
      </w:pPr>
    </w:p>
    <w:tbl>
      <w:tblPr>
        <w:tblLayout w:type="fixed"/>
        <w:tblInd w:w="2260" w:type="dxa"/>
        <w:tblCellMar>
          <w:top w:w="0" w:type="dxa"/>
          <w:left w:w="0" w:type="dxa"/>
          <w:bottom w:w="0" w:type="dxa"/>
          <w:right w:w="0" w:type="dxa"/>
        </w:tblCellMar>
      </w:tblPr>
      <w:tr>
        <w:trPr>
          <w:trHeight w:val="221"/>
        </w:trPr>
        <w:tc>
          <w:tcPr>
            <w:tcW w:w="3180" w:type="dxa"/>
            <w:vAlign w:val="bottom"/>
          </w:tcPr>
          <w:p>
            <w:pPr>
              <w:spacing w:after="0"/>
              <w:rPr>
                <w:sz w:val="20"/>
                <w:szCs w:val="20"/>
                <w:color w:val="auto"/>
              </w:rPr>
            </w:pPr>
            <w:r>
              <w:rPr>
                <w:rFonts w:ascii="Arial" w:cs="Arial" w:eastAsia="Arial" w:hAnsi="Arial"/>
                <w:sz w:val="17"/>
                <w:szCs w:val="17"/>
                <w:color w:val="auto"/>
              </w:rPr>
              <w:t>(in millions)</w:t>
            </w:r>
          </w:p>
        </w:tc>
        <w:tc>
          <w:tcPr>
            <w:tcW w:w="2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2860" w:type="dxa"/>
            <w:vAlign w:val="bottom"/>
            <w:gridSpan w:val="2"/>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7"/>
                <w:szCs w:val="17"/>
                <w:color w:val="auto"/>
              </w:rPr>
              <w:t>2023</w:t>
            </w:r>
          </w:p>
        </w:tc>
        <w:tc>
          <w:tcPr>
            <w:tcW w:w="2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r>
      <w:tr>
        <w:trPr>
          <w:trHeight w:val="221"/>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2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r>
      <w:tr>
        <w:trPr>
          <w:trHeight w:val="221"/>
        </w:trPr>
        <w:tc>
          <w:tcPr>
            <w:tcW w:w="3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2025</w:t>
            </w:r>
          </w:p>
        </w:tc>
        <w:tc>
          <w:tcPr>
            <w:tcW w:w="23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FF0FC"/>
            </w:tcBorders>
          </w:tcPr>
          <w:p>
            <w:pPr>
              <w:spacing w:after="0"/>
              <w:rPr>
                <w:sz w:val="19"/>
                <w:szCs w:val="19"/>
                <w:color w:val="auto"/>
              </w:rPr>
            </w:pPr>
          </w:p>
        </w:tc>
      </w:tr>
      <w:tr>
        <w:trPr>
          <w:trHeight w:val="214"/>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860" w:type="dxa"/>
            <w:vAlign w:val="bottom"/>
            <w:gridSpan w:val="2"/>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8"/>
                <w:szCs w:val="18"/>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NOTE 6: OTHER CURRENT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24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27"/>
        </w:trPr>
        <w:tc>
          <w:tcPr>
            <w:tcW w:w="6060" w:type="dxa"/>
            <w:vAlign w:val="bottom"/>
            <w:gridSpan w:val="2"/>
          </w:tcPr>
          <w:p>
            <w:pPr>
              <w:ind w:left="1700"/>
              <w:spacing w:after="0"/>
              <w:rPr>
                <w:sz w:val="20"/>
                <w:szCs w:val="20"/>
                <w:color w:val="auto"/>
              </w:rPr>
            </w:pPr>
            <w:r>
              <w:rPr>
                <w:rFonts w:ascii="Arial" w:cs="Arial" w:eastAsia="Arial" w:hAnsi="Arial"/>
                <w:sz w:val="17"/>
                <w:szCs w:val="17"/>
                <w:color w:val="auto"/>
              </w:rPr>
              <w:t>(in millions)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Deferred revenue and customer deposits</w:t>
            </w: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436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ind w:left="1700"/>
              <w:spacing w:after="0"/>
              <w:rPr>
                <w:sz w:val="20"/>
                <w:szCs w:val="20"/>
                <w:color w:val="auto"/>
              </w:rPr>
            </w:pPr>
            <w:r>
              <w:rPr>
                <w:rFonts w:ascii="Arial" w:cs="Arial" w:eastAsia="Arial" w:hAnsi="Arial"/>
                <w:sz w:val="17"/>
                <w:szCs w:val="17"/>
                <w:color w:val="auto"/>
              </w:rPr>
              <w:t>Employment-related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Customer rebates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ind w:left="1700"/>
              <w:spacing w:after="0"/>
              <w:rPr>
                <w:sz w:val="20"/>
                <w:szCs w:val="20"/>
                <w:color w:val="auto"/>
              </w:rPr>
            </w:pPr>
            <w:r>
              <w:rPr>
                <w:rFonts w:ascii="Arial" w:cs="Arial" w:eastAsia="Arial" w:hAnsi="Arial"/>
                <w:sz w:val="17"/>
                <w:szCs w:val="17"/>
                <w:color w:val="auto"/>
              </w:rPr>
              <w:t>Workers' compensation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Restructuring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ind w:left="1700"/>
              <w:spacing w:after="0"/>
              <w:rPr>
                <w:sz w:val="20"/>
                <w:szCs w:val="20"/>
                <w:color w:val="auto"/>
              </w:rPr>
            </w:pPr>
            <w:r>
              <w:rPr>
                <w:rFonts w:ascii="Arial" w:cs="Arial" w:eastAsia="Arial" w:hAnsi="Arial"/>
                <w:sz w:val="17"/>
                <w:szCs w:val="17"/>
                <w:color w:val="auto"/>
              </w:rPr>
              <w:t>Accrued interest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dividends payable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ind w:left="1700"/>
              <w:spacing w:after="0"/>
              <w:rPr>
                <w:sz w:val="20"/>
                <w:szCs w:val="20"/>
                <w:color w:val="auto"/>
              </w:rPr>
            </w:pPr>
            <w:r>
              <w:rPr>
                <w:rFonts w:ascii="Arial" w:cs="Arial" w:eastAsia="Arial" w:hAnsi="Arial"/>
                <w:sz w:val="17"/>
                <w:szCs w:val="17"/>
                <w:color w:val="auto"/>
              </w:rPr>
              <w:t>Embedded conversion option derivative liability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7"/>
                <w:szCs w:val="17"/>
                <w:color w:val="auto"/>
              </w:rPr>
              <w:t>Total</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142</w:t>
            </w:r>
          </w:p>
        </w:tc>
        <w:tc>
          <w:tcPr>
            <w:tcW w:w="2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OTHER LONG-TERM LIABILITIES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227"/>
        </w:trPr>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14"/>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FF0FC"/>
          </w:tcPr>
          <w:p>
            <w:pPr>
              <w:spacing w:after="0"/>
              <w:rPr>
                <w:sz w:val="18"/>
                <w:szCs w:val="18"/>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Asset retirement obligations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9"/>
                <w:szCs w:val="19"/>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Deferred taxes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FF0FC"/>
          </w:tcPr>
          <w:p>
            <w:pPr>
              <w:spacing w:after="0"/>
              <w:rPr>
                <w:sz w:val="19"/>
                <w:szCs w:val="19"/>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Deferred brand licensing revenue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Environmental 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9"/>
                <w:szCs w:val="19"/>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Embedded conversion option derivative liabilities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FF0FC"/>
          </w:tcPr>
          <w:p>
            <w:pPr>
              <w:spacing w:after="0"/>
              <w:rPr>
                <w:sz w:val="19"/>
                <w:szCs w:val="19"/>
                <w:color w:val="auto"/>
              </w:rPr>
            </w:pPr>
          </w:p>
        </w:tc>
      </w:tr>
      <w:tr>
        <w:trPr>
          <w:trHeight w:val="214"/>
        </w:trPr>
        <w:tc>
          <w:tcPr>
            <w:tcW w:w="4420" w:type="dxa"/>
            <w:vAlign w:val="bottom"/>
          </w:tcPr>
          <w:p>
            <w:pPr>
              <w:ind w:left="220"/>
              <w:spacing w:after="0"/>
              <w:rPr>
                <w:sz w:val="20"/>
                <w:szCs w:val="20"/>
                <w:color w:val="auto"/>
              </w:rPr>
            </w:pPr>
            <w:r>
              <w:rPr>
                <w:rFonts w:ascii="Arial" w:cs="Arial" w:eastAsia="Arial" w:hAnsi="Arial"/>
                <w:sz w:val="17"/>
                <w:szCs w:val="17"/>
                <w:color w:val="auto"/>
              </w:rPr>
              <w:t>Total</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205</w:t>
            </w:r>
          </w:p>
        </w:tc>
        <w:tc>
          <w:tcPr>
            <w:tcW w:w="2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212</w:t>
            </w:r>
          </w:p>
        </w:tc>
        <w:tc>
          <w:tcPr>
            <w:tcW w:w="8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3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00"/>
          </w:cols>
          <w:pgMar w:left="320" w:top="570" w:right="67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NOTE 8: DEBT AND FINANCE 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Debt and finance leases and related maturities and interest rates were as follows at December 31, 2021 and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gridSpan w:val="5"/>
          </w:tcPr>
          <w:p>
            <w:pPr>
              <w:ind w:left="860"/>
              <w:spacing w:after="0"/>
              <w:rPr>
                <w:sz w:val="20"/>
                <w:szCs w:val="20"/>
                <w:color w:val="auto"/>
              </w:rPr>
            </w:pPr>
            <w:r>
              <w:rPr>
                <w:rFonts w:ascii="Arial" w:cs="Arial" w:eastAsia="Arial" w:hAnsi="Arial"/>
                <w:sz w:val="16"/>
                <w:szCs w:val="16"/>
                <w:b w:val="1"/>
                <w:bCs w:val="1"/>
                <w:color w:val="auto"/>
              </w:rPr>
              <w:t>As of December 31,</w:t>
            </w:r>
          </w:p>
        </w:tc>
      </w:tr>
      <w:tr>
        <w:trPr>
          <w:trHeight w:val="221"/>
        </w:trPr>
        <w:tc>
          <w:tcPr>
            <w:tcW w:w="2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r>
      <w:tr>
        <w:trPr>
          <w:trHeight w:val="194"/>
        </w:trPr>
        <w:tc>
          <w:tcPr>
            <w:tcW w:w="4400" w:type="dxa"/>
            <w:vAlign w:val="bottom"/>
            <w:gridSpan w:val="3"/>
          </w:tcPr>
          <w:p>
            <w:pPr>
              <w:spacing w:after="0" w:line="194" w:lineRule="exact"/>
              <w:rPr>
                <w:sz w:val="20"/>
                <w:szCs w:val="20"/>
                <w:color w:val="auto"/>
              </w:rPr>
            </w:pPr>
            <w:r>
              <w:rPr>
                <w:rFonts w:ascii="Arial" w:cs="Arial" w:eastAsia="Arial" w:hAnsi="Arial"/>
                <w:sz w:val="17"/>
                <w:szCs w:val="17"/>
                <w:color w:val="auto"/>
              </w:rPr>
              <w:t>(in millions)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Weighted-Average</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2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Effective</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900" w:type="dxa"/>
            <w:vAlign w:val="bottom"/>
            <w:tcBorders>
              <w:bottom w:val="single" w:sz="8" w:color="CFF0FC"/>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Type</w:t>
            </w:r>
          </w:p>
        </w:tc>
        <w:tc>
          <w:tcPr>
            <w:tcW w:w="160" w:type="dxa"/>
            <w:vAlign w:val="bottom"/>
            <w:tcBorders>
              <w:bottom w:val="single" w:sz="8" w:color="CFF0FC"/>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80" w:type="dxa"/>
            <w:vAlign w:val="bottom"/>
            <w:tcBorders>
              <w:bottom w:val="single" w:sz="8" w:color="CFF0FC"/>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Interest Rate</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5"/>
              </w:rPr>
              <w:t>Carrying Value</w:t>
            </w:r>
          </w:p>
        </w:tc>
        <w:tc>
          <w:tcPr>
            <w:tcW w:w="2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7"/>
              </w:rPr>
              <w:t>Carrying Value</w:t>
            </w:r>
          </w:p>
        </w:tc>
        <w:tc>
          <w:tcPr>
            <w:tcW w:w="120" w:type="dxa"/>
            <w:vAlign w:val="bottom"/>
            <w:tcBorders>
              <w:bottom w:val="single" w:sz="8" w:color="CFF0FC"/>
            </w:tcBorders>
          </w:tcPr>
          <w:p>
            <w:pPr>
              <w:spacing w:after="0"/>
              <w:rPr>
                <w:sz w:val="17"/>
                <w:szCs w:val="17"/>
                <w:color w:val="auto"/>
              </w:rPr>
            </w:pPr>
          </w:p>
        </w:tc>
      </w:tr>
      <w:tr>
        <w:trPr>
          <w:trHeight w:val="217"/>
        </w:trPr>
        <w:tc>
          <w:tcPr>
            <w:tcW w:w="440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Current portion:</w:t>
            </w: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9"/>
        </w:trPr>
        <w:tc>
          <w:tcPr>
            <w:tcW w:w="29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RED-Rochester,</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290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rPr>
              <w:t>LLC</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2033</w:t>
            </w:r>
          </w:p>
        </w:tc>
        <w:tc>
          <w:tcPr>
            <w:tcW w:w="1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90"/>
              </w:rPr>
              <w:t>11.42%</w:t>
            </w:r>
          </w:p>
        </w:tc>
        <w:tc>
          <w:tcPr>
            <w:tcW w:w="2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r>
      <w:tr>
        <w:trPr>
          <w:trHeight w:val="221"/>
        </w:trPr>
        <w:tc>
          <w:tcPr>
            <w:tcW w:w="29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87"/>
              </w:rPr>
              <w:t>Finance leases</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center"/>
              <w:ind w:right="280"/>
              <w:spacing w:after="0"/>
              <w:rPr>
                <w:sz w:val="20"/>
                <w:szCs w:val="20"/>
                <w:color w:val="auto"/>
              </w:rPr>
            </w:pPr>
            <w:r>
              <w:rPr>
                <w:rFonts w:ascii="Arial" w:cs="Arial" w:eastAsia="Arial" w:hAnsi="Arial"/>
                <w:sz w:val="17"/>
                <w:szCs w:val="17"/>
                <w:color w:val="auto"/>
                <w:w w:val="93"/>
              </w:rPr>
              <w:t>Various</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r>
      <w:tr>
        <w:trPr>
          <w:trHeight w:val="214"/>
        </w:trPr>
        <w:tc>
          <w:tcPr>
            <w:tcW w:w="29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8"/>
                <w:szCs w:val="18"/>
                <w:color w:val="auto"/>
              </w:rPr>
            </w:pPr>
          </w:p>
        </w:tc>
      </w:tr>
      <w:tr>
        <w:trPr>
          <w:trHeight w:val="214"/>
        </w:trPr>
        <w:tc>
          <w:tcPr>
            <w:tcW w:w="29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4400" w:type="dxa"/>
            <w:vAlign w:val="bottom"/>
            <w:gridSpan w:val="3"/>
          </w:tcPr>
          <w:p>
            <w:pPr>
              <w:spacing w:after="0"/>
              <w:rPr>
                <w:sz w:val="20"/>
                <w:szCs w:val="20"/>
                <w:color w:val="auto"/>
              </w:rPr>
            </w:pPr>
            <w:r>
              <w:rPr>
                <w:rFonts w:ascii="Arial" w:cs="Arial" w:eastAsia="Arial" w:hAnsi="Arial"/>
                <w:sz w:val="17"/>
                <w:szCs w:val="17"/>
                <w:color w:val="auto"/>
              </w:rPr>
              <w:t>Non-current portion: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29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88"/>
              </w:rPr>
              <w:t>Term notes</w:t>
            </w:r>
          </w:p>
        </w:tc>
        <w:tc>
          <w:tcPr>
            <w:tcW w:w="13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2026</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13.85%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290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Convertible debt</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2026</w:t>
            </w:r>
          </w:p>
        </w:tc>
        <w:tc>
          <w:tcPr>
            <w:tcW w:w="1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17.26%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29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0"/>
              </w:rPr>
              <w:t>RED-Rochester,</w:t>
            </w: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29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rPr>
              <w:t>LLC</w:t>
            </w:r>
          </w:p>
        </w:tc>
        <w:tc>
          <w:tcPr>
            <w:tcW w:w="13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2033</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11.42%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r>
      <w:tr>
        <w:trPr>
          <w:trHeight w:val="221"/>
        </w:trPr>
        <w:tc>
          <w:tcPr>
            <w:tcW w:w="290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Finance leases</w:t>
            </w:r>
          </w:p>
        </w:tc>
        <w:tc>
          <w:tcPr>
            <w:tcW w:w="152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Various</w:t>
            </w:r>
          </w:p>
        </w:tc>
        <w:tc>
          <w:tcPr>
            <w:tcW w:w="182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Various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r>
      <w:tr>
        <w:trPr>
          <w:trHeight w:val="221"/>
        </w:trPr>
        <w:tc>
          <w:tcPr>
            <w:tcW w:w="29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89"/>
              </w:rPr>
              <w:t>Other debt</w:t>
            </w: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3"/>
              </w:rPr>
              <w:t>Various</w:t>
            </w:r>
          </w:p>
        </w:tc>
        <w:tc>
          <w:tcPr>
            <w:tcW w:w="1820" w:type="dxa"/>
            <w:vAlign w:val="bottom"/>
            <w:gridSpan w:val="2"/>
            <w:shd w:val="clear" w:color="auto" w:fill="CFF0FC"/>
          </w:tcPr>
          <w:p>
            <w:pPr>
              <w:jc w:val="center"/>
              <w:ind w:right="280"/>
              <w:spacing w:after="0"/>
              <w:rPr>
                <w:sz w:val="20"/>
                <w:szCs w:val="20"/>
                <w:color w:val="auto"/>
              </w:rPr>
            </w:pPr>
            <w:r>
              <w:rPr>
                <w:rFonts w:ascii="Arial" w:cs="Arial" w:eastAsia="Arial" w:hAnsi="Arial"/>
                <w:sz w:val="17"/>
                <w:szCs w:val="17"/>
                <w:color w:val="auto"/>
                <w:w w:val="93"/>
              </w:rPr>
              <w:t>Various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r>
      <w:tr>
        <w:trPr>
          <w:trHeight w:val="214"/>
        </w:trPr>
        <w:tc>
          <w:tcPr>
            <w:tcW w:w="29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FF0FC"/>
            </w:tcBorders>
          </w:tcPr>
          <w:p>
            <w:pPr>
              <w:spacing w:after="0"/>
              <w:rPr>
                <w:sz w:val="18"/>
                <w:szCs w:val="18"/>
                <w:color w:val="auto"/>
              </w:rPr>
            </w:pPr>
          </w:p>
        </w:tc>
      </w:tr>
      <w:tr>
        <w:trPr>
          <w:trHeight w:val="214"/>
        </w:trPr>
        <w:tc>
          <w:tcPr>
            <w:tcW w:w="29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80" w:type="dxa"/>
            <w:vAlign w:val="bottom"/>
            <w:gridSpan w:val="2"/>
          </w:tcPr>
          <w:p>
            <w:pPr>
              <w:jc w:val="right"/>
              <w:ind w:right="93"/>
              <w:spacing w:after="0"/>
              <w:rPr>
                <w:sz w:val="20"/>
                <w:szCs w:val="20"/>
                <w:color w:val="auto"/>
              </w:rPr>
            </w:pPr>
            <w:r>
              <w:rPr>
                <w:rFonts w:ascii="Arial" w:cs="Arial" w:eastAsia="Arial" w:hAnsi="Arial"/>
                <w:sz w:val="17"/>
                <w:szCs w:val="17"/>
                <w:color w:val="auto"/>
                <w:w w:val="92"/>
              </w:rPr>
              <w:t>Annual maturities of debt and finance leases outstanding at December 31, 2021 were as follows: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880" w:type="dxa"/>
            <w:vAlign w:val="bottom"/>
            <w:gridSpan w:val="2"/>
          </w:tcPr>
          <w:p>
            <w:pPr>
              <w:ind w:left="1700"/>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b w:val="1"/>
                <w:bCs w:val="1"/>
                <w:color w:val="auto"/>
              </w:rPr>
              <w:t>Carrying</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rPr>
              <w:t>Maturity</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Value</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180" w:type="dxa"/>
            <w:vAlign w:val="bottom"/>
            <w:shd w:val="clear" w:color="auto" w:fill="CFF0FC"/>
          </w:tcPr>
          <w:p>
            <w:pPr>
              <w:jc w:val="right"/>
              <w:ind w:right="4753"/>
              <w:spacing w:after="0"/>
              <w:rPr>
                <w:sz w:val="20"/>
                <w:szCs w:val="20"/>
                <w:color w:val="auto"/>
              </w:rPr>
            </w:pPr>
            <w:r>
              <w:rPr>
                <w:rFonts w:ascii="Arial" w:cs="Arial" w:eastAsia="Arial" w:hAnsi="Arial"/>
                <w:sz w:val="17"/>
                <w:szCs w:val="17"/>
                <w:color w:val="auto"/>
                <w:w w:val="84"/>
              </w:rPr>
              <w:t>2022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gridSpan w:val="2"/>
          </w:tcPr>
          <w:p>
            <w:pPr>
              <w:jc w:val="right"/>
              <w:ind w:right="4753"/>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80" w:type="dxa"/>
            <w:vAlign w:val="bottom"/>
            <w:shd w:val="clear" w:color="auto" w:fill="CFF0FC"/>
          </w:tcPr>
          <w:p>
            <w:pPr>
              <w:jc w:val="right"/>
              <w:ind w:right="4753"/>
              <w:spacing w:after="0"/>
              <w:rPr>
                <w:sz w:val="20"/>
                <w:szCs w:val="20"/>
                <w:color w:val="auto"/>
              </w:rPr>
            </w:pPr>
            <w:r>
              <w:rPr>
                <w:rFonts w:ascii="Arial" w:cs="Arial" w:eastAsia="Arial" w:hAnsi="Arial"/>
                <w:sz w:val="17"/>
                <w:szCs w:val="17"/>
                <w:color w:val="auto"/>
                <w:w w:val="84"/>
              </w:rPr>
              <w:t>2024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80" w:type="dxa"/>
            <w:vAlign w:val="bottom"/>
            <w:gridSpan w:val="2"/>
          </w:tcPr>
          <w:p>
            <w:pPr>
              <w:jc w:val="right"/>
              <w:ind w:right="4753"/>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80" w:type="dxa"/>
            <w:vAlign w:val="bottom"/>
            <w:shd w:val="clear" w:color="auto" w:fill="CFF0FC"/>
          </w:tcPr>
          <w:p>
            <w:pPr>
              <w:jc w:val="right"/>
              <w:ind w:right="4753"/>
              <w:spacing w:after="0"/>
              <w:rPr>
                <w:sz w:val="20"/>
                <w:szCs w:val="20"/>
                <w:color w:val="auto"/>
              </w:rPr>
            </w:pPr>
            <w:r>
              <w:rPr>
                <w:rFonts w:ascii="Arial" w:cs="Arial" w:eastAsia="Arial" w:hAnsi="Arial"/>
                <w:sz w:val="17"/>
                <w:szCs w:val="17"/>
                <w:color w:val="auto"/>
                <w:w w:val="84"/>
              </w:rPr>
              <w:t>2026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80" w:type="dxa"/>
            <w:vAlign w:val="bottom"/>
            <w:gridSpan w:val="2"/>
          </w:tcPr>
          <w:p>
            <w:pPr>
              <w:ind w:left="1700"/>
              <w:spacing w:after="0"/>
              <w:rPr>
                <w:sz w:val="20"/>
                <w:szCs w:val="20"/>
                <w:color w:val="auto"/>
              </w:rPr>
            </w:pPr>
            <w:r>
              <w:rPr>
                <w:rFonts w:ascii="Arial" w:cs="Arial" w:eastAsia="Arial" w:hAnsi="Arial"/>
                <w:sz w:val="17"/>
                <w:szCs w:val="17"/>
                <w:color w:val="auto"/>
              </w:rPr>
              <w:t>2027 and thereafter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5180" w:type="dxa"/>
            <w:vAlign w:val="bottom"/>
            <w:vMerge w:val="continue"/>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2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“Term Loans”). Net proceeds from the Term Loan Credit Agreement were $215 million ($225 million aggregate principal less $10 million in debt transaction costs). The Term Loans have a five-year maturity and are non-amortizing.</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Term Loans bear interest at a rate of 8.5% per annum payable quarterly in cash and 4.0% per annum Paid-In-Kind interest (“PIK”) or in cash, at the Company’s option, for an aggregate interest rate of 12.5% per annum. The Company elected the 4.0% per annum in PIK which is added to the carrying value of the debt through the term. Interest expense is recorded using the effective interest method.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5" w:name="page76"/>
    <w:bookmarkEnd w:id="75"/>
    <w:p>
      <w:pPr>
        <w:ind w:right="80"/>
        <w:spacing w:after="0" w:line="268" w:lineRule="auto"/>
        <w:rPr>
          <w:sz w:val="20"/>
          <w:szCs w:val="20"/>
          <w:color w:val="auto"/>
        </w:rPr>
      </w:pPr>
      <w:r>
        <w:rPr>
          <w:rFonts w:ascii="Arial" w:cs="Arial" w:eastAsia="Arial" w:hAnsi="Arial"/>
          <w:sz w:val="17"/>
          <w:szCs w:val="17"/>
          <w:color w:val="auto"/>
        </w:rPr>
        <w:t>The Term Loans are guaranteed by the Company and certain of its domestic subsidiaries (the “Subsidiary Guarantors”), and are secured by (i) a first priority lien on substantially all assets of the Company and the Subsidiary Guarantors (subject to certain exceptions) not constituting ABL Priority Collateral or L/C Cash Collateral (see below for definitions of ABL Priority Collateral and L/C Cash Collateral), including 100% of the stock of material U.S. subsidiaries and 65% of the stock of material foreign subsidiaries (the “Term Loan Priority Collateral”) and (ii) a third priority lien on the ABL Priority Collateral and L/C Cash Collateral. The aggregate carrying value of the Term Loan Priority Collateral, ABL Priority Collateral and L/C Cash Collateral as of December 31, 2021 was $2,328 million.</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Term Loan Credit Agreement limits, among other things, the ability of the Company and its Restricted Subsidiaries (as defined in the Term Loan Credit Agreement) to (i) incur indebtedness, (ii) incur or create liens, (iii) dispose of assets, (iv) make restricted payments (including dividend payments, et al.) and (v) make investments. The Term Loan Credit Agreement does not include a financial maintenance covenant or any subjective acceleration clauses. The Term Loan Credit Agreement does contain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Material Indebtedness includes obligations having a principal amount of at least $25 million and obligations under the ABL Facility or Letter of Credit Facility.</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an annual basis, the Company will prepay, within 10 business days following the filing of annual Form 10-K, outstanding Loans in an amount equal to Excess Cash Flow (“ECF”) as defined in the Term Loan Credit Agreement provided no such prepayment is required if such prepayment would cause U.S. liquidity to be less than $85 million. For the year ended December 31, 2021 ECF was a negative amount, therefore no prepayment is required in 2022.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Rights Agreement</w:t>
      </w:r>
    </w:p>
    <w:p>
      <w:pPr>
        <w:spacing w:after="0" w:line="25" w:lineRule="exact"/>
        <w:rPr>
          <w:sz w:val="20"/>
          <w:szCs w:val="20"/>
          <w:color w:val="auto"/>
        </w:rPr>
      </w:pPr>
    </w:p>
    <w:p>
      <w:pPr>
        <w:jc w:val="both"/>
        <w:ind w:right="480"/>
        <w:spacing w:after="0" w:line="289" w:lineRule="auto"/>
        <w:rPr>
          <w:sz w:val="20"/>
          <w:szCs w:val="20"/>
          <w:color w:val="auto"/>
        </w:rPr>
      </w:pPr>
      <w:r>
        <w:rPr>
          <w:rFonts w:ascii="Arial" w:cs="Arial" w:eastAsia="Arial" w:hAnsi="Arial"/>
          <w:sz w:val="15"/>
          <w:szCs w:val="15"/>
          <w:color w:val="auto"/>
        </w:rPr>
        <w:t>On February 26, 2021, in connection with the execution of the Term Loan Credit Agreement, the Company entered into a letter agreement with KLIM (the “Board Rights Agreement”). Pursuant to the Board Rights Agreement, the Company’s Board of Directors (“Board”) appointed an individual designated by KLIM as a member of the Board effective April 1, 2021. The individual appointed was elected to serve a one-year term at the annual meeting on May 19,</w:t>
      </w:r>
    </w:p>
    <w:p>
      <w:pPr>
        <w:spacing w:after="0" w:line="2"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color w:val="auto"/>
        </w:rPr>
        <w:t>2021. KLIM has the right to nominate one director at each annual or special meeting of the Company’s shareholders until the third anniversary of the execution of the Board Rights Agreement or until KLIM ceases to hold at least 50% of the original principal amount of the Term Loans and commitments under the Term Loan Credit Agreement, whichever is earlier.</w:t>
      </w:r>
    </w:p>
    <w:p>
      <w:pPr>
        <w:spacing w:after="0" w:line="17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 Such observer will have the right to attend meetings of the Board and, under certain circumstances, committees and subcommittees of the Board and to receive information and materials made available to the Board, in each case, subject to certain restrictions and exceptions.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 Agreement</w:t>
      </w:r>
    </w:p>
    <w:p>
      <w:pPr>
        <w:spacing w:after="0" w:line="2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On February 26, 2021, the Company and the Term Loan Lenders (the “Buyers”), entered into a Securities Purchase Agreement (the “Securities Purchase Agreement”) pursuant to which the Company sold to the Buyers (i) an aggregate of 1,000,000 shares (the “Purchased Shares”) of the Company’s common stock (“Common Stock”) for a purchase price of $10.00 in cash per share for an aggregate purchase price of $10 million and (ii) $25 million aggregate principal amount of the Company’s newly issued 5.0% unsecured convertible promissory notes due May 28, 2026 (the “2021 Convertible Notes”) in a private placement transaction. The issuance and sale of the Purchased Shares and 2021 Convertible Notes were consummated on February 26, 2021.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Convertible Notes</w:t>
      </w:r>
    </w:p>
    <w:p>
      <w:pPr>
        <w:spacing w:after="0" w:line="2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2021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2021 Convertible Notes and therefore is considered PIK. Therefore, PIK will be added to the carrying value of the debt through the term and interest expense will be recorded using the effective interest method. The maturity date of the 2021 Convertible Notes is May 28, 2026.</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Conversion Features</w:t>
      </w:r>
    </w:p>
    <w:p>
      <w:pPr>
        <w:spacing w:after="0" w:line="2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Buyers will have the right to elect at any time to convert the 2021 Convertible Notes into shares of Common Stock at an initial conversion rate equal to 100 shares of Common Stock per each $1,000 principal amount of the 2021 Convertible Notes (based on an initial conversion price equal to $10.00 per share of Common Stock). The conversion rate and conversion price will be subject to certain customary anti-dilution adjustments. If the closing price of the Common Stock equals or exceeds $14.50 (subject to adjustment in the same manner as the conversion price) for 45 trading days within any period of 60 consecutive trading days, the Company will have the right to cause the mandatory conversion of the 2021 Convertible Notes into shares of Common Stock.</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of certain fundamental transactions, the Buyers will have the right, within a period of 30 days following the occurrence of such transaction (“Holder Fundamental Transaction Election Period”), to elect to either require prepayment of the 2021 Convertible Notes at par plus accrued and unpaid interest or convert all or a portion of the 2021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Derivatives</w:t>
      </w:r>
    </w:p>
    <w:p>
      <w:pPr>
        <w:spacing w:after="0" w:line="25"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2021 Convertible Notes were considered more akin to a debt-type instrument and the economic characteristics and risks of the embedded conversion features are not considered clearly and closely related to the 2021 Convertible Notes. Accordingly, these embedded features were bifurcated from the 2021 Convertible Notes and separately accounted for on a combined basis at fair value as a single derivative liability. Kodak allocated $12 million of the net proceeds received to a derivative liability based on the aggregate fair value of the embedded features on the date of issuance which reduced the net carrying value of the 2021 Convertible Notes. The derivative is being accounted for at fair value with subsequent changes in the fair value being reported as part of Other (income) charges, net in the Consolidated Statement of Operations. The fair value of the Convertible Notes embedded derivative as of December 31, 2021 was a liability of $4 million and is included in Other long-term liabilities in the accompanying Consolidated Statement of Financial Position. Refer to Note 13, “Financial Instruments” for information on the valuation of the derivative.</w:t>
      </w:r>
    </w:p>
    <w:p>
      <w:pPr>
        <w:spacing w:after="0" w:line="17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carrying value of the 2021 Convertible Notes at December 31, 2021 and the time of issuance was $15 million and $13 million ($25 million aggregate gross proceeds less $12 million allocated to the derivative liability), respectively. The estimated fair value of the 2021 Convertible Notes as of December 31, 2021 was $18 million (Level 3). The carrying value is being accreted to the aggregate principal amount using the effective interest method from the date of issuance through the maturity date.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Registration Rights Agreement</w:t>
      </w:r>
    </w:p>
    <w:p>
      <w:pPr>
        <w:spacing w:after="0" w:line="25"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2021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ABL Credit Agreement</w:t>
      </w:r>
    </w:p>
    <w:p>
      <w:pPr>
        <w:spacing w:after="0" w:line="22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On September 3, 2013, the Company entered into an Asset Based Revolving Credit Agreement (the “Original ABL Credit Agreement”). On May 26, 2016, the Company and the subsidiaries of the Company that are guarantors (the “Subsidiary Guarantors”) entered into an Amended and Restated Credit Agreement (the “ABL Credit Agreement”) with the lenders party thereto, Bank of America, N.A., as administrative and collateral agent, and Bank of America, N.A. and JPMorgan Chase Bank, N.A., as joint lead arrangers and joint bookrunners, which amended and restated the Original ABL Credit Agreement.</w:t>
      </w:r>
    </w:p>
    <w:p>
      <w:pPr>
        <w:spacing w:after="0" w:line="18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ABL Credit Agreement provided that the Lenders make available asset-based revolving loans (the “ABL Loans”) and letters of credit in an aggregate amount of up to $150 million, subject to the Borrowing Base.</w:t>
      </w:r>
    </w:p>
    <w:p>
      <w:pPr>
        <w:spacing w:after="0" w:line="185"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On January 27, 2020 Kodak exercised its right under the ABL Credit Agreement to permanently reduce lender commitments from $150 million to $120 million. As a result, the minimum Excess Availability decreased to $15 million from the previous minimum of $18.75 million.</w:t>
      </w:r>
    </w:p>
    <w:p>
      <w:pPr>
        <w:spacing w:after="0" w:line="18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On March 27, 2020, the Company and the Subsidiary Guarantors entered into Amendment No. 3 to the ABL Credit Agreement (the “Amendment”) with the lenders party thereto (the “Lenders”), Bank of America, N.A., as administrative and collateral agent, and Bank of America, N.A. and each of the parties to the ABL Credit Agreement as lenders.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7" w:name="page78"/>
    <w:bookmarkEnd w:id="77"/>
    <w:p>
      <w:pPr>
        <w:ind w:right="160"/>
        <w:spacing w:after="0" w:line="286" w:lineRule="auto"/>
        <w:rPr>
          <w:sz w:val="20"/>
          <w:szCs w:val="20"/>
          <w:color w:val="auto"/>
        </w:rPr>
      </w:pPr>
      <w:r>
        <w:rPr>
          <w:rFonts w:ascii="Arial" w:cs="Arial" w:eastAsia="Arial" w:hAnsi="Arial"/>
          <w:sz w:val="17"/>
          <w:szCs w:val="17"/>
          <w:color w:val="auto"/>
        </w:rPr>
        <w:t>Each of the capitalized but undefined terms used in the context of describing the ABL Credit Agreement and the Amendment has the meaning ascribed to such term in the ABL Credit Agreement and the Amendment.</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Amendment decreased the available ABL Loans and letters of credit from an aggregate amount of up to $120 million to $110 million, subject to the Borrowing Base. As a result of the additional reduction in lender commitments, the minimum Excess Availability decreased to $13.75 million from the previous amount of $15 million.</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Amendment also changed Equipment Availability from (i) the lesser of 75% of Net Orderly Liquidation Value of Eligible Equipment or $6 million to (ii) the lesser of 70% of Net Orderly Liquidation Value of Eligible Equipment or $14.75 million as of March 31, 2020. The $14.75 million amount decreases by $1 million per quarter starting on July 1, 2020 until maturity or the amount is decreased to $0, whichever comes first.</w:t>
      </w:r>
    </w:p>
    <w:p>
      <w:pPr>
        <w:spacing w:after="0" w:line="19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February 26, 2021, the Company and the Subsidiary Guarantors entered into a fourth amendment to the ABL Credit Agreement (as amended in 2021, the “Amended ABL Credit Agreement”), among the Company, the Subsidiary Guarantors, the lenders party thereto, Bank of America, N.A., as agent (the “Agent”), and Bank of America, N.A. and JPMorgan Chase Bank, N.A., as arrangers, with the Agent and the Required Lenders. Each of the capitalized and undefined terms has the meaning ascribed to such term in the ABL Credit Agreement.</w:t>
      </w:r>
    </w:p>
    <w:p>
      <w:pPr>
        <w:spacing w:after="0" w:line="17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Amended ABL Credit Agreement amends the ABL Credit Agreement to, among other things, (i) extend the maturity date to February 26, 2024 or the date that is 90 days prior to the earliest scheduled maturity date or mandatory redemption date of any of the Company’s Term Loans, 2021 Convertible Notes, Series B Preferred Stock, Series C Preferred Stock or any refinancings of any of the foregoing and (ii) decrease the aggregate amount of commitments from $110 million to $90 million. Commitments under the Amended ABL Credit Agreement continue to be able to be used in the form of revolving loans or letters of credit. The Company issued approximately $46 million letters of credit under the Amended ABL Credit Agreement as of December 31, 2021 and $90 million letters of credit under the ABL Credit Agreement as of December 31, 2020.</w:t>
      </w:r>
    </w:p>
    <w:p>
      <w:pPr>
        <w:spacing w:after="0" w:line="17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revolving loans bear interest at the rate of LIBOR plus 3.50%-4.00% per annum (subject to provisions providing for a replacement benchmark rate upon the discontinuation of LIBOR) or a floating Base Rate (as defined in the Amended ABL Credit Agreement) plus 2.50%-3.00% per annum, based on Excess Availability (as defined in the Amended ABL Credit Agreement). The Company will pay an unused line fee of 37.5-50 basis points per annum, depending on whether the unused portion of the maximum amount available is less than or equal to 50% or greater than 50%, respectively. The Company will pay a letter of credit fee of 3.50%-4.00% per annum, based on Excess Availability, on issued and outstanding letters of credit, in addition to a fronting fee of 25 basis points on such letters of credit.</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Obligations under the Amended ABL Credit Agreement continue to be secured by: (i) a first priority lien on assets of the Company and the Subsidiary Guarantors constituting cash (other than L/C Cash Collateral, as defined below), accounts receivable, inventory, machinery and equipment and certain other assets (the “ABL Priority Collateral”) and (ii) a second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w:t>
      </w:r>
    </w:p>
    <w:p>
      <w:pPr>
        <w:spacing w:after="0" w:line="17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Amended ABL Credit Agreement continues to limit, among other things, the ability of the Company and its Restricted Subsidiaries (as defined in the Amended ABL Credit Agreement) to (i) incur indebtedness, (ii) incur or create liens, (iii) dispose of assets, (iv) make restricted payments and (v) make investments. The Amended ABL Credit Agreement leaves in place customary affirmative covenants, including delivery of certain of the Company’s financial statements set forth therein.</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Under the Amended ABL Credit Agreement the Company is required to maintain Minimum Liquidity of at least $80 million, which is tested at the end of each quarter. Minimum Liquidity was $250 million at December 31, 2021. If Minimum Liquidity falls below $80 million an Event of Default would occur. The Agent would have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179" w:lineRule="exact"/>
        <w:rPr>
          <w:sz w:val="20"/>
          <w:szCs w:val="20"/>
          <w:color w:val="auto"/>
        </w:rPr>
      </w:pPr>
    </w:p>
    <w:p>
      <w:pPr>
        <w:jc w:val="both"/>
        <w:ind w:right="360"/>
        <w:spacing w:after="0" w:line="271" w:lineRule="auto"/>
        <w:rPr>
          <w:sz w:val="20"/>
          <w:szCs w:val="20"/>
          <w:color w:val="auto"/>
        </w:rPr>
      </w:pPr>
      <w:r>
        <w:rPr>
          <w:rFonts w:ascii="Arial" w:cs="Arial" w:eastAsia="Arial" w:hAnsi="Arial"/>
          <w:sz w:val="17"/>
          <w:szCs w:val="17"/>
          <w:color w:val="auto"/>
        </w:rPr>
        <w:t>Under both the Amended ABL Credit Agreement and the ABL Credit Agreement the Company is required to maintain Excess Availability above 12.5% of lender commitments ($11.25 million and $13.75 million as of December 31, 2021 and 2020, respectively), which is tested at the end of each month. Excess Availability was $27 million and $20 million as of December 31, 2021 and 2020,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78" w:name="page79"/>
    <w:bookmarkEnd w:id="78"/>
    <w:p>
      <w:pPr>
        <w:spacing w:after="0" w:line="263" w:lineRule="auto"/>
        <w:rPr>
          <w:sz w:val="20"/>
          <w:szCs w:val="20"/>
          <w:color w:val="auto"/>
        </w:rPr>
      </w:pPr>
      <w:r>
        <w:rPr>
          <w:rFonts w:ascii="Arial" w:cs="Arial" w:eastAsia="Arial" w:hAnsi="Arial"/>
          <w:sz w:val="17"/>
          <w:szCs w:val="17"/>
          <w:color w:val="auto"/>
        </w:rPr>
        <w:t>If Excess Availability falls below 12.5% of lender commitments a Fixed Charge Coverage Ratio Trigger Event would occur. During any Fixed Charge Coverage Ratio Trigger Event, the Company would be required to maintain a Fixed Charge Coverage Ratio of greater than or equal to 1.0 to 1.0. 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2021 and 2020, Kodak was not required to have a minimum Fixed Charge Coverage Ratio of 1.0 to 1.0.</w:t>
      </w:r>
    </w:p>
    <w:p>
      <w:pPr>
        <w:spacing w:after="0" w:line="17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Amended ABL Credit Agreement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175"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Credit Agreements. Obligations under the Amended ABL Credit Agreement are secured by: i) a first priority lien on assets of the Company and the Subsidiary Guarantors constituting cash (other than L/C Cash Collateral, as defined below), accounts receivable, inventory, machinery and equipment and certain other assets (the “ABL Priority Collateral”) and (ii) a second priority lien on substantially all assets of the Company and the Subsidiary Guarantors (subject to certain exceptions) other than the ABL Priority Collateral, including 100% of the stock of material U.S. subsidiaries and 65% of the stock of material foreign subsidiaries. Obligations under the ABL Credit Agreement were secured by: i) a first priority lien on assets of the Company and the Subsidiary Guarantors constituting cash, accounts receivable, inventory, machinery and equipment, 100% of the stock of material U.S. subsidiaries and 65% of the stock of material foreign subsidiaries and certain other assets (the “ABL Collateral”). The aggregate carrying value of the ABL Collateral as of December 31, 2020 was $1,412 million</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Under the terms of the ABL Credit Agreement,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consolidated financial statements.</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In 2020 Kodak discontinued the operation of Kodakit Singapore Pte. Limited and sold Kodak LB Tech, LLC in an intercompany transaction.</w:t>
      </w:r>
    </w:p>
    <w:p>
      <w:pPr>
        <w:spacing w:after="0" w:line="175"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Under the Amended ABL Credit Agreement the Company designated three subsidiaries as Unrestricted Subsidiaries: Kodak PE Tech, LLC, Kodak Realty, Inc, and KP Services (Jersey) Ltd. Collectively, the Unrestricted Subsidiaries had sales of approximately $7 million, and $6 million for the years ended December 31, 2021 and 2020, respectively, which represented 1% of Kodak’s consolidated sales for both periods. These subsidiaries had assets of $13 million and $15 million as of December 31, 2021 and 2020, respectively, which represented 1% of Kodak’s consolidated assets as of such dates. For the year-ended December 31, 2019 the five original Unrestricted Subsidiaries had sales of approximately $12 million, which represented 1% of Kodak’s consolidated sales.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9" w:name="page80"/>
    <w:bookmarkEnd w:id="79"/>
    <w:p>
      <w:pPr>
        <w:ind w:right="80"/>
        <w:spacing w:after="0" w:line="259" w:lineRule="auto"/>
        <w:rPr>
          <w:sz w:val="20"/>
          <w:szCs w:val="20"/>
          <w:color w:val="auto"/>
        </w:rPr>
      </w:pPr>
      <w:r>
        <w:rPr>
          <w:rFonts w:ascii="Arial" w:cs="Arial" w:eastAsia="Arial" w:hAnsi="Arial"/>
          <w:sz w:val="17"/>
          <w:szCs w:val="17"/>
          <w:color w:val="auto"/>
        </w:rPr>
        <w:t>The Amended ABL Credit Agreement limits, among other things, the Company’s and the Subsidiary Guarantors’ ability to (i) incur indebtedness, (ii) incur or create liens, (iii) dispose of assets, (iv) make restricted payments (including dividend payments, et al.) and (v) make investments. In addition to other customary affirmative covenants, the Amended ABL Credit Agreement provides for a periodic delivery by the Company of its various financial statements as set forth in the Amended ABL Credit Agreement.</w:t>
      </w:r>
    </w:p>
    <w:p>
      <w:pPr>
        <w:spacing w:after="0" w:line="2"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Events of default under the ABL Credit Agreement include, among others, failure to pay any principal, interest or other amount due under the applicable agreement, breach of specific covenants and a change of control of the Company. Upon an event of default, the lenders may declare the outstanding obligations under the Amended ABL Credit Agreement to be immediately due and payable and exercise other rights and remedies provided for in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of Credit Facility Agreement</w:t>
      </w:r>
    </w:p>
    <w:p>
      <w:pPr>
        <w:spacing w:after="0" w:line="22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On February 26, 2021, the Company and the Subsidiary Guarantors entered into a Letter of Credit Facility Agreement (the “L/C Facility Agreement”, and together with the Term Loan Credit Agreement and the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17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term of the L/C Facility Agreement is three years, subject to the same automatic springing maturity as the Amended ABL Credit Agreement. The Company issued approximately $44 million letters of credit under the L/C Facility Agreement as of December 31, 2021. The balance on deposit in the L/C Cash Collateral account as of December 31, 2021 is approximately $45 million, of which $14 million was deposited into the L/C Cash Collateral account from proceeds of the financing transactions described herein and the remainder of which was cash collateral previously used to secure letters of credit under the ABL Credit Agreement. The L/C Facility Agreement has the same requirement to maintain Minimum Liquidity of $80 million as is contained in the Amended ABL Credit Agreement.</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will pay an unused line fee of 37.5-50 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not so reimbursed, and not otherwise repaid by the Company to the applicable L/C Lenders, such amounts will accrue interest, to be paid monthly, at a floating Base Rate (as defined in the L/C Facility Agreement) plus 2.75% per annum until repaid.</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with the Amended ABL Credit Agreement and the ABL Credit Agreement, the L/C Facility Agreement also requires the Company to maintain Excess Availability above 12.5% of lender commitments. If Excess Availability falls below 12.5% of lender commitments a Fixed Charge Coverage Ratio Trigger Event would occur under the L/C Facility Agreement as well as the Amended ABL Credit Agreement and the ABL Credit Agreement. During any Fixed Charge Coverage Ratio Trigger Event, the Company would be required to maintain a Fixed Charge Coverage Ratio of greater than or equal to 1.0 to 1.0.</w:t>
      </w:r>
    </w:p>
    <w:p>
      <w:pPr>
        <w:spacing w:after="0" w:line="1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Company’s obligations under the L/C Facility Agreement are guaranteed by the Subsidiary Guarantors and are secured by (i) a first priority lien on the L/C Cash Collateral, (ii) a second priority lien on the ABL Priority Collateral and (iii) a third priority lien on the Term Loan Priority Collateral.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RED-Rochester, LLC</w:t>
      </w:r>
    </w:p>
    <w:p>
      <w:pPr>
        <w:spacing w:after="0" w:line="227"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 January 2019 Kodak entered into a series of agreements with RED-Rochester, LLC (“RED”), which provides utilities to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 The debt payments to RED continue until August 2033.</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2019 Convertible Notes</w:t>
      </w: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On May 20, 2019, the Company and Longleaf Partners Small Cap Fund, C2W Partners Master Fund Limited and Deseret Mutual Pension Trust, which are investment funds managed by Southeastern Asset Management, Inc. (the “2019 Notes Purchasers”), entered into a Notes Purchase Agreement pursuant to which the Company agreed to issue and sell to the Notes Purchasers, and the Notes Purchasers agreed to purchase from the Company, $100 million aggregate principal amount of the Company’s 2019 Convertible Notes due 2021.</w:t>
      </w:r>
    </w:p>
    <w:p>
      <w:pPr>
        <w:spacing w:after="0" w:line="2" w:lineRule="exact"/>
        <w:rPr>
          <w:sz w:val="20"/>
          <w:szCs w:val="20"/>
          <w:color w:val="auto"/>
        </w:rPr>
      </w:pPr>
    </w:p>
    <w:p>
      <w:pPr>
        <w:jc w:val="both"/>
        <w:ind w:right="160"/>
        <w:spacing w:after="0" w:line="263" w:lineRule="auto"/>
        <w:rPr>
          <w:sz w:val="20"/>
          <w:szCs w:val="20"/>
          <w:color w:val="auto"/>
        </w:rPr>
      </w:pPr>
      <w:r>
        <w:rPr>
          <w:rFonts w:ascii="Arial" w:cs="Arial" w:eastAsia="Arial" w:hAnsi="Arial"/>
          <w:sz w:val="17"/>
          <w:szCs w:val="17"/>
          <w:color w:val="auto"/>
        </w:rPr>
        <w:t>The transaction closed on May 24, 2019. The proceeds were used to repay the remaining first lien term loans outstanding ($83 million) under the Company’s term credit agreement, which was terminated with the repayment. The remaining proceeds were used for general corporate purposes. The maturity date of the 2019 Convertible Notes was November 1, 2021.</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2019 Convertible Notes interest rate was 5.00% per annum, payable in cash on their maturity date (PIK interest) and, at the option of the Company, in either cash or additional shares of Common Stock on any conversion date. Therefore, PIK was added to the carrying value of the debt through the term and interest expense was recorded using the effective interest method.</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 July 29, 2020, the Company received conversion notices from holders of the 2019 Convertible Notes exercising their rights to convert an aggregate of $95 million of principal amount of the 2019 Convertible Notes (the “Initial Converted Notes”) into shares of the Company’s common stock, par value $.01 per share (“Common Stock”). Under the terms of the 2019 Convertible Notes, the conversion date of the Initial Converted Notes was July 29, 2020 (the “Initial Conversion Date”) and the Company was obligated to deliver an aggregate of 29,922,956 shares of Common Stock (the “Initial Conversion Shares”) to the holders of the Initial Converted Notes within five trading days after the Initial Conversion Date. The Company issued the Initial Conversion Shares on August 3, 2020 and paid the $5.6 million of accumulated interest on the Initial Converted Notes in cash. As a result, the Company’s obligations under the Initial Converted Notes were fully discharged and the remaining outstanding principal amount of the 2019 Convertible Notes was $5 million.</w:t>
      </w:r>
    </w:p>
    <w:p>
      <w:pPr>
        <w:spacing w:after="0" w:line="19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On September 30, 2020, the Company announced its election to mandatorily convert the remaining $5 million outstanding principal amount of the 2019 Convertible Notes (the “Mandatory Converted Notes”) into shares of Common Stock. The conversion of the Mandatory Converted Notes was effective on September 30, 2020 (the “Mandatory Conversion Date”). The Company issued 1,574,892 shares of Common Stock to the holder of the Mandatory Converted Notes on September 30, 2020 (the “Mandatory Conversion Shares”). The Company paid the accrued interest on the Mandatory Converted Notes in the form of cash and interest ceased to accrue on the Mandatory Converted Notes on the Mandatory Conversion Date. As a result of the conversion of all the 2019 Convertible Notes, the lien granted by the Company on certain of its assets to secure the 2019 Convertible Notes was released.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Derivatives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2019 Convertible Notes were considered more akin to a debt-type instrument and the economic characteristics and risks of the embedded conversion features and term extension at the Company’s option were not considered clearly and closely related to the 2019 Convertible Notes. Accordingly, these embedded features were bifurcated from the 2019 Convertible Notes and separately accounted for on a combined basis at fair value as a single derivative liability. Kodak allocated $14 million of the net proceeds received to a derivative liability based on the aggregate fair value of the embedded features and term extension on the date of issuance which reduced the net carrying value of the 2019 Convertible Notes. The derivative was being accounted for at fair value with subsequent changes in the fair value being reported as part of Other (income) charges, net in the Consolidated Statement of Operations (refer to Note 13, “Financial Instruments”).</w:t>
      </w:r>
    </w:p>
    <w:p>
      <w:pPr>
        <w:spacing w:after="0" w:line="18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carrying value of the 2019 Convertible Notes at the time of issuance, $84 million ($100 million aggregate gross proceeds less $14 million allocated to the derivative liability and $2 million in transaction costs), was being accreted to the face amount using the effective interest method from the date of issuance through the maturity date.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4"/>
        </w:trPr>
        <w:tc>
          <w:tcPr>
            <w:tcW w:w="8900" w:type="dxa"/>
            <w:vAlign w:val="bottom"/>
            <w:gridSpan w:val="2"/>
          </w:tcPr>
          <w:p>
            <w:pPr>
              <w:spacing w:after="0"/>
              <w:rPr>
                <w:sz w:val="20"/>
                <w:szCs w:val="20"/>
                <w:color w:val="auto"/>
              </w:rPr>
            </w:pPr>
            <w:r>
              <w:rPr>
                <w:rFonts w:ascii="Arial" w:cs="Arial" w:eastAsia="Arial" w:hAnsi="Arial"/>
                <w:sz w:val="17"/>
                <w:szCs w:val="17"/>
                <w:b w:val="1"/>
                <w:bCs w:val="1"/>
                <w:color w:val="auto"/>
              </w:rPr>
              <w:t>Loss on Early Extinguishment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900" w:type="dxa"/>
            <w:vAlign w:val="bottom"/>
            <w:gridSpan w:val="2"/>
          </w:tcPr>
          <w:p>
            <w:pPr>
              <w:spacing w:after="0"/>
              <w:rPr>
                <w:sz w:val="20"/>
                <w:szCs w:val="20"/>
                <w:color w:val="auto"/>
              </w:rPr>
            </w:pPr>
            <w:r>
              <w:rPr>
                <w:rFonts w:ascii="Arial" w:cs="Arial" w:eastAsia="Arial" w:hAnsi="Arial"/>
                <w:sz w:val="17"/>
                <w:szCs w:val="17"/>
                <w:color w:val="auto"/>
              </w:rPr>
              <w:t>The calculation of the loss on early extinguishment of debt is shown below:</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8900" w:type="dxa"/>
            <w:vAlign w:val="bottom"/>
            <w:gridSpan w:val="2"/>
          </w:tcPr>
          <w:p>
            <w:pPr>
              <w:ind w:left="580"/>
              <w:spacing w:after="0"/>
              <w:rPr>
                <w:sz w:val="20"/>
                <w:szCs w:val="20"/>
                <w:color w:val="auto"/>
              </w:rPr>
            </w:pPr>
            <w:r>
              <w:rPr>
                <w:rFonts w:ascii="Arial" w:cs="Arial" w:eastAsia="Arial" w:hAnsi="Arial"/>
                <w:sz w:val="17"/>
                <w:szCs w:val="17"/>
                <w:color w:val="auto"/>
              </w:rPr>
              <w:t>(in millions)</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8320" w:type="dxa"/>
            <w:vAlign w:val="bottom"/>
            <w:shd w:val="clear" w:color="auto" w:fill="CFF0FC"/>
          </w:tcPr>
          <w:p>
            <w:pPr>
              <w:spacing w:after="0"/>
              <w:rPr>
                <w:sz w:val="20"/>
                <w:szCs w:val="20"/>
                <w:color w:val="auto"/>
              </w:rPr>
            </w:pPr>
            <w:r>
              <w:rPr>
                <w:rFonts w:ascii="Arial" w:cs="Arial" w:eastAsia="Arial" w:hAnsi="Arial"/>
                <w:sz w:val="17"/>
                <w:szCs w:val="17"/>
                <w:color w:val="auto"/>
              </w:rPr>
              <w:t>Fair value of Initial Conversion Shares</w:t>
            </w:r>
          </w:p>
        </w:tc>
        <w:tc>
          <w:tcPr>
            <w:tcW w:w="720" w:type="dxa"/>
            <w:vAlign w:val="bottom"/>
            <w:shd w:val="clear" w:color="auto" w:fill="CFF0FC"/>
          </w:tcPr>
          <w:p>
            <w:pPr>
              <w:jc w:val="right"/>
              <w:ind w:right="5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w:t>
            </w:r>
          </w:p>
        </w:tc>
        <w:tc>
          <w:tcPr>
            <w:tcW w:w="80" w:type="dxa"/>
            <w:vAlign w:val="bottom"/>
            <w:shd w:val="clear" w:color="auto" w:fill="CFF0FC"/>
          </w:tcPr>
          <w:p>
            <w:pPr>
              <w:spacing w:after="0"/>
              <w:rPr>
                <w:sz w:val="19"/>
                <w:szCs w:val="19"/>
                <w:color w:val="auto"/>
              </w:rPr>
            </w:pPr>
          </w:p>
        </w:tc>
      </w:tr>
      <w:tr>
        <w:trPr>
          <w:trHeight w:val="221"/>
        </w:trPr>
        <w:tc>
          <w:tcPr>
            <w:tcW w:w="8900" w:type="dxa"/>
            <w:vAlign w:val="bottom"/>
            <w:gridSpan w:val="2"/>
          </w:tcPr>
          <w:p>
            <w:pPr>
              <w:ind w:left="580"/>
              <w:spacing w:after="0"/>
              <w:rPr>
                <w:sz w:val="20"/>
                <w:szCs w:val="20"/>
                <w:color w:val="auto"/>
              </w:rPr>
            </w:pPr>
            <w:r>
              <w:rPr>
                <w:rFonts w:ascii="Arial" w:cs="Arial" w:eastAsia="Arial" w:hAnsi="Arial"/>
                <w:sz w:val="17"/>
                <w:szCs w:val="17"/>
                <w:color w:val="auto"/>
              </w:rPr>
              <w:t>Fair value of Mandatory Conversion Shares</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832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2019 Convertible Notes</w:t>
            </w:r>
          </w:p>
        </w:tc>
        <w:tc>
          <w:tcPr>
            <w:tcW w:w="7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(92)</w:t>
            </w:r>
          </w:p>
        </w:tc>
      </w:tr>
      <w:tr>
        <w:trPr>
          <w:trHeight w:val="221"/>
        </w:trPr>
        <w:tc>
          <w:tcPr>
            <w:tcW w:w="8900" w:type="dxa"/>
            <w:vAlign w:val="bottom"/>
            <w:gridSpan w:val="2"/>
          </w:tcPr>
          <w:p>
            <w:pPr>
              <w:ind w:left="580"/>
              <w:spacing w:after="0"/>
              <w:rPr>
                <w:sz w:val="20"/>
                <w:szCs w:val="20"/>
                <w:color w:val="auto"/>
              </w:rPr>
            </w:pPr>
            <w:r>
              <w:rPr>
                <w:rFonts w:ascii="Arial" w:cs="Arial" w:eastAsia="Arial" w:hAnsi="Arial"/>
                <w:sz w:val="17"/>
                <w:szCs w:val="17"/>
                <w:color w:val="auto"/>
              </w:rPr>
              <w:t>Fair value of pro-rata share of embedded derivatives at Initial Conversion Date</w:t>
            </w:r>
          </w:p>
        </w:tc>
        <w:tc>
          <w:tcPr>
            <w:tcW w:w="7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(416)</w:t>
            </w:r>
          </w:p>
        </w:tc>
      </w:tr>
      <w:tr>
        <w:trPr>
          <w:trHeight w:val="221"/>
        </w:trPr>
        <w:tc>
          <w:tcPr>
            <w:tcW w:w="580" w:type="dxa"/>
            <w:vAlign w:val="bottom"/>
          </w:tcPr>
          <w:p>
            <w:pPr>
              <w:spacing w:after="0"/>
              <w:rPr>
                <w:sz w:val="19"/>
                <w:szCs w:val="19"/>
                <w:color w:val="auto"/>
              </w:rPr>
            </w:pPr>
          </w:p>
        </w:tc>
        <w:tc>
          <w:tcPr>
            <w:tcW w:w="8320" w:type="dxa"/>
            <w:vAlign w:val="bottom"/>
            <w:shd w:val="clear" w:color="auto" w:fill="CFF0FC"/>
          </w:tcPr>
          <w:p>
            <w:pPr>
              <w:spacing w:after="0"/>
              <w:rPr>
                <w:sz w:val="20"/>
                <w:szCs w:val="20"/>
                <w:color w:val="auto"/>
              </w:rPr>
            </w:pPr>
            <w:r>
              <w:rPr>
                <w:rFonts w:ascii="Arial" w:cs="Arial" w:eastAsia="Arial" w:hAnsi="Arial"/>
                <w:sz w:val="17"/>
                <w:szCs w:val="17"/>
                <w:color w:val="auto"/>
              </w:rPr>
              <w:t>Fair value of pro-rata share of embedded derivatives at Mandatory Conversion Date</w:t>
            </w:r>
          </w:p>
        </w:tc>
        <w:tc>
          <w:tcPr>
            <w:tcW w:w="7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r>
      <w:tr>
        <w:trPr>
          <w:trHeight w:val="214"/>
        </w:trPr>
        <w:tc>
          <w:tcPr>
            <w:tcW w:w="8900" w:type="dxa"/>
            <w:vAlign w:val="bottom"/>
            <w:gridSpan w:val="2"/>
          </w:tcPr>
          <w:p>
            <w:pPr>
              <w:ind w:left="580"/>
              <w:spacing w:after="0"/>
              <w:rPr>
                <w:sz w:val="20"/>
                <w:szCs w:val="20"/>
                <w:color w:val="auto"/>
              </w:rPr>
            </w:pPr>
            <w:r>
              <w:rPr>
                <w:rFonts w:ascii="Arial" w:cs="Arial" w:eastAsia="Arial" w:hAnsi="Arial"/>
                <w:sz w:val="17"/>
                <w:szCs w:val="17"/>
                <w:color w:val="auto"/>
              </w:rPr>
              <w:t>Total</w:t>
            </w:r>
          </w:p>
        </w:tc>
        <w:tc>
          <w:tcPr>
            <w:tcW w:w="7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REDEEMABLE, CONVERTIBLE PREFERRED STOCK</w:t>
      </w:r>
    </w:p>
    <w:p>
      <w:pPr>
        <w:spacing w:after="0" w:line="25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November 15, 2016, the Company issued 2,000,000 shares of 5.50% Series A Preferred Stock, no par value per share, for an aggregate purchase price of $200 million, or $100 per share pursuant to a Series A Preferred Stock Purchase Agreement (the “Series A Purchase Agreement”) with Southeastern Asset Management, Inc. (“Southeastern”) and Longleaf Partners Small-Cap Fund, C2W Partners Master Fund Limited and Deseret Mutual Pension Trust, which are investment funds managed by Southeastern (such investment funds, collectively, the “Series A Purchasers”), dated November 7, 2016. The Company received net proceeds of $198 million after issuance costs.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classified the Series A Preferred Stock as temporary equity in the Consolidated Statement of Financial Position.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Features</w:t>
      </w:r>
    </w:p>
    <w:p>
      <w:pPr>
        <w:spacing w:after="0" w:line="2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If any shares of Series A Preferred Stock had not been converted prior to the fifth anniversary of the initial issuance of the Series A Preferred Stock, the Company would have been required to redeem such shares at $100 per share plus the amount of accrued and unpaid dividends. As the Company concluded that the Series A Preferred Stock was considered more akin to a debt-type instrument, the redemption feature was considered to be clearly and closely related to the host contract and therefore was not required to be separated from the Series A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and Exchange Agreement</w:t>
      </w:r>
    </w:p>
    <w:p>
      <w:pPr>
        <w:spacing w:after="0" w:line="25"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On February 26, 2021 the Company entered into a Series A Preferred Stock Repurchase and Exchange Agreement (the “Repurchase and Exchange Agreement”) with Southeastern and the Purchasers. The Company repurchased one million shares of the Series A Preferred Stock under the terms of the Repurchase and Exchange Agreement for $100,641,667, representing the liquidation value of the Series A Preferred Stock plus accrued and unpaid dividends. In addition, the Company and the Purchasers agreed to exchange the remaining one million shares of Series A Preferred Stock held by the Purchasers for shares of the Company’s newly created 4.0% Series B Convertible Preferred Stock, no par value (the “Series B Preferred Stock”) on a one-for-one basis plus accrued and unpaid dividends of $641,667. The exchange of shares of Series A Preferred Stock for shares of Series B Preferred Stock is a noncash financing activity.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Conversion Features</w:t>
      </w:r>
    </w:p>
    <w:p>
      <w:pPr>
        <w:spacing w:after="0" w:line="2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Each share of Series A Preferred Stock was convertible, at the option of each holder at any time, into shares of Common Stock at the initial conversion rate of 5.7471 (equivalent to an initial conversion price of $17.40 per share of Common Stock). If a holder elected to convert any shares of Series A Preferred Stock during a specified period in connection with a fundamental change (as defined in the Certificate of Designations), the conversion rate would have been adjusted under certain circumstances and such holder would also have been entitled to a payment in respect of accumulated dividends. If a holder elected to convert any shares of Series A Preferred Stock during a specified period following a reorganization event (as defined in the Certificate of Designations), such holder could have elected to have the conversion rate adjusted. In addition, the Company had the right to require holders to convert any shares of Series A Preferred Stock in connection with certain reorganization events, in which case the conversion rate would have been adjusted under certain circumstances. If shares of Series A Preferred Stock were not converted in connection with a reorganization event, such shares would have become convertible into the exchanged property from the reorganization event.</w:t>
      </w:r>
    </w:p>
    <w:p>
      <w:pPr>
        <w:spacing w:after="0" w:line="2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had the right to convert Series A Preferred Stock into Common Stock at any time after the second anniversary of the initial issuance if the closing price of the Common Stock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330" w:right="419" w:bottom="1440" w:gutter="0" w:footer="0" w:header="0"/>
        </w:sectPr>
      </w:pPr>
    </w:p>
    <w:bookmarkStart w:id="82" w:name="page83"/>
    <w:bookmarkEnd w:id="82"/>
    <w:p>
      <w:pPr>
        <w:ind w:right="80"/>
        <w:spacing w:after="0" w:line="262" w:lineRule="auto"/>
        <w:rPr>
          <w:sz w:val="20"/>
          <w:szCs w:val="20"/>
          <w:color w:val="auto"/>
        </w:rPr>
      </w:pPr>
      <w:r>
        <w:rPr>
          <w:rFonts w:ascii="Arial" w:cs="Arial" w:eastAsia="Arial" w:hAnsi="Arial"/>
          <w:sz w:val="17"/>
          <w:szCs w:val="17"/>
          <w:color w:val="auto"/>
        </w:rPr>
        <w:t>Kodak allocated $43 million of the net proceeds from the issuance of the Series A Stock to a derivative liability based on the aggregate fair value of the embedded conversion features on the date of issuance, which reduced the net carrying value of the Series A Preferred Stock (see Note 13, “Financial Instruments”). The carrying value of the Series A Preferred Stock at the time of issuance, $155 million ($200 million aggregate gross proceeds less $43 million allocated to the derivative liability and $2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Extinguishment of Series A Preferred Stock</w:t>
      </w:r>
    </w:p>
    <w:p>
      <w:pPr>
        <w:spacing w:after="0" w:line="2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carrying value, including the fair value of the embedded derivative liability, of the Series A Preferred Stock prior to extinguishment approximated $203 million. Upon repurchase and exchange of the Series A Preferred Stock, Kodak recorded $8 million as a deemed dividend to Additional paid in capital in the Consolidated Statement of Financial Position, representing the difference between the fair value of consideration transferred and the carrying value of the Series A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and Other Rights</w:t>
      </w:r>
    </w:p>
    <w:p>
      <w:pPr>
        <w:spacing w:after="0" w:line="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holders of Series A Preferred Stock were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After the second quarter of 2019, quarterly cash dividends were declared each quarter and were paid when due. In July 2020, the Company declared and paid the four quarterly dividends that were in arrears. The total amount of dividends in arrears was $11 million.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Preferred Stock</w:t>
      </w:r>
    </w:p>
    <w:p>
      <w:pPr>
        <w:spacing w:after="0" w:line="31"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The fair value of the Series B Preferred Stock at the time of issuance approximated $95 million. The Company has classified the Series B Preferred Stock as temporary equity in the Consolidated Statement of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and Other Rights</w:t>
      </w:r>
    </w:p>
    <w:p>
      <w:pPr>
        <w:spacing w:after="0" w:line="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pari passu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Dividends owed on the Series B Preferred Stock have been declared and paid when due. Holders of Series B Preferred Stock will have certain limited special approval rights, including with respect to the issuance of pari passu or senior equity securities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Features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Each share of Series B Preferred Stock is convertible, at the option of each holder at any time, into shares of Common Stock at the initial conversion rate of</w:t>
      </w:r>
    </w:p>
    <w:p>
      <w:pPr>
        <w:spacing w:after="0" w:line="24"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9.5238 shares of Common Stock for each share of Series B Preferred Stock (equivalent to an initial conversion price of $10.50 per share of Common Stock). The initial conversion rate and the corresponding conversion price will be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570" w:right="37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i w:val="1"/>
          <w:iCs w:val="1"/>
          <w:color w:val="auto"/>
        </w:rPr>
        <w:t>Embedded Conversion Features</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Company concluded that the Series B Preferred Stock was more akin to a debt-type instrument and that the economic characteristics and risks of the conversion option upon a fundamental change by the holder was not considered clearly and closely related to the Series B Preferred Stock. Accordingly, this embedded conversion feature was bifurcated from the Series B Preferred Stock and is being separately accounted for as a derivative. The Company allocated $1 million to the derivative liability based on the aggregate fair value of the embedded conversion feature on the date of issuance which reduced the original carrying value of the Series B Preferred Stock.</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derivative is being accounted for at fair value with subsequent changes in the fair value being reported as part of Other (income) charges, net in the Consolidated Statement of Operations. The fair value of the Series B Preferred Stock embedded derivative as of December 31, 2021 was a liability of $1 million and is included in Other long-term liabilities in the accompanying Consolidated Statement of Financial Position. Refer to Note 13, “Financial Instruments” for information on the valuation of the derivative.</w:t>
      </w:r>
    </w:p>
    <w:p>
      <w:pPr>
        <w:spacing w:after="0" w:line="20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carrying value of the Series B Preferred Stock at the time of issuance, $93 million ($95 million fair value of Series B Preferred Stock on February 26, 2021 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Features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any shares of Series B Preferred Stock have not been converted prior to May 28, 2026 (the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Preferred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Agreement</w:t>
      </w:r>
    </w:p>
    <w:p>
      <w:pPr>
        <w:spacing w:after="0" w:line="25"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initial issuance and sale of 750,000 shares ($75 million gross proceeds) closed on February 26, 2021. The final issuance and sale of the remaining 250,000 shares ($25 million gross proceeds) closed on March 30, 2021 after expiration of the waiting period under the Hart-Scott-Rodino Antitrust Improvements Act. The Investor is a fund managed by Grand Oaks Capital. The Company intends to use the proceeds from the sale of the Series C Preferred Stock for general corporate purposes including the funding of growth initiatives. The Company has classified the Series C Preferred Stock as temporary equity in the Consolidated Statement of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and Other Rights</w:t>
      </w:r>
    </w:p>
    <w:p>
      <w:pPr>
        <w:spacing w:after="0" w:line="2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ranks senior to the Common Stock and pari passu with the Series B Preferred Stock with respect to dividend rights and rights on liquidation, winding-up and dissolution. The Series C Preferred Stock has an initial liquidation preference of $100 per share, and holders of Series C Preferred Stock are entitled to cumulative dividends payable quarterly “in-kind” in the form of additional shares of Series C Preferred Stock at a rate of 5.0% per annum. If dividends on the Series C Preferred Stock are not declared and paid for any given fiscal quarter, the liquidation preference is automatically increased by the amount of such unpaid dividends. Holders of the Series C Preferred Stock will also be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have been declared and additional Series C shares issued when due.</w:t>
      </w:r>
    </w:p>
    <w:p>
      <w:pPr>
        <w:spacing w:after="0" w:line="198"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pari passu or senior equity securities of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84" w:name="page85"/>
    <w:bookmarkEnd w:id="84"/>
    <w:p>
      <w:pPr>
        <w:ind w:right="240"/>
        <w:spacing w:after="0" w:line="266" w:lineRule="auto"/>
        <w:rPr>
          <w:sz w:val="20"/>
          <w:szCs w:val="20"/>
          <w:color w:val="auto"/>
        </w:rPr>
      </w:pPr>
      <w:r>
        <w:rPr>
          <w:rFonts w:ascii="Arial" w:cs="Arial" w:eastAsia="Arial" w:hAnsi="Arial"/>
          <w:sz w:val="17"/>
          <w:szCs w:val="17"/>
          <w:color w:val="auto"/>
        </w:rPr>
        <w:t>Pursuant to the Purchase Agreement, the Investor has the right to nominate one director at each annual or special meeting of the Company’s shareholders until the earlier of the third anniversary of the execution of the Purchase Agreement and such time as the Investor and its Affiliates (as defined in the Purchase Agreement) do not hold at least a majority of the Series C Preferred Stock purchased under the Purchase Agreement. The Investor’s nominee pursuant to this right was elected at the Company’s annual meeting held on May 19, 2021 to serve a one-year term.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Features</w:t>
      </w:r>
    </w:p>
    <w:p>
      <w:pPr>
        <w:spacing w:after="0" w:line="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Each share of Series C Preferred Stock is convertible, at the option of each holder at any time, into shares of Common Stock at the initial conversion price of $10 per share of Common Stock. The initial conversion price and the corresponding conversion rate will be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20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 will have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Conversion Features</w:t>
      </w:r>
    </w:p>
    <w:p>
      <w:pPr>
        <w:spacing w:after="0" w:line="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 concluded that the Series C Preferred Stock is more akin to a debt-type instrument and that the economic characteristics and risks of the conversion option upon a fundamental change by the holder is not considered clearly and closely related to the Series C Preferred 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(income) charges, net in the Consolidated Statement of Operations. The fair value of the Series C Preferred Stock derivative as of December 31, 2021 was a liability of $2 million and is included in Other long-term liabilities in the accompanying Consolidated Statement of Financial Position. Refer to Note 13, “Financial Instruments” for information on the valuation of the derivative.</w:t>
      </w:r>
    </w:p>
    <w:p>
      <w:pPr>
        <w:spacing w:after="0" w:line="197" w:lineRule="exact"/>
        <w:rPr>
          <w:sz w:val="20"/>
          <w:szCs w:val="20"/>
          <w:color w:val="auto"/>
        </w:rPr>
      </w:pPr>
    </w:p>
    <w:p>
      <w:pPr>
        <w:jc w:val="both"/>
        <w:ind w:right="240"/>
        <w:spacing w:after="0" w:line="323" w:lineRule="auto"/>
        <w:rPr>
          <w:sz w:val="20"/>
          <w:szCs w:val="20"/>
          <w:color w:val="auto"/>
        </w:rPr>
      </w:pPr>
      <w:r>
        <w:rPr>
          <w:rFonts w:ascii="Arial" w:cs="Arial" w:eastAsia="Arial" w:hAnsi="Arial"/>
          <w:sz w:val="15"/>
          <w:szCs w:val="15"/>
          <w:color w:val="auto"/>
        </w:rPr>
        <w:t>The carrying value of the Series C Preferred Stock at the time of issuance, $97 million ($100 million aggregate gross proceeds less $2 million allocated to the derivative liability and $1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Features</w:t>
      </w:r>
    </w:p>
    <w:p>
      <w:pPr>
        <w:spacing w:after="0" w:line="2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If any shares of Series C Preferred Stock have not been converted prior to the Redemption Date, the Company is required to redeem such shares at $100 per share plus the amount of accrued and unpaid dividends thereon; provided that the holders of the Series C Preferred Stock have the right to extend such redemption date by up to two years. As the Company concluded that the Series C Preferred Stock is more akin to a debt-type instrument, the redemption feature is considered to be clearly and closely related to the host contract and therefore was not required to be separated from the Series C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 Registration Rights Agreement</w:t>
      </w:r>
    </w:p>
    <w:p>
      <w:pPr>
        <w:spacing w:after="0" w:line="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NOTE 10: LEASES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lessee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lease-related assets and liabilities on the balance sheet:</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7"/>
                <w:szCs w:val="17"/>
                <w:b w:val="1"/>
                <w:bCs w:val="1"/>
                <w:color w:val="auto"/>
                <w:w w:val="92"/>
              </w:rPr>
              <w:t>Classification in the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December 31,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4000" w:type="dxa"/>
            <w:vAlign w:val="bottom"/>
          </w:tcPr>
          <w:p>
            <w:pPr>
              <w:jc w:val="center"/>
              <w:spacing w:after="0"/>
              <w:rPr>
                <w:sz w:val="20"/>
                <w:szCs w:val="20"/>
                <w:color w:val="auto"/>
              </w:rPr>
            </w:pPr>
            <w:r>
              <w:rPr>
                <w:rFonts w:ascii="Arial" w:cs="Arial" w:eastAsia="Arial" w:hAnsi="Arial"/>
                <w:sz w:val="17"/>
                <w:szCs w:val="17"/>
                <w:b w:val="1"/>
                <w:bCs w:val="1"/>
                <w:color w:val="auto"/>
                <w:w w:val="91"/>
              </w:rPr>
              <w:t>Consolidated Statement of Financial Position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7"/>
                <w:szCs w:val="17"/>
                <w:b w:val="1"/>
                <w:bCs w:val="1"/>
                <w:color w:val="auto"/>
                <w:w w:val="84"/>
              </w:rPr>
              <w:t>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40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20" w:type="dxa"/>
            <w:vAlign w:val="bottom"/>
            <w:gridSpan w:val="2"/>
          </w:tcPr>
          <w:p>
            <w:pPr>
              <w:spacing w:after="0"/>
              <w:rPr>
                <w:sz w:val="20"/>
                <w:szCs w:val="20"/>
                <w:color w:val="auto"/>
              </w:rPr>
            </w:pPr>
            <w:r>
              <w:rPr>
                <w:rFonts w:ascii="Arial" w:cs="Arial" w:eastAsia="Arial" w:hAnsi="Arial"/>
                <w:sz w:val="17"/>
                <w:szCs w:val="17"/>
                <w:color w:val="auto"/>
              </w:rPr>
              <w:t>Operating lease assets</w:t>
            </w:r>
          </w:p>
        </w:tc>
        <w:tc>
          <w:tcPr>
            <w:tcW w:w="4000" w:type="dxa"/>
            <w:vAlign w:val="bottom"/>
          </w:tcPr>
          <w:p>
            <w:pPr>
              <w:jc w:val="center"/>
              <w:spacing w:after="0"/>
              <w:rPr>
                <w:sz w:val="20"/>
                <w:szCs w:val="20"/>
                <w:color w:val="auto"/>
              </w:rPr>
            </w:pPr>
            <w:r>
              <w:rPr>
                <w:rFonts w:ascii="Arial" w:cs="Arial" w:eastAsia="Arial" w:hAnsi="Arial"/>
                <w:sz w:val="17"/>
                <w:szCs w:val="17"/>
                <w:color w:val="auto"/>
                <w:w w:val="90"/>
              </w:rPr>
              <w:t>Operating lease right-of-use assets</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7"/>
                <w:szCs w:val="17"/>
                <w:color w:val="auto"/>
              </w:rPr>
              <w:t>Finance lease assets</w:t>
            </w:r>
          </w:p>
        </w:tc>
        <w:tc>
          <w:tcPr>
            <w:tcW w:w="40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Property, plant and equipment, net</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220" w:type="dxa"/>
            <w:vAlign w:val="bottom"/>
            <w:gridSpan w:val="2"/>
          </w:tcPr>
          <w:p>
            <w:pPr>
              <w:spacing w:after="0"/>
              <w:rPr>
                <w:sz w:val="20"/>
                <w:szCs w:val="20"/>
                <w:color w:val="auto"/>
              </w:rPr>
            </w:pPr>
            <w:r>
              <w:rPr>
                <w:rFonts w:ascii="Arial" w:cs="Arial" w:eastAsia="Arial" w:hAnsi="Arial"/>
                <w:sz w:val="17"/>
                <w:szCs w:val="17"/>
                <w:color w:val="auto"/>
              </w:rPr>
              <w:t>Total lease assets</w:t>
            </w:r>
          </w:p>
        </w:tc>
        <w:tc>
          <w:tcPr>
            <w:tcW w:w="400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200" w:type="dxa"/>
            <w:vAlign w:val="bottom"/>
            <w:tcBorders>
              <w:top w:val="single" w:sz="8" w:color="CFF0FC"/>
            </w:tcBorders>
            <w:shd w:val="clear" w:color="auto" w:fill="CFF0FC"/>
          </w:tcPr>
          <w:p>
            <w:pPr>
              <w:spacing w:after="0"/>
              <w:rPr>
                <w:sz w:val="17"/>
                <w:szCs w:val="17"/>
                <w:color w:val="auto"/>
              </w:rPr>
            </w:pPr>
          </w:p>
        </w:tc>
        <w:tc>
          <w:tcPr>
            <w:tcW w:w="40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4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Operating</w:t>
            </w:r>
          </w:p>
        </w:tc>
        <w:tc>
          <w:tcPr>
            <w:tcW w:w="4000" w:type="dxa"/>
            <w:vAlign w:val="bottom"/>
          </w:tcPr>
          <w:p>
            <w:pPr>
              <w:jc w:val="center"/>
              <w:spacing w:after="0"/>
              <w:rPr>
                <w:sz w:val="20"/>
                <w:szCs w:val="20"/>
                <w:color w:val="auto"/>
              </w:rPr>
            </w:pPr>
            <w:r>
              <w:rPr>
                <w:rFonts w:ascii="Arial" w:cs="Arial" w:eastAsia="Arial" w:hAnsi="Arial"/>
                <w:sz w:val="17"/>
                <w:szCs w:val="17"/>
                <w:color w:val="auto"/>
                <w:w w:val="92"/>
              </w:rPr>
              <w:t>Current portion of operating leases</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shd w:val="clear" w:color="auto" w:fill="CFF0FC"/>
          </w:tcPr>
          <w:p>
            <w:pPr>
              <w:ind w:left="80"/>
              <w:spacing w:after="0"/>
              <w:rPr>
                <w:sz w:val="20"/>
                <w:szCs w:val="20"/>
                <w:color w:val="auto"/>
              </w:rPr>
            </w:pPr>
            <w:r>
              <w:rPr>
                <w:rFonts w:ascii="Arial" w:cs="Arial" w:eastAsia="Arial" w:hAnsi="Arial"/>
                <w:sz w:val="17"/>
                <w:szCs w:val="17"/>
                <w:color w:val="auto"/>
              </w:rPr>
              <w:t>Finance</w:t>
            </w:r>
          </w:p>
        </w:tc>
        <w:tc>
          <w:tcPr>
            <w:tcW w:w="40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Short-term borrowings and current portion of long-term</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40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debt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2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FF0FC"/>
          </w:tcPr>
          <w:p>
            <w:pPr>
              <w:ind w:left="80"/>
              <w:spacing w:after="0"/>
              <w:rPr>
                <w:sz w:val="20"/>
                <w:szCs w:val="20"/>
                <w:color w:val="auto"/>
              </w:rPr>
            </w:pPr>
            <w:r>
              <w:rPr>
                <w:rFonts w:ascii="Arial" w:cs="Arial" w:eastAsia="Arial" w:hAnsi="Arial"/>
                <w:sz w:val="17"/>
                <w:szCs w:val="17"/>
                <w:color w:val="auto"/>
              </w:rPr>
              <w:t>Operating</w:t>
            </w:r>
          </w:p>
        </w:tc>
        <w:tc>
          <w:tcPr>
            <w:tcW w:w="40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Operating leases, net of current portion</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tcBorders>
              <w:bottom w:val="single" w:sz="8" w:color="CFF0FC"/>
            </w:tcBorders>
          </w:tcPr>
          <w:p>
            <w:pPr>
              <w:ind w:left="80"/>
              <w:spacing w:after="0"/>
              <w:rPr>
                <w:sz w:val="20"/>
                <w:szCs w:val="20"/>
                <w:color w:val="auto"/>
              </w:rPr>
            </w:pPr>
            <w:r>
              <w:rPr>
                <w:rFonts w:ascii="Arial" w:cs="Arial" w:eastAsia="Arial" w:hAnsi="Arial"/>
                <w:sz w:val="17"/>
                <w:szCs w:val="17"/>
                <w:color w:val="auto"/>
              </w:rPr>
              <w:t>Finance</w:t>
            </w:r>
          </w:p>
        </w:tc>
        <w:tc>
          <w:tcPr>
            <w:tcW w:w="400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93"/>
              </w:rPr>
              <w:t>Long-term debt, net of current portion</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7"/>
                <w:szCs w:val="17"/>
                <w:color w:val="auto"/>
              </w:rPr>
              <w:t>Total lease liabilities</w:t>
            </w:r>
          </w:p>
        </w:tc>
        <w:tc>
          <w:tcPr>
            <w:tcW w:w="40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FF0FC"/>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Weighted-average remaining lease term</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Operating</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FF0FC"/>
          </w:tcPr>
          <w:p>
            <w:pPr>
              <w:ind w:left="80"/>
              <w:spacing w:after="0"/>
              <w:rPr>
                <w:sz w:val="20"/>
                <w:szCs w:val="20"/>
                <w:color w:val="auto"/>
              </w:rPr>
            </w:pPr>
            <w:r>
              <w:rPr>
                <w:rFonts w:ascii="Arial" w:cs="Arial" w:eastAsia="Arial" w:hAnsi="Arial"/>
                <w:sz w:val="17"/>
                <w:szCs w:val="17"/>
                <w:color w:val="auto"/>
              </w:rPr>
              <w:t>Finance</w:t>
            </w:r>
          </w:p>
        </w:tc>
        <w:tc>
          <w:tcPr>
            <w:tcW w:w="4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 years</w:t>
            </w:r>
          </w:p>
        </w:tc>
        <w:tc>
          <w:tcPr>
            <w:tcW w:w="0" w:type="dxa"/>
            <w:vAlign w:val="bottom"/>
          </w:tcPr>
          <w:p>
            <w:pPr>
              <w:spacing w:after="0"/>
              <w:rPr>
                <w:sz w:val="1"/>
                <w:szCs w:val="1"/>
                <w:color w:val="auto"/>
              </w:rPr>
            </w:pPr>
          </w:p>
        </w:tc>
      </w:tr>
      <w:tr>
        <w:trPr>
          <w:trHeight w:val="221"/>
        </w:trPr>
        <w:tc>
          <w:tcPr>
            <w:tcW w:w="2220" w:type="dxa"/>
            <w:vAlign w:val="bottom"/>
            <w:gridSpan w:val="2"/>
          </w:tcPr>
          <w:p>
            <w:pPr>
              <w:spacing w:after="0"/>
              <w:rPr>
                <w:sz w:val="20"/>
                <w:szCs w:val="20"/>
                <w:color w:val="auto"/>
              </w:rPr>
            </w:pPr>
            <w:r>
              <w:rPr>
                <w:rFonts w:ascii="Arial" w:cs="Arial" w:eastAsia="Arial" w:hAnsi="Arial"/>
                <w:sz w:val="17"/>
                <w:szCs w:val="17"/>
                <w:color w:val="auto"/>
                <w:w w:val="91"/>
              </w:rPr>
              <w:t>Weighted-average discount rate</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FF0FC"/>
          </w:tcPr>
          <w:p>
            <w:pPr>
              <w:ind w:left="80"/>
              <w:spacing w:after="0"/>
              <w:rPr>
                <w:sz w:val="20"/>
                <w:szCs w:val="20"/>
                <w:color w:val="auto"/>
              </w:rPr>
            </w:pPr>
            <w:r>
              <w:rPr>
                <w:rFonts w:ascii="Arial" w:cs="Arial" w:eastAsia="Arial" w:hAnsi="Arial"/>
                <w:sz w:val="17"/>
                <w:szCs w:val="17"/>
                <w:color w:val="auto"/>
              </w:rPr>
              <w:t>Operating</w:t>
            </w:r>
          </w:p>
        </w:tc>
        <w:tc>
          <w:tcPr>
            <w:tcW w:w="4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Finance</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Costs</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table below presents certain information related to the lease expense for finance and operating leases. Lease expense is presented gross of sublease income. See “Kodak as Lessor” section below for income from subleases.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3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gridSpan w:val="8"/>
          </w:tcPr>
          <w:p>
            <w:pPr>
              <w:jc w:val="right"/>
              <w:ind w:right="240"/>
              <w:spacing w:after="0"/>
              <w:rPr>
                <w:sz w:val="20"/>
                <w:szCs w:val="20"/>
                <w:color w:val="auto"/>
              </w:rPr>
            </w:pPr>
            <w:r>
              <w:rPr>
                <w:rFonts w:ascii="Arial" w:cs="Arial" w:eastAsia="Arial" w:hAnsi="Arial"/>
                <w:sz w:val="17"/>
                <w:szCs w:val="17"/>
                <w:b w:val="1"/>
                <w:bCs w:val="1"/>
                <w:color w:val="auto"/>
              </w:rPr>
              <w:t>Year Ended December 31,</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3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14"/>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Finance lease expense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3220" w:type="dxa"/>
            <w:vAlign w:val="bottom"/>
          </w:tcPr>
          <w:p>
            <w:pPr>
              <w:ind w:left="100"/>
              <w:spacing w:after="0"/>
              <w:rPr>
                <w:sz w:val="20"/>
                <w:szCs w:val="20"/>
                <w:color w:val="auto"/>
              </w:rPr>
            </w:pPr>
            <w:r>
              <w:rPr>
                <w:rFonts w:ascii="Arial" w:cs="Arial" w:eastAsia="Arial" w:hAnsi="Arial"/>
                <w:sz w:val="17"/>
                <w:szCs w:val="17"/>
                <w:color w:val="auto"/>
              </w:rPr>
              <w:t>Amortization of leased assets</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r>
      <w:tr>
        <w:trPr>
          <w:trHeight w:val="221"/>
        </w:trPr>
        <w:tc>
          <w:tcPr>
            <w:tcW w:w="32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Interest on lease liabilities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3220" w:type="dxa"/>
            <w:vAlign w:val="bottom"/>
          </w:tcPr>
          <w:p>
            <w:pPr>
              <w:spacing w:after="0"/>
              <w:rPr>
                <w:sz w:val="20"/>
                <w:szCs w:val="20"/>
                <w:color w:val="auto"/>
              </w:rPr>
            </w:pPr>
            <w:r>
              <w:rPr>
                <w:rFonts w:ascii="Arial" w:cs="Arial" w:eastAsia="Arial" w:hAnsi="Arial"/>
                <w:sz w:val="17"/>
                <w:szCs w:val="17"/>
                <w:color w:val="auto"/>
              </w:rPr>
              <w:t>Operating lease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r>
      <w:tr>
        <w:trPr>
          <w:trHeight w:val="222"/>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Variable lease expense </w:t>
            </w:r>
            <w:r>
              <w:rPr>
                <w:rFonts w:ascii="Arial" w:cs="Arial" w:eastAsia="Arial" w:hAnsi="Arial"/>
                <w:sz w:val="14"/>
                <w:szCs w:val="14"/>
                <w:color w:val="auto"/>
              </w:rPr>
              <w:t>(1)</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9"/>
                <w:szCs w:val="19"/>
                <w:color w:val="auto"/>
              </w:rPr>
            </w:pPr>
          </w:p>
        </w:tc>
      </w:tr>
      <w:tr>
        <w:trPr>
          <w:trHeight w:val="214"/>
        </w:trPr>
        <w:tc>
          <w:tcPr>
            <w:tcW w:w="3220" w:type="dxa"/>
            <w:vAlign w:val="bottom"/>
          </w:tcPr>
          <w:p>
            <w:pPr>
              <w:spacing w:after="0"/>
              <w:rPr>
                <w:sz w:val="20"/>
                <w:szCs w:val="20"/>
                <w:color w:val="auto"/>
              </w:rPr>
            </w:pPr>
            <w:r>
              <w:rPr>
                <w:rFonts w:ascii="Arial" w:cs="Arial" w:eastAsia="Arial" w:hAnsi="Arial"/>
                <w:sz w:val="17"/>
                <w:szCs w:val="17"/>
                <w:color w:val="auto"/>
              </w:rPr>
              <w:t>Total lease expense</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ind w:left="5540" w:right="2000" w:hanging="5171"/>
        <w:spacing w:after="0" w:line="782" w:lineRule="auto"/>
        <w:tabs>
          <w:tab w:leader="none" w:pos="736" w:val="left"/>
        </w:tabs>
        <w:numPr>
          <w:ilvl w:val="0"/>
          <w:numId w:val="33"/>
        </w:numPr>
        <w:rPr>
          <w:rFonts w:ascii="Arial" w:cs="Arial" w:eastAsia="Arial" w:hAnsi="Arial"/>
          <w:sz w:val="15"/>
          <w:szCs w:val="15"/>
          <w:color w:val="auto"/>
        </w:rPr>
      </w:pPr>
      <w:r>
        <w:rPr>
          <w:rFonts w:ascii="Arial" w:cs="Arial" w:eastAsia="Arial" w:hAnsi="Arial"/>
          <w:sz w:val="17"/>
          <w:szCs w:val="17"/>
          <w:color w:val="auto"/>
        </w:rPr>
        <w:t>Variable lease expense is related to real estate leases and primarily includes taxes, insurance and operating costs.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-226060</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540"/>
          </w:cols>
          <w:pgMar w:left="320" w:top="329" w:right="10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supplemental cash flow information related to leases.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0" w:type="dxa"/>
            <w:vAlign w:val="bottom"/>
            <w:gridSpan w:val="5"/>
          </w:tcPr>
          <w:p>
            <w:pPr>
              <w:ind w:left="40"/>
              <w:spacing w:after="0"/>
              <w:rPr>
                <w:sz w:val="20"/>
                <w:szCs w:val="20"/>
                <w:color w:val="auto"/>
              </w:rPr>
            </w:pPr>
            <w:r>
              <w:rPr>
                <w:rFonts w:ascii="Arial" w:cs="Arial" w:eastAsia="Arial" w:hAnsi="Arial"/>
                <w:sz w:val="17"/>
                <w:szCs w:val="17"/>
                <w:b w:val="1"/>
                <w:bCs w:val="1"/>
                <w:color w:val="auto"/>
                <w:w w:val="92"/>
              </w:rPr>
              <w:t>Year Ended December 31,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4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02"/>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w w:val="97"/>
              </w:rPr>
              <w:t>Cash paid for amounts included in the measurement of lease</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liabilities</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Operating cash flows for operating leases</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w:t>
            </w: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8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 for finance leases</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4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Financing cash flow for finance leases</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FF0FC"/>
            </w:tcBorders>
          </w:tcPr>
          <w:p>
            <w:pPr>
              <w:spacing w:after="0"/>
              <w:rPr>
                <w:sz w:val="19"/>
                <w:szCs w:val="19"/>
                <w:color w:val="auto"/>
              </w:rPr>
            </w:pPr>
          </w:p>
        </w:tc>
      </w:tr>
      <w:tr>
        <w:trPr>
          <w:trHeight w:val="214"/>
        </w:trPr>
        <w:tc>
          <w:tcPr>
            <w:tcW w:w="45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Undiscounted Cash Flows</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table below reconciles the undiscounted cash flows for the next five years and thereafter to the finance lease liabilities and operating lease liabilities recorded on the balance sheet.</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93"/>
              </w:rPr>
              <w:t>Operating Leases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4"/>
              </w:rPr>
              <w:t>Finance Leases</w:t>
            </w:r>
          </w:p>
        </w:tc>
        <w:tc>
          <w:tcPr>
            <w:tcW w:w="80" w:type="dxa"/>
            <w:vAlign w:val="bottom"/>
            <w:tcBorders>
              <w:bottom w:val="single" w:sz="8" w:color="CFF0FC"/>
            </w:tcBorders>
          </w:tcPr>
          <w:p>
            <w:pPr>
              <w:spacing w:after="0"/>
              <w:rPr>
                <w:sz w:val="19"/>
                <w:szCs w:val="19"/>
                <w:color w:val="auto"/>
              </w:rPr>
            </w:pPr>
          </w:p>
        </w:tc>
      </w:tr>
      <w:tr>
        <w:trPr>
          <w:trHeight w:val="214"/>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2023</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2025</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2026</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Thereafter</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minimum lease payments</w:t>
            </w:r>
          </w:p>
        </w:tc>
        <w:tc>
          <w:tcPr>
            <w:tcW w:w="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Less: amount of lease payments representing interest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Present value of future minimum lease payments</w:t>
            </w:r>
          </w:p>
        </w:tc>
        <w:tc>
          <w:tcPr>
            <w:tcW w:w="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4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current obligations under leases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r>
      <w:tr>
        <w:trPr>
          <w:trHeight w:val="214"/>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Long-term lease obligations</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leases that had not yet commenced were not significant.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Lessor</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Kodak’s net investment in sales-type leases as of December 31, 2021 and 2020 was $6 million and $5 million, respectively. The current portion of the net investment in sales-type leases is included in Other current assets in the Consolidated Statement of Financial Position. The portion of the net investment in sales-type leases due after one year is included in Other long-term assets.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table below reconciles the undiscounted cash flows to be received for the next five years and thereafter to the net investment in sales-type leases recorded in the Consolidated Statement of Financial Position: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520" w:type="dxa"/>
            <w:vAlign w:val="bottom"/>
            <w:shd w:val="clear" w:color="auto" w:fill="CFF0FC"/>
          </w:tcPr>
          <w:p>
            <w:pPr>
              <w:jc w:val="right"/>
              <w:ind w:right="3093"/>
              <w:spacing w:after="0"/>
              <w:rPr>
                <w:sz w:val="20"/>
                <w:szCs w:val="20"/>
                <w:color w:val="auto"/>
              </w:rPr>
            </w:pPr>
            <w:r>
              <w:rPr>
                <w:rFonts w:ascii="Arial" w:cs="Arial" w:eastAsia="Arial" w:hAnsi="Arial"/>
                <w:sz w:val="17"/>
                <w:szCs w:val="17"/>
                <w:color w:val="auto"/>
                <w:w w:val="84"/>
              </w:rPr>
              <w:t>2022</w:t>
            </w:r>
          </w:p>
        </w:tc>
        <w:tc>
          <w:tcPr>
            <w:tcW w:w="4100" w:type="dxa"/>
            <w:vAlign w:val="bottom"/>
            <w:gridSpan w:val="2"/>
            <w:shd w:val="clear" w:color="auto" w:fill="CFF0FC"/>
          </w:tcPr>
          <w:p>
            <w:pPr>
              <w:jc w:val="right"/>
              <w:ind w:right="1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jc w:val="right"/>
              <w:ind w:right="3093"/>
              <w:spacing w:after="0"/>
              <w:rPr>
                <w:sz w:val="20"/>
                <w:szCs w:val="20"/>
                <w:color w:val="auto"/>
              </w:rPr>
            </w:pPr>
            <w:r>
              <w:rPr>
                <w:rFonts w:ascii="Arial" w:cs="Arial" w:eastAsia="Arial" w:hAnsi="Arial"/>
                <w:sz w:val="17"/>
                <w:szCs w:val="17"/>
                <w:color w:val="auto"/>
              </w:rPr>
              <w:t>2023</w:t>
            </w:r>
          </w:p>
        </w:tc>
        <w:tc>
          <w:tcPr>
            <w:tcW w:w="2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520" w:type="dxa"/>
            <w:vAlign w:val="bottom"/>
            <w:shd w:val="clear" w:color="auto" w:fill="CFF0FC"/>
          </w:tcPr>
          <w:p>
            <w:pPr>
              <w:jc w:val="right"/>
              <w:ind w:right="3093"/>
              <w:spacing w:after="0"/>
              <w:rPr>
                <w:sz w:val="20"/>
                <w:szCs w:val="20"/>
                <w:color w:val="auto"/>
              </w:rPr>
            </w:pPr>
            <w:r>
              <w:rPr>
                <w:rFonts w:ascii="Arial" w:cs="Arial" w:eastAsia="Arial" w:hAnsi="Arial"/>
                <w:sz w:val="17"/>
                <w:szCs w:val="17"/>
                <w:color w:val="auto"/>
                <w:w w:val="84"/>
              </w:rPr>
              <w:t>2024</w:t>
            </w:r>
          </w:p>
        </w:tc>
        <w:tc>
          <w:tcPr>
            <w:tcW w:w="29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ind w:left="1140"/>
              <w:spacing w:after="0"/>
              <w:rPr>
                <w:sz w:val="20"/>
                <w:szCs w:val="20"/>
                <w:color w:val="auto"/>
              </w:rPr>
            </w:pPr>
            <w:r>
              <w:rPr>
                <w:rFonts w:ascii="Arial" w:cs="Arial" w:eastAsia="Arial" w:hAnsi="Arial"/>
                <w:sz w:val="17"/>
                <w:szCs w:val="17"/>
                <w:color w:val="auto"/>
              </w:rPr>
              <w:t>2025 and thereafter</w:t>
            </w:r>
          </w:p>
        </w:tc>
        <w:tc>
          <w:tcPr>
            <w:tcW w:w="2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minimum lease payments</w:t>
            </w:r>
          </w:p>
        </w:tc>
        <w:tc>
          <w:tcPr>
            <w:tcW w:w="29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1140"/>
              <w:spacing w:after="0"/>
              <w:rPr>
                <w:sz w:val="20"/>
                <w:szCs w:val="20"/>
                <w:color w:val="auto"/>
              </w:rPr>
            </w:pPr>
            <w:r>
              <w:rPr>
                <w:rFonts w:ascii="Arial" w:cs="Arial" w:eastAsia="Arial" w:hAnsi="Arial"/>
                <w:sz w:val="17"/>
                <w:szCs w:val="17"/>
                <w:color w:val="auto"/>
              </w:rPr>
              <w:t>Less: unearned interest</w:t>
            </w: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Less: allowance for doubtful accounts</w:t>
            </w:r>
          </w:p>
        </w:tc>
        <w:tc>
          <w:tcPr>
            <w:tcW w:w="2920" w:type="dxa"/>
            <w:vAlign w:val="bottom"/>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60" w:type="dxa"/>
            <w:vAlign w:val="bottom"/>
            <w:gridSpan w:val="2"/>
          </w:tcPr>
          <w:p>
            <w:pPr>
              <w:ind w:left="1140"/>
              <w:spacing w:after="0"/>
              <w:rPr>
                <w:sz w:val="20"/>
                <w:szCs w:val="20"/>
                <w:color w:val="auto"/>
              </w:rPr>
            </w:pPr>
            <w:r>
              <w:rPr>
                <w:rFonts w:ascii="Arial" w:cs="Arial" w:eastAsia="Arial" w:hAnsi="Arial"/>
                <w:sz w:val="17"/>
                <w:szCs w:val="17"/>
                <w:color w:val="auto"/>
              </w:rPr>
              <w:t>Net investment in sales-type leases</w:t>
            </w:r>
          </w:p>
        </w:tc>
        <w:tc>
          <w:tcPr>
            <w:tcW w:w="4100" w:type="dxa"/>
            <w:vAlign w:val="bottom"/>
            <w:gridSpan w:val="2"/>
          </w:tcPr>
          <w:p>
            <w:pPr>
              <w:jc w:val="right"/>
              <w:ind w:right="11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20" w:type="dxa"/>
            <w:vAlign w:val="bottom"/>
            <w:vMerge w:val="restart"/>
          </w:tcPr>
          <w:p>
            <w:pPr>
              <w:jc w:val="right"/>
              <w:ind w:right="1773"/>
              <w:spacing w:after="0"/>
              <w:rPr>
                <w:sz w:val="20"/>
                <w:szCs w:val="20"/>
                <w:color w:val="auto"/>
              </w:rPr>
            </w:pPr>
            <w:r>
              <w:rPr>
                <w:rFonts w:ascii="Arial" w:cs="Arial" w:eastAsia="Arial" w:hAnsi="Arial"/>
                <w:sz w:val="17"/>
                <w:szCs w:val="17"/>
                <w:color w:val="auto"/>
              </w:rPr>
              <w:t>87</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Undiscounted cash flows to be received for the next five years and thereafter for operating leases and subleases are:</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4300" w:type="dxa"/>
            <w:vAlign w:val="bottom"/>
          </w:tcPr>
          <w:p>
            <w:pPr>
              <w:spacing w:after="0"/>
              <w:rPr>
                <w:sz w:val="20"/>
                <w:szCs w:val="20"/>
                <w:color w:val="auto"/>
              </w:rPr>
            </w:pPr>
            <w:r>
              <w:rPr>
                <w:rFonts w:ascii="Arial" w:cs="Arial" w:eastAsia="Arial" w:hAnsi="Arial"/>
                <w:sz w:val="16"/>
                <w:szCs w:val="16"/>
                <w:color w:val="auto"/>
              </w:rPr>
              <w:t>(in millions)</w:t>
            </w: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3320" w:type="dxa"/>
            <w:vAlign w:val="bottom"/>
            <w:gridSpan w:val="2"/>
            <w:shd w:val="clear" w:color="auto" w:fill="CFF0FC"/>
          </w:tcPr>
          <w:p>
            <w:pPr>
              <w:jc w:val="right"/>
              <w:ind w:right="1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9"/>
                <w:szCs w:val="19"/>
                <w:color w:val="auto"/>
              </w:rPr>
            </w:pPr>
          </w:p>
        </w:tc>
      </w:tr>
      <w:tr>
        <w:trPr>
          <w:trHeight w:val="221"/>
        </w:trPr>
        <w:tc>
          <w:tcPr>
            <w:tcW w:w="4300" w:type="dxa"/>
            <w:vAlign w:val="bottom"/>
          </w:tcPr>
          <w:p>
            <w:pPr>
              <w:spacing w:after="0"/>
              <w:rPr>
                <w:sz w:val="20"/>
                <w:szCs w:val="20"/>
                <w:color w:val="auto"/>
              </w:rPr>
            </w:pPr>
            <w:r>
              <w:rPr>
                <w:rFonts w:ascii="Arial" w:cs="Arial" w:eastAsia="Arial" w:hAnsi="Arial"/>
                <w:sz w:val="17"/>
                <w:szCs w:val="17"/>
                <w:color w:val="auto"/>
              </w:rPr>
              <w:t>2023</w:t>
            </w: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2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r>
      <w:tr>
        <w:trPr>
          <w:trHeight w:val="221"/>
        </w:trPr>
        <w:tc>
          <w:tcPr>
            <w:tcW w:w="4300" w:type="dxa"/>
            <w:vAlign w:val="bottom"/>
          </w:tcPr>
          <w:p>
            <w:pPr>
              <w:spacing w:after="0"/>
              <w:rPr>
                <w:sz w:val="20"/>
                <w:szCs w:val="20"/>
                <w:color w:val="auto"/>
              </w:rPr>
            </w:pPr>
            <w:r>
              <w:rPr>
                <w:rFonts w:ascii="Arial" w:cs="Arial" w:eastAsia="Arial" w:hAnsi="Arial"/>
                <w:sz w:val="17"/>
                <w:szCs w:val="17"/>
                <w:color w:val="auto"/>
              </w:rPr>
              <w:t>2025</w:t>
            </w: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2026</w:t>
            </w:r>
          </w:p>
        </w:tc>
        <w:tc>
          <w:tcPr>
            <w:tcW w:w="2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r>
      <w:tr>
        <w:trPr>
          <w:trHeight w:val="221"/>
        </w:trPr>
        <w:tc>
          <w:tcPr>
            <w:tcW w:w="4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1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FF0FC"/>
            </w:tcBorders>
          </w:tcPr>
          <w:p>
            <w:pPr>
              <w:spacing w:after="0"/>
              <w:rPr>
                <w:sz w:val="19"/>
                <w:szCs w:val="19"/>
                <w:color w:val="auto"/>
              </w:rPr>
            </w:pPr>
          </w:p>
        </w:tc>
      </w:tr>
      <w:tr>
        <w:trPr>
          <w:trHeight w:val="214"/>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Total minimum lease payments</w:t>
            </w:r>
          </w:p>
        </w:tc>
        <w:tc>
          <w:tcPr>
            <w:tcW w:w="3320" w:type="dxa"/>
            <w:vAlign w:val="bottom"/>
            <w:gridSpan w:val="2"/>
            <w:shd w:val="clear" w:color="auto" w:fill="CFF0FC"/>
          </w:tcPr>
          <w:p>
            <w:pPr>
              <w:jc w:val="right"/>
              <w:ind w:right="1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FF0FC"/>
          </w:tcPr>
          <w:p>
            <w:pPr>
              <w:spacing w:after="0"/>
              <w:rPr>
                <w:sz w:val="18"/>
                <w:szCs w:val="18"/>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Income recognized on lease arrangements for the years ended December 31, 2021, 2020 and 2019 is presented below:</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60" w:type="dxa"/>
            <w:vAlign w:val="bottom"/>
            <w:gridSpan w:val="6"/>
          </w:tcPr>
          <w:p>
            <w:pPr>
              <w:ind w:left="20"/>
              <w:spacing w:after="0"/>
              <w:rPr>
                <w:sz w:val="20"/>
                <w:szCs w:val="20"/>
                <w:color w:val="auto"/>
              </w:rPr>
            </w:pPr>
            <w:r>
              <w:rPr>
                <w:rFonts w:ascii="Arial" w:cs="Arial" w:eastAsia="Arial" w:hAnsi="Arial"/>
                <w:sz w:val="17"/>
                <w:szCs w:val="17"/>
                <w:b w:val="1"/>
                <w:bCs w:val="1"/>
                <w:color w:val="auto"/>
                <w:w w:val="91"/>
              </w:rPr>
              <w:t>Year Ended December 31,</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 millions)</w:t>
            </w:r>
          </w:p>
        </w:tc>
        <w:tc>
          <w:tcPr>
            <w:tcW w:w="8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14"/>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Lease income - sales-type leases</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34"/>
        </w:trPr>
        <w:tc>
          <w:tcPr>
            <w:tcW w:w="3100" w:type="dxa"/>
            <w:vAlign w:val="bottom"/>
          </w:tcPr>
          <w:p>
            <w:pPr>
              <w:spacing w:after="0"/>
              <w:rPr>
                <w:sz w:val="20"/>
                <w:szCs w:val="20"/>
                <w:color w:val="auto"/>
              </w:rPr>
            </w:pPr>
            <w:r>
              <w:rPr>
                <w:rFonts w:ascii="Arial" w:cs="Arial" w:eastAsia="Arial" w:hAnsi="Arial"/>
                <w:sz w:val="17"/>
                <w:szCs w:val="17"/>
                <w:color w:val="auto"/>
              </w:rPr>
              <w:t>Lease income - operating leases</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0"/>
                <w:szCs w:val="20"/>
                <w:color w:val="auto"/>
              </w:rPr>
            </w:pPr>
          </w:p>
        </w:tc>
      </w:tr>
      <w:tr>
        <w:trPr>
          <w:trHeight w:val="234"/>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Sublease income</w:t>
            </w: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20"/>
                <w:szCs w:val="20"/>
                <w:color w:val="auto"/>
              </w:rPr>
            </w:pPr>
          </w:p>
        </w:tc>
      </w:tr>
      <w:tr>
        <w:trPr>
          <w:trHeight w:val="234"/>
        </w:trPr>
        <w:tc>
          <w:tcPr>
            <w:tcW w:w="3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Variable lease income </w:t>
            </w:r>
            <w:r>
              <w:rPr>
                <w:rFonts w:ascii="Arial" w:cs="Arial" w:eastAsia="Arial" w:hAnsi="Arial"/>
                <w:sz w:val="14"/>
                <w:szCs w:val="14"/>
                <w:color w:val="auto"/>
              </w:rPr>
              <w:t>(1)</w:t>
            </w:r>
          </w:p>
        </w:tc>
        <w:tc>
          <w:tcPr>
            <w:tcW w:w="8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FF0FC"/>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FF0FC"/>
            </w:tcBorders>
          </w:tcPr>
          <w:p>
            <w:pPr>
              <w:spacing w:after="0"/>
              <w:rPr>
                <w:sz w:val="20"/>
                <w:szCs w:val="20"/>
                <w:color w:val="auto"/>
              </w:rPr>
            </w:pPr>
          </w:p>
        </w:tc>
      </w:tr>
      <w:tr>
        <w:trPr>
          <w:trHeight w:val="227"/>
        </w:trPr>
        <w:tc>
          <w:tcPr>
            <w:tcW w:w="31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lease income</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FF0FC"/>
          </w:tcPr>
          <w:p>
            <w:pPr>
              <w:spacing w:after="0"/>
              <w:rPr>
                <w:sz w:val="19"/>
                <w:szCs w:val="19"/>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left="740" w:right="140" w:hanging="371"/>
        <w:spacing w:after="0" w:line="286" w:lineRule="auto"/>
        <w:tabs>
          <w:tab w:leader="none" w:pos="740" w:val="left"/>
        </w:tabs>
        <w:numPr>
          <w:ilvl w:val="0"/>
          <w:numId w:val="34"/>
        </w:numPr>
        <w:rPr>
          <w:rFonts w:ascii="Arial" w:cs="Arial" w:eastAsia="Arial" w:hAnsi="Arial"/>
          <w:sz w:val="15"/>
          <w:szCs w:val="15"/>
          <w:color w:val="auto"/>
        </w:rPr>
      </w:pPr>
      <w:r>
        <w:rPr>
          <w:rFonts w:ascii="Arial" w:cs="Arial" w:eastAsia="Arial" w:hAnsi="Arial"/>
          <w:sz w:val="17"/>
          <w:szCs w:val="17"/>
          <w:color w:val="auto"/>
        </w:rPr>
        <w:t>Variable lease income primarily represents operating costs under real estate leases and incremental variable income based on usage under equipment leases.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and the related accumulated depreciation were as follows:</w:t>
      </w:r>
    </w:p>
    <w:p>
      <w:pPr>
        <w:spacing w:after="0" w:line="254" w:lineRule="exact"/>
        <w:rPr>
          <w:sz w:val="20"/>
          <w:szCs w:val="20"/>
          <w:color w:val="auto"/>
        </w:rPr>
      </w:pPr>
    </w:p>
    <w:p>
      <w:pPr>
        <w:ind w:left="754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22"/>
        </w:trPr>
        <w:tc>
          <w:tcPr>
            <w:tcW w:w="4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Equipment subject to operating leases</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Equipment subject to operating leases, net</w:t>
            </w:r>
          </w:p>
        </w:tc>
        <w:tc>
          <w:tcPr>
            <w:tcW w:w="1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40" w:type="dxa"/>
            <w:vAlign w:val="bottom"/>
            <w:vMerge w:val="continue"/>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net is included in Property, plant and equipment, net in the Consolidated Statement of Financial Position.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COMMITMENTS AND CONTINGENCIES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1"/>
        </w:trPr>
        <w:tc>
          <w:tcPr>
            <w:tcW w:w="5960" w:type="dxa"/>
            <w:vAlign w:val="bottom"/>
            <w:gridSpan w:val="2"/>
          </w:tcPr>
          <w:p>
            <w:pPr>
              <w:spacing w:after="0"/>
              <w:rPr>
                <w:sz w:val="20"/>
                <w:szCs w:val="20"/>
                <w:color w:val="auto"/>
              </w:rPr>
            </w:pPr>
            <w:r>
              <w:rPr>
                <w:rFonts w:ascii="Arial" w:cs="Arial" w:eastAsia="Arial" w:hAnsi="Arial"/>
                <w:sz w:val="17"/>
                <w:szCs w:val="17"/>
                <w:color w:val="auto"/>
              </w:rPr>
              <w:t>The following table provides asset retirement obligation activity (in millions):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1"/>
        </w:trPr>
        <w:tc>
          <w:tcPr>
            <w:tcW w:w="1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7"/>
                <w:szCs w:val="17"/>
                <w:b w:val="1"/>
                <w:bCs w:val="1"/>
                <w:color w:val="auto"/>
              </w:rPr>
              <w:t>For the Year Ended December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7"/>
        </w:trPr>
        <w:tc>
          <w:tcPr>
            <w:tcW w:w="1700" w:type="dxa"/>
            <w:vAlign w:val="bottom"/>
          </w:tcPr>
          <w:p>
            <w:pPr>
              <w:spacing w:after="0"/>
              <w:rPr>
                <w:sz w:val="19"/>
                <w:szCs w:val="19"/>
                <w:color w:val="auto"/>
              </w:rPr>
            </w:pPr>
          </w:p>
        </w:tc>
        <w:tc>
          <w:tcPr>
            <w:tcW w:w="42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14"/>
        </w:trPr>
        <w:tc>
          <w:tcPr>
            <w:tcW w:w="170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Asset Retirement Obligations at start of period</w:t>
            </w:r>
          </w:p>
        </w:tc>
        <w:tc>
          <w:tcPr>
            <w:tcW w:w="1540" w:type="dxa"/>
            <w:vAlign w:val="bottom"/>
            <w:gridSpan w:val="2"/>
            <w:shd w:val="clear" w:color="auto" w:fill="CFF0FC"/>
          </w:tcPr>
          <w:p>
            <w:pPr>
              <w:jc w:val="right"/>
              <w:ind w:right="83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0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48</w:t>
            </w:r>
          </w:p>
        </w:tc>
        <w:tc>
          <w:tcPr>
            <w:tcW w:w="80" w:type="dxa"/>
            <w:vAlign w:val="bottom"/>
            <w:shd w:val="clear" w:color="auto" w:fill="CFF0FC"/>
          </w:tcPr>
          <w:p>
            <w:pPr>
              <w:spacing w:after="0"/>
              <w:rPr>
                <w:sz w:val="18"/>
                <w:szCs w:val="18"/>
                <w:color w:val="auto"/>
              </w:rPr>
            </w:pPr>
          </w:p>
        </w:tc>
      </w:tr>
      <w:tr>
        <w:trPr>
          <w:trHeight w:val="221"/>
        </w:trPr>
        <w:tc>
          <w:tcPr>
            <w:tcW w:w="5960" w:type="dxa"/>
            <w:vAlign w:val="bottom"/>
            <w:gridSpan w:val="2"/>
          </w:tcPr>
          <w:p>
            <w:pPr>
              <w:ind w:left="1700"/>
              <w:spacing w:after="0"/>
              <w:rPr>
                <w:sz w:val="20"/>
                <w:szCs w:val="20"/>
                <w:color w:val="auto"/>
              </w:rPr>
            </w:pPr>
            <w:r>
              <w:rPr>
                <w:rFonts w:ascii="Arial" w:cs="Arial" w:eastAsia="Arial" w:hAnsi="Arial"/>
                <w:sz w:val="17"/>
                <w:szCs w:val="17"/>
                <w:color w:val="auto"/>
              </w:rPr>
              <w:t>Liabilities incurred in the current period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21"/>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Liabilities settled in the current period</w:t>
            </w: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w:t>
            </w:r>
          </w:p>
        </w:tc>
      </w:tr>
      <w:tr>
        <w:trPr>
          <w:trHeight w:val="221"/>
        </w:trPr>
        <w:tc>
          <w:tcPr>
            <w:tcW w:w="5960" w:type="dxa"/>
            <w:vAlign w:val="bottom"/>
            <w:gridSpan w:val="2"/>
          </w:tcPr>
          <w:p>
            <w:pPr>
              <w:ind w:left="1700"/>
              <w:spacing w:after="0"/>
              <w:rPr>
                <w:sz w:val="20"/>
                <w:szCs w:val="20"/>
                <w:color w:val="auto"/>
              </w:rPr>
            </w:pPr>
            <w:r>
              <w:rPr>
                <w:rFonts w:ascii="Arial" w:cs="Arial" w:eastAsia="Arial" w:hAnsi="Arial"/>
                <w:sz w:val="17"/>
                <w:szCs w:val="17"/>
                <w:color w:val="auto"/>
              </w:rPr>
              <w:t>Accretion expense</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21"/>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Revision in estimated cash flows</w:t>
            </w:r>
          </w:p>
        </w:tc>
        <w:tc>
          <w:tcPr>
            <w:tcW w:w="5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14"/>
        </w:trPr>
        <w:tc>
          <w:tcPr>
            <w:tcW w:w="5960" w:type="dxa"/>
            <w:vAlign w:val="bottom"/>
            <w:gridSpan w:val="2"/>
          </w:tcPr>
          <w:p>
            <w:pPr>
              <w:ind w:left="1700"/>
              <w:spacing w:after="0"/>
              <w:rPr>
                <w:sz w:val="20"/>
                <w:szCs w:val="20"/>
                <w:color w:val="auto"/>
              </w:rPr>
            </w:pPr>
            <w:r>
              <w:rPr>
                <w:rFonts w:ascii="Arial" w:cs="Arial" w:eastAsia="Arial" w:hAnsi="Arial"/>
                <w:sz w:val="17"/>
                <w:szCs w:val="17"/>
                <w:color w:val="auto"/>
              </w:rPr>
              <w:t>Asset Retirement Obligations at end of period</w:t>
            </w:r>
          </w:p>
        </w:tc>
        <w:tc>
          <w:tcPr>
            <w:tcW w:w="1540" w:type="dxa"/>
            <w:vAlign w:val="bottom"/>
            <w:gridSpan w:val="2"/>
          </w:tcPr>
          <w:p>
            <w:pPr>
              <w:jc w:val="right"/>
              <w:ind w:right="833"/>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1160" w:type="dxa"/>
            <w:vAlign w:val="bottom"/>
          </w:tcPr>
          <w:p>
            <w:pPr>
              <w:jc w:val="right"/>
              <w:ind w:right="1000"/>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41</w:t>
            </w:r>
          </w:p>
        </w:tc>
        <w:tc>
          <w:tcPr>
            <w:tcW w:w="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As of December 31, 2021 the Company had outstanding letters of credit of $46 million and $44 million issued under the Amended ABL Credit Agreement and the L/C Facility Agreement, respectively, as well as bank guarantees and letters of credit of $2 million, surety bonds in the amount of $28 million, and restricted cash of $61 million, primarily related to cash collateral for the outstanding letters of credit under the L/C Facility Agreement, to ensure the payment of possible casualty and workers compensation claims, environmental liabilities, legal contingencies, rental payments, and to support various customs, hedging, tax and trade activities. The restricted cash is recorded in Current assets and Restricted cash in the Consolidated Statement of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Kodak’s Brazilian operations are involved in various litigation matters and have received or been the subject of numerous governmental assessments related to</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indirect and other taxes in various stages of litigation, as well as civil litigation and disputes associated with former employees and contract labor. The tax</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matters, which comprise the majority of the litigation matters, are primarily related to federal and state value-added taxes and income taxes. Kodak’s Brazilian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operations are disputing these matters and intend to vigorously defend their position. Kodak routinely assesses these matters as to the probability of ultimately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incurring a liability in its Brazilian operations and records its best estimate of the ultimate loss in situations where it assesses the likelihood of loss as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probable. As of December 31, 2021, Kodak’s Brazilian Operations maintained accruals of approximately $2 million for claims aggregating approximately $114</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million inclusive of interest and penalties where appropriate and the unreserved portion of these contingencies, inclusive of any related interest and penalties, for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which there was at least a reasonable possibility that a loss may be incurred, amounted to approximately $4 million.</w:t>
      </w:r>
    </w:p>
    <w:p>
      <w:pPr>
        <w:spacing w:after="0" w:line="23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December 31, 2021, Kodak has posted security composed of $3 million of pledged cash reported within Restricted cash in the Consolidated Statement of Financial Position and liens on certain Brazilian assets with a net book value of approximately $39 million. Generally, any encumbrances on the Brazilian assets would be removed to the extent the matter is resolved in Kodak's favor.</w:t>
      </w: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The Securities Class Actions were transferred to the Federal District Court for the Western District of New York and were consolidated into a single proceeding (the “Consolidated Securities Class Action”) on June 22, 2021. Les Investissements Kiz Inc. and UAT Trading Service, Inc. were appointed by the court to serve as lead plaintiff for the Consolidated Securities Class Action on August 2, 2021, and the lead plaintiff filed an amended consolidated complaint on October 1, 2021 which added Kodak’s General Counsel and current and former members of its Board of Directors as additional defendants. The Company and individual defendants filed motions to dismiss the Consolidated Securities Class Action on December 14, 2021, and the lead plaintiff filed an opposition to the motions to dismiss on February 28, 2022. The Company intends to continue to vigorously defend itself against the Consolidated Securities Class Action.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spacing w:after="0"/>
        <w:rPr>
          <w:sz w:val="20"/>
          <w:szCs w:val="20"/>
          <w:color w:val="auto"/>
        </w:rPr>
      </w:pPr>
      <w:r>
        <w:rPr>
          <w:rFonts w:ascii="Arial" w:cs="Arial" w:eastAsia="Arial" w:hAnsi="Arial"/>
          <w:sz w:val="15"/>
          <w:szCs w:val="15"/>
          <w:color w:val="auto"/>
        </w:rPr>
        <w:t>On December 29, 2020 Robert Garfield commenced a class action lawsuit against the Company and current and former members of its Board of Directors in the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Superior Court of Mercer County, New Jersey seeking equitable relief and damages in favor of the Company based on alleged breaches of fiduciary duty by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associated with alleged false and misleading proxy statement disclosures (including the successor New York lawsuit discussed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below, the “Fiduciary Class Action”). The Company and each of the individual defendants filed motions to dismiss the Fiduciary Class Action on April 13,</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2021. The plaintiff in the Fiduciary Class Action voluntarily dismissed the Fiduciary Class Action without prejudice on May 26, 2021 and filed a lawsuit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substantially similar to the dismissed New Jersey lawsuit in the Supreme Court of the State of New York in Monroe County on October 27, 2021, this time 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behalf of a purported class of beneficial and record owners of stock of the Company as of March 26, 2020 who continue to own such stock through the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present. The Company and individual defendants filed motions to dismiss the Fiduciary Class Action on January 19, 2022. The Company intends to continue to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vigorously defend itself against the Fiduciary Class Action.</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 has also received five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“Derivative Demands”). On May 19, 2021 Louis Peters, one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August 23, 2021, and the Company and individual defendants filed motions to dismiss (or alternatively, in the case of the Company, a motion for summary judgment) in the State Derivative Lawsuit on October 22, 2021. The parties have agreed to stay the State Derivative Lawsuit pending the resolution of the Federal Derivative Lawsuit described below, which stay is subject to Court approval.</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September 2, 2021 Herbert Silverberg, another person making a Derivative Demand (“Silverberg”), commenced a derivative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October 4, 2021 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10(b) of the Exchange Act. The Federal derivative lawsuits filed by Silverberg and Peters were consolidated into a single proceeding (the “Federal Derivative Lawsuit”) on January 18, 2022, and Peters was appointed as lead plaintiff in the Federal Derivative Lawsuit. An amended consolidated complaint combining the allegations contained in the Federal derivative lawsuits filed by Silverberg and Peters was filed in the Federal Derivative Lawsuit on February 16, 2022.</w:t>
      </w:r>
    </w:p>
    <w:p>
      <w:pPr>
        <w:spacing w:after="0" w:line="8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Additional shareholder derivative lawsuits may 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no merit to the claims alleged by the Derivative Demands made through the time of its determination (except with respect to the charitable contribution, which was not fully considered by the Special Committee). See the Company’s Current Report on Form 8-K filed with the SEC on September 16, 2020. The Company, acting through a separate Special Litigation Committee of Independent Directors, concurred with the first Special Committee’s findings and further concluded it is not in the Company’s interest to bring or allow any other shareholder to assert any of the claims alleged by the State Derivative Lawsuit or Federal Derivative Lawsuit (with the exception of the Peters claim purportedly arising under Section 10(b) of the Exchange Act, which was not addressed as no demand was made with respect to such claim). The second Special Litigation Committee will carefully review any other additional complaints constituting Fiduciary Matters which may be filed.</w:t>
      </w:r>
    </w:p>
    <w:p>
      <w:pPr>
        <w:spacing w:after="0" w:line="6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DFC Announcement has also prompted investigations by several congressional committees, the SEC and the New York Attorney General’s office. The Company has cooperated in those investigations.</w:t>
      </w:r>
    </w:p>
    <w:p>
      <w:pPr>
        <w:spacing w:after="0" w:line="5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15, 2021 the Supreme Court of the State of New York in New York County issued an order providing for additional document production by the Company to the NYAG and the taking by the NYAG of investigative testimony of the Company’s Chief Executive Officer and General Counsel.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90" w:name="page91"/>
    <w:bookmarkEnd w:id="90"/>
    <w:p>
      <w:pPr>
        <w:ind w:right="140"/>
        <w:spacing w:after="0" w:line="266" w:lineRule="auto"/>
        <w:rPr>
          <w:sz w:val="20"/>
          <w:szCs w:val="20"/>
          <w:color w:val="auto"/>
        </w:rPr>
      </w:pPr>
      <w:r>
        <w:rPr>
          <w:rFonts w:ascii="Arial" w:cs="Arial" w:eastAsia="Arial" w:hAnsi="Arial"/>
          <w:sz w:val="17"/>
          <w:szCs w:val="17"/>
          <w:color w:val="auto"/>
        </w:rPr>
        <w:t>The Company has completed its document production and its officers provided the testimony as contemplated by such order on October 8, 2021 and October 1, 2021, respectively. The Company is in preliminary discussions with the NYAG regarding a potential resolution of the Threatened Claim; however, there can be no assurance that those discussions will lead to a resolution. If the Threatened Claim is not resolved and is ultimately brought by the NYAG, the Company intends to vigorously defend itself against the Threatened Claim.</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GUARANTEES</w:t>
      </w:r>
    </w:p>
    <w:p>
      <w:pPr>
        <w:spacing w:after="0" w:line="25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2021 was not material to Kodak’s financial position,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Extended Warranty Arrangements</w:t>
      </w:r>
    </w:p>
    <w:p>
      <w:pPr>
        <w:spacing w:after="0" w:line="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(in millions)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 on extended warranties as of December 31, 2019</w:t>
            </w:r>
          </w:p>
        </w:tc>
        <w:tc>
          <w:tcPr>
            <w:tcW w:w="148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New extended warranty and maintenance arrangements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revenue</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rPr>
              <w:t>Deferred revenue on extended warranties as of December 31, 2020</w:t>
            </w:r>
          </w:p>
        </w:tc>
        <w:tc>
          <w:tcPr>
            <w:tcW w:w="9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New extended warranty and maintenance arrangements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tcPr>
          <w:p>
            <w:pPr>
              <w:ind w:left="120"/>
              <w:spacing w:after="0"/>
              <w:rPr>
                <w:sz w:val="20"/>
                <w:szCs w:val="20"/>
                <w:color w:val="auto"/>
              </w:rPr>
            </w:pPr>
            <w:r>
              <w:rPr>
                <w:rFonts w:ascii="Arial" w:cs="Arial" w:eastAsia="Arial" w:hAnsi="Arial"/>
                <w:sz w:val="17"/>
                <w:szCs w:val="17"/>
                <w:color w:val="auto"/>
              </w:rPr>
              <w:t>revenue</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Deferred revenue on extended warranties as of December 31, 2021</w:t>
            </w:r>
          </w:p>
        </w:tc>
        <w:tc>
          <w:tcPr>
            <w:tcW w:w="9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shd w:val="clear" w:color="auto" w:fill="CFF0FC"/>
          </w:tcPr>
          <w:p>
            <w:pPr>
              <w:spacing w:after="0"/>
              <w:rPr>
                <w:sz w:val="18"/>
                <w:szCs w:val="18"/>
                <w:color w:val="auto"/>
              </w:rPr>
            </w:pPr>
          </w:p>
        </w:tc>
        <w:tc>
          <w:tcPr>
            <w:tcW w:w="148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Costs incurred under these extended warranty and maintenance arrangements for the years ended December 31, 2021, 2020 and 2019 amounted to $82 million, $88 million and $105 million,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NOTE 13: FINANCIAL INSTRUMENTS</w:t>
      </w:r>
    </w:p>
    <w:p>
      <w:pPr>
        <w:spacing w:after="0" w:line="25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Kodak’s exposure to changes in interest rates results from its investing and borrowing activities used to meet its liquidity needs. Kodak does not utilize financial instruments for trading or other speculative purposes.</w:t>
      </w:r>
    </w:p>
    <w:p>
      <w:pPr>
        <w:spacing w:after="0" w:line="6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earnings (loss) at the same time that the exposed assets and liabilities are re-measured through net earnings (loss) (both in Other (income) charges, net in the Consolidated Statement of Operations). The notional amount of such contracts open at December 31, 2021 and 2020 was approximately $322 million and $361 million, respectively. The majority of the contracts of this type held by Kodak at December 31, 2021 and 2020 were denominated in euros, Chinese renminbi and Japanese yen. The net effect of foreign currency forward contracts in the results of operations is shown in the following table:</w:t>
      </w:r>
    </w:p>
    <w:p>
      <w:pPr>
        <w:sectPr>
          <w:pgSz w:w="11900" w:h="16838" w:orient="portrait"/>
          <w:cols w:equalWidth="0" w:num="1">
            <w:col w:w="11240"/>
          </w:cols>
          <w:pgMar w:left="320" w:top="56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635</wp:posOffset>
            </wp:positionV>
            <wp:extent cx="5706110" cy="281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06110" cy="281305"/>
                    </a:xfrm>
                    <a:prstGeom prst="rect">
                      <a:avLst/>
                    </a:prstGeom>
                    <a:noFill/>
                  </pic:spPr>
                </pic:pic>
              </a:graphicData>
            </a:graphic>
          </wp:anchor>
        </w:drawing>
      </w:r>
    </w:p>
    <w:p>
      <w:pPr>
        <w:ind w:left="1260" w:right="540" w:hanging="129"/>
        <w:spacing w:after="0" w:line="286" w:lineRule="auto"/>
        <w:rPr>
          <w:sz w:val="20"/>
          <w:szCs w:val="20"/>
          <w:color w:val="auto"/>
        </w:rPr>
      </w:pPr>
      <w:r>
        <w:rPr>
          <w:rFonts w:ascii="Arial" w:cs="Arial" w:eastAsia="Arial" w:hAnsi="Arial"/>
          <w:sz w:val="17"/>
          <w:szCs w:val="17"/>
          <w:color w:val="auto"/>
        </w:rPr>
        <w:t>Net (gain) loss from derivatives not designated as hedging instruments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760" w:type="dxa"/>
            <w:vAlign w:val="bottom"/>
          </w:tcPr>
          <w:p>
            <w:pPr>
              <w:spacing w:after="0"/>
              <w:rPr>
                <w:sz w:val="19"/>
                <w:szCs w:val="19"/>
                <w:color w:val="auto"/>
              </w:rPr>
            </w:pPr>
          </w:p>
        </w:tc>
        <w:tc>
          <w:tcPr>
            <w:tcW w:w="2060" w:type="dxa"/>
            <w:vAlign w:val="bottom"/>
            <w:gridSpan w:val="7"/>
          </w:tcPr>
          <w:p>
            <w:pPr>
              <w:jc w:val="center"/>
              <w:spacing w:after="0"/>
              <w:rPr>
                <w:sz w:val="20"/>
                <w:szCs w:val="20"/>
                <w:color w:val="auto"/>
              </w:rPr>
            </w:pPr>
            <w:r>
              <w:rPr>
                <w:rFonts w:ascii="Arial" w:cs="Arial" w:eastAsia="Arial" w:hAnsi="Arial"/>
                <w:sz w:val="17"/>
                <w:szCs w:val="17"/>
                <w:b w:val="1"/>
                <w:bCs w:val="1"/>
                <w:color w:val="auto"/>
                <w:w w:val="92"/>
              </w:rPr>
              <w:t>Year Ended December 31,</w:t>
            </w:r>
          </w:p>
        </w:tc>
        <w:tc>
          <w:tcPr>
            <w:tcW w:w="780" w:type="dxa"/>
            <w:vAlign w:val="bottom"/>
          </w:tcPr>
          <w:p>
            <w:pPr>
              <w:spacing w:after="0"/>
              <w:rPr>
                <w:sz w:val="19"/>
                <w:szCs w:val="19"/>
                <w:color w:val="auto"/>
              </w:rPr>
            </w:pPr>
          </w:p>
        </w:tc>
      </w:tr>
      <w:tr>
        <w:trPr>
          <w:trHeight w:val="227"/>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r>
      <w:tr>
        <w:trPr>
          <w:trHeight w:val="423"/>
        </w:trPr>
        <w:tc>
          <w:tcPr>
            <w:tcW w:w="760" w:type="dxa"/>
            <w:vAlign w:val="bottom"/>
          </w:tcPr>
          <w:p>
            <w:pPr>
              <w:jc w:val="right"/>
              <w:ind w:right="599"/>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  $</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222" w:lineRule="exact"/>
        <w:rPr>
          <w:sz w:val="20"/>
          <w:szCs w:val="20"/>
          <w:color w:val="auto"/>
        </w:rPr>
      </w:pPr>
    </w:p>
    <w:p>
      <w:pPr>
        <w:sectPr>
          <w:pgSz w:w="11900" w:h="16838" w:orient="portrait"/>
          <w:cols w:equalWidth="0" w:num="2">
            <w:col w:w="5720" w:space="720"/>
            <w:col w:w="4800"/>
          </w:cols>
          <w:pgMar w:left="320" w:top="564" w:right="339" w:bottom="1440" w:gutter="0" w:footer="0" w:header="0"/>
          <w:type w:val="continuous"/>
        </w:sectPr>
      </w:pPr>
    </w:p>
    <w:p>
      <w:pPr>
        <w:ind w:right="260"/>
        <w:spacing w:after="0" w:line="266" w:lineRule="auto"/>
        <w:rPr>
          <w:sz w:val="20"/>
          <w:szCs w:val="20"/>
          <w:color w:val="auto"/>
        </w:rPr>
      </w:pPr>
      <w:r>
        <w:rPr>
          <w:rFonts w:ascii="Arial" w:cs="Arial" w:eastAsia="Arial" w:hAnsi="Arial"/>
          <w:sz w:val="17"/>
          <w:szCs w:val="17"/>
          <w:color w:val="auto"/>
        </w:rPr>
        <w:t>Kodak had no derivatives designated as hedging instruments for the years ended December 31, 2021 and 2020. 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2021 was not significant to Kodak.</w:t>
      </w:r>
    </w:p>
    <w:p>
      <w:pPr>
        <w:spacing w:after="0" w:line="201"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discussed in Note 8, “Debt and Finance Leases”, the Company concluded that the 2021 Convertible Notes are more akin to a debt-type instrument and that the economic characteristics and risks of the embedded conversion features are not considered clearly and closely related to the 2021 Convertible Notes. The embedded conversion features not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2021 Convertible Notes and separately accounted for on a combined basis as a single derivative asset or liability. The derivative was in a liability position at December 31, 2021 and was reported in Other long-term liabilities in the Consolidated Statement of Financial Position. The derivative is being accounted for at fair value with changes in fair value included in Other (income) charges, net in the Consolidated Statement of Operations.</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discussed in Note 9, “Redeemable, Convertible, Preferred Stock”, the Company concluded that the Series B Preferred Stock and the Series C Preferred Stock are more akin to a debt-type instrument and that the economic characteristics and risks of the conversion in the event of a Fundamental Change is not considered clearly and closely related to the Series B and Series C Preferred Stock. Accordingly, this embedded conversion feature was bifurcated from both the Series B and Series C Preferred Stock and are separately accounted for as a derivative asset or liability. Both derivatives were in a liability position at December 31, 2021 and were reported in Other long-term liabilities in the Consolidated Statement of Financial Position. The derivatives are being accounted for at fair value with changes in fair value included in Other (income) charges, net in the Consolidated Statement of Operations.</w:t>
      </w:r>
    </w:p>
    <w:p>
      <w:pPr>
        <w:spacing w:after="0" w:line="19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concluded that the Series A Preferred Stock was more akin to a debt-type instrument and that the economic characteristics and risks of the embedded conversion features, except where the conversion price was increased to the liquidation preference, were not considered clearly and closely related to the Series A Preferred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type w:val="continuous"/>
        </w:sectPr>
      </w:pPr>
    </w:p>
    <w:bookmarkStart w:id="92" w:name="page93"/>
    <w:bookmarkEnd w:id="92"/>
    <w:p>
      <w:pPr>
        <w:spacing w:after="0" w:line="257" w:lineRule="auto"/>
        <w:rPr>
          <w:sz w:val="20"/>
          <w:szCs w:val="20"/>
          <w:color w:val="auto"/>
        </w:rPr>
      </w:pPr>
      <w:r>
        <w:rPr>
          <w:rFonts w:ascii="Arial" w:cs="Arial" w:eastAsia="Arial" w:hAnsi="Arial"/>
          <w:sz w:val="17"/>
          <w:szCs w:val="17"/>
          <w:color w:val="auto"/>
        </w:rPr>
        <w:t>The embedded conversion features not considered clearly and closely related were the conversion at the option of the holder, the ability of Kodak to automatically convert the stock after the second anniversary of issuance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embedded conversion features were revalued as of February 26, 2021 when the Company repurchased one million shares of Series A Preferred Stock and exchanged the remaining one million shares of Series A Preferred Stock for Series B Preferred Stock. The revaluation as of February 26, 2021 resulted in the recognition of $2 million of net expense which was included in Other (income) charges, net in the Consolidated Statement of Operations. With the repurchase and exchange of the shares of the Series A Preferred Stock the embedded conversion features derivative liability expired.</w:t>
      </w:r>
    </w:p>
    <w:p>
      <w:pPr>
        <w:spacing w:after="0" w:line="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derivative was in a liability position at December 31, 2020 and was reported in Other current liabilities in the Consolidated Statement of Financial Position. The derivative was being accounted for at fair value with changes in fair value included in Other (income) charges, net in the Consolidated Statement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8, “Debt and Finance Leases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concluded that the 2019 Convertible Notes were more akin to a debt-type instrument and that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economic characteristics and risks of the embedded conversion features and term extension option were not considered clearly and closely related to the 2019</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The embedded conversion features not considered clearly and closely related are the conversion at the option of the holder (“Optional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Conversion”) and the conversion in the event of a fundamental change or reorganization. Accordingly, these embedded conversion features and the term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extension option were bifurcated from the 2019 Convertible Notes and separately accounted for on a combined basis as a single derivative asset or liability.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embedded conversion features and term extension option were revalued as of August 3, 2020, when the Initial Conversion Shares were issued, resulting in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recognition of $407 million of expense for a pro-rata portion of the embedded conversion features and term extension option. The remaining embedded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conversion features and term extension option were revalued again as of the Mandatory Conversion date, resulting in the recognition of $9 million of net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expense. With the conversion of the 2019 Convertible Notes in the third quarter of 2020, the embedded conversion features and term extension option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expired. The derivative was being accounted for at fair value with changes in fair value reported in Other (income) charges, net in the Consolidated Statement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Operations.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December 31, 2021 and 2020 was $0 million and $1 million, respectively. The gross fair value of the foreign currency forward contracts in a liability position as of December 31, 2021 and 2020 was $0 million in both periods.</w:t>
      </w:r>
    </w:p>
    <w:p>
      <w:pPr>
        <w:spacing w:after="0" w:line="19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fair value of the embedded conversion features derivatives was calculated using unobservable inputs (Level 3 fair measurements). The value of the embedded derivatives associated with the 2021 Convertible Notes and Series A, Series B and Series C Preferred Stock was calculated using a binomial lattice model.</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Except for the fair value determined at the time of conversion, the fair value of the embedded conversion features and term extension option for the 2019 Convertible Notes derivatives was calculated using unobservable inputs (Level 3 fair measurements). The value of the Optional Conversion feature associated with the 2019 Convertible Notes was calculated using a binomial lattice model. The value of the term extension option reflected the probability weighted average value of the 2019 Convertible Notes using the original maturity date and a hypothetical extended maturity date, with all other contractual terms unchanged. The fair value of the embedded conversion features and term extension option for the 2019 Convertible Notes were revalued as of the conversion dates, August 3, 2020 and September 30, 2020. The fair value of the embedded derivative at each conversion date was calculated based on the fair value of the shares issued less the fair value of debt. The fair value of shares issued is based on the weighted average stock price at the time of day the shares were transferred for August 3, 2020, and the closing stock price as of September 30, 2020. The fair value of debt is based on pricing models based on the value of related cash flows discounted at current market interest rates.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t>The following tables present the key inputs in the determination of fair value for the embedded conversion features: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gridSpan w:val="3"/>
          </w:tcPr>
          <w:p>
            <w:pPr>
              <w:spacing w:after="0"/>
              <w:rPr>
                <w:sz w:val="20"/>
                <w:szCs w:val="20"/>
                <w:color w:val="auto"/>
              </w:rPr>
            </w:pPr>
            <w:r>
              <w:rPr>
                <w:rFonts w:ascii="Arial" w:cs="Arial" w:eastAsia="Arial" w:hAnsi="Arial"/>
                <w:sz w:val="17"/>
                <w:szCs w:val="17"/>
                <w:color w:val="auto"/>
              </w:rPr>
              <w:t>2021 Convertible Notes:</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7"/>
                <w:szCs w:val="17"/>
                <w:b w:val="1"/>
                <w:bCs w:val="1"/>
                <w:color w:val="auto"/>
              </w:rPr>
              <w:t>Valuation Date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1960" w:type="dxa"/>
            <w:vAlign w:val="bottom"/>
            <w:gridSpan w:val="8"/>
          </w:tcPr>
          <w:p>
            <w:pPr>
              <w:jc w:val="center"/>
              <w:ind w:right="760"/>
              <w:spacing w:after="0"/>
              <w:rPr>
                <w:sz w:val="20"/>
                <w:szCs w:val="20"/>
                <w:color w:val="auto"/>
              </w:rPr>
            </w:pPr>
            <w:r>
              <w:rPr>
                <w:rFonts w:ascii="Arial" w:cs="Arial" w:eastAsia="Arial" w:hAnsi="Arial"/>
                <w:sz w:val="17"/>
                <w:szCs w:val="17"/>
                <w:b w:val="1"/>
                <w:bCs w:val="1"/>
                <w:color w:val="auto"/>
                <w:w w:val="94"/>
              </w:rPr>
              <w:t>February 26,</w:t>
            </w:r>
          </w:p>
        </w:tc>
      </w:tr>
      <w:tr>
        <w:trPr>
          <w:trHeight w:val="227"/>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gridSpan w:val="4"/>
          </w:tcPr>
          <w:p>
            <w:pPr>
              <w:jc w:val="center"/>
              <w:ind w:left="333"/>
              <w:spacing w:after="0"/>
              <w:rPr>
                <w:sz w:val="20"/>
                <w:szCs w:val="20"/>
                <w:color w:val="auto"/>
              </w:rPr>
            </w:pPr>
            <w:r>
              <w:rPr>
                <w:rFonts w:ascii="Arial" w:cs="Arial" w:eastAsia="Arial" w:hAnsi="Arial"/>
                <w:sz w:val="17"/>
                <w:szCs w:val="17"/>
                <w:b w:val="1"/>
                <w:bCs w:val="1"/>
                <w:color w:val="auto"/>
                <w:w w:val="95"/>
              </w:rPr>
              <w:t>2021</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(in millions)</w:t>
            </w:r>
          </w:p>
        </w:tc>
        <w:tc>
          <w:tcPr>
            <w:tcW w:w="5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53"/>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4.68</w:t>
            </w:r>
          </w:p>
        </w:tc>
        <w:tc>
          <w:tcPr>
            <w:tcW w:w="220" w:type="dxa"/>
            <w:vAlign w:val="bottom"/>
          </w:tcPr>
          <w:p>
            <w:pPr>
              <w:spacing w:after="0"/>
              <w:rPr>
                <w:sz w:val="19"/>
                <w:szCs w:val="19"/>
                <w:color w:val="auto"/>
              </w:rPr>
            </w:pPr>
          </w:p>
        </w:tc>
        <w:tc>
          <w:tcPr>
            <w:tcW w:w="42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8.62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0.80%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Implied credit spread on the 2021 Convertible Notes</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18.89%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18.25%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3"/>
        </w:trPr>
        <w:tc>
          <w:tcPr>
            <w:tcW w:w="5860" w:type="dxa"/>
            <w:vAlign w:val="bottom"/>
            <w:gridSpan w:val="3"/>
          </w:tcPr>
          <w:p>
            <w:pPr>
              <w:spacing w:after="0"/>
              <w:rPr>
                <w:sz w:val="20"/>
                <w:szCs w:val="20"/>
                <w:color w:val="auto"/>
              </w:rPr>
            </w:pPr>
            <w:r>
              <w:rPr>
                <w:rFonts w:ascii="Arial" w:cs="Arial" w:eastAsia="Arial" w:hAnsi="Arial"/>
                <w:sz w:val="17"/>
                <w:szCs w:val="17"/>
                <w:color w:val="auto"/>
              </w:rPr>
              <w:t>Series B Preferred Stock:</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7"/>
                <w:szCs w:val="17"/>
                <w:b w:val="1"/>
                <w:bCs w:val="1"/>
                <w:color w:val="auto"/>
              </w:rPr>
              <w:t>Valuation Date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9"/>
              </w:rPr>
              <w:t>December 31,</w:t>
            </w:r>
          </w:p>
        </w:tc>
        <w:tc>
          <w:tcPr>
            <w:tcW w:w="100" w:type="dxa"/>
            <w:vAlign w:val="bottom"/>
          </w:tcPr>
          <w:p>
            <w:pPr>
              <w:spacing w:after="0"/>
              <w:rPr>
                <w:sz w:val="19"/>
                <w:szCs w:val="19"/>
                <w:color w:val="auto"/>
              </w:rPr>
            </w:pPr>
          </w:p>
        </w:tc>
        <w:tc>
          <w:tcPr>
            <w:tcW w:w="1960" w:type="dxa"/>
            <w:vAlign w:val="bottom"/>
            <w:gridSpan w:val="8"/>
          </w:tcPr>
          <w:p>
            <w:pPr>
              <w:jc w:val="center"/>
              <w:ind w:right="760"/>
              <w:spacing w:after="0"/>
              <w:rPr>
                <w:sz w:val="20"/>
                <w:szCs w:val="20"/>
                <w:color w:val="auto"/>
              </w:rPr>
            </w:pPr>
            <w:r>
              <w:rPr>
                <w:rFonts w:ascii="Arial" w:cs="Arial" w:eastAsia="Arial" w:hAnsi="Arial"/>
                <w:sz w:val="17"/>
                <w:szCs w:val="17"/>
                <w:b w:val="1"/>
                <w:bCs w:val="1"/>
                <w:color w:val="auto"/>
                <w:w w:val="94"/>
              </w:rPr>
              <w:t>February 26,</w:t>
            </w:r>
          </w:p>
        </w:tc>
      </w:tr>
      <w:tr>
        <w:trPr>
          <w:trHeight w:val="227"/>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gridSpan w:val="4"/>
          </w:tcPr>
          <w:p>
            <w:pPr>
              <w:jc w:val="center"/>
              <w:ind w:left="333"/>
              <w:spacing w:after="0"/>
              <w:rPr>
                <w:sz w:val="20"/>
                <w:szCs w:val="20"/>
                <w:color w:val="auto"/>
              </w:rPr>
            </w:pPr>
            <w:r>
              <w:rPr>
                <w:rFonts w:ascii="Arial" w:cs="Arial" w:eastAsia="Arial" w:hAnsi="Arial"/>
                <w:sz w:val="17"/>
                <w:szCs w:val="17"/>
                <w:b w:val="1"/>
                <w:bCs w:val="1"/>
                <w:color w:val="auto"/>
                <w:w w:val="95"/>
              </w:rPr>
              <w:t>2021</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(in millions)</w:t>
            </w:r>
          </w:p>
        </w:tc>
        <w:tc>
          <w:tcPr>
            <w:tcW w:w="5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53"/>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4.68</w:t>
            </w:r>
          </w:p>
        </w:tc>
        <w:tc>
          <w:tcPr>
            <w:tcW w:w="220" w:type="dxa"/>
            <w:vAlign w:val="bottom"/>
          </w:tcPr>
          <w:p>
            <w:pPr>
              <w:spacing w:after="0"/>
              <w:rPr>
                <w:sz w:val="19"/>
                <w:szCs w:val="19"/>
                <w:color w:val="auto"/>
              </w:rPr>
            </w:pPr>
          </w:p>
        </w:tc>
        <w:tc>
          <w:tcPr>
            <w:tcW w:w="42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8.62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0.80%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Implied credit spread on the Series B Preferred Stock</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19.39%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19.75%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3"/>
        </w:trPr>
        <w:tc>
          <w:tcPr>
            <w:tcW w:w="5860" w:type="dxa"/>
            <w:vAlign w:val="bottom"/>
            <w:gridSpan w:val="3"/>
          </w:tcPr>
          <w:p>
            <w:pPr>
              <w:spacing w:after="0"/>
              <w:rPr>
                <w:sz w:val="20"/>
                <w:szCs w:val="20"/>
                <w:color w:val="auto"/>
              </w:rPr>
            </w:pPr>
            <w:r>
              <w:rPr>
                <w:rFonts w:ascii="Arial" w:cs="Arial" w:eastAsia="Arial" w:hAnsi="Arial"/>
                <w:sz w:val="17"/>
                <w:szCs w:val="17"/>
                <w:color w:val="auto"/>
              </w:rPr>
              <w:t>Series C Preferred Stock:</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3"/>
              </w:rPr>
              <w:t>Valuation Date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w w:val="95"/>
              </w:rPr>
              <w:t>December 31,</w:t>
            </w:r>
          </w:p>
        </w:tc>
        <w:tc>
          <w:tcPr>
            <w:tcW w:w="100" w:type="dxa"/>
            <w:vAlign w:val="bottom"/>
          </w:tcPr>
          <w:p>
            <w:pPr>
              <w:spacing w:after="0"/>
              <w:rPr>
                <w:sz w:val="19"/>
                <w:szCs w:val="19"/>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6"/>
              </w:rPr>
              <w:t>March 30,</w:t>
            </w:r>
          </w:p>
        </w:tc>
        <w:tc>
          <w:tcPr>
            <w:tcW w:w="80" w:type="dxa"/>
            <w:vAlign w:val="bottom"/>
          </w:tcPr>
          <w:p>
            <w:pPr>
              <w:spacing w:after="0"/>
              <w:rPr>
                <w:sz w:val="19"/>
                <w:szCs w:val="19"/>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7"/>
                <w:szCs w:val="17"/>
                <w:b w:val="1"/>
                <w:bCs w:val="1"/>
                <w:color w:val="auto"/>
                <w:w w:val="94"/>
              </w:rPr>
              <w:t>February 26,</w:t>
            </w:r>
          </w:p>
        </w:tc>
      </w:tr>
      <w:tr>
        <w:trPr>
          <w:trHeight w:val="227"/>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center"/>
              <w:ind w:left="413"/>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center"/>
              <w:ind w:left="113"/>
              <w:spacing w:after="0"/>
              <w:rPr>
                <w:sz w:val="20"/>
                <w:szCs w:val="20"/>
                <w:color w:val="auto"/>
              </w:rPr>
            </w:pPr>
            <w:r>
              <w:rPr>
                <w:rFonts w:ascii="Arial" w:cs="Arial" w:eastAsia="Arial" w:hAnsi="Arial"/>
                <w:sz w:val="17"/>
                <w:szCs w:val="17"/>
                <w:b w:val="1"/>
                <w:bCs w:val="1"/>
                <w:color w:val="auto"/>
                <w:w w:val="89"/>
              </w:rPr>
              <w:t>2021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7"/>
                <w:szCs w:val="17"/>
                <w:color w:val="auto"/>
                <w:w w:val="96"/>
              </w:rPr>
              <w:t>(Inception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7"/>
                <w:szCs w:val="17"/>
                <w:color w:val="auto"/>
                <w:w w:val="96"/>
              </w:rPr>
              <w:t>(Inception -</w:t>
            </w:r>
          </w:p>
        </w:tc>
      </w:tr>
      <w:tr>
        <w:trPr>
          <w:trHeight w:val="221"/>
        </w:trPr>
        <w:tc>
          <w:tcPr>
            <w:tcW w:w="580" w:type="dxa"/>
            <w:vAlign w:val="bottom"/>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47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3"/>
              </w:rPr>
              <w:t>Final Sale)</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7"/>
                <w:szCs w:val="17"/>
                <w:color w:val="auto"/>
                <w:w w:val="97"/>
              </w:rPr>
              <w:t>Initial Sale)</w:t>
            </w:r>
          </w:p>
        </w:tc>
        <w:tc>
          <w:tcPr>
            <w:tcW w:w="160" w:type="dxa"/>
            <w:vAlign w:val="bottom"/>
            <w:tcBorders>
              <w:bottom w:val="single" w:sz="8" w:color="CFF0FC"/>
            </w:tcBorders>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528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(in millions)</w:t>
            </w:r>
          </w:p>
        </w:tc>
        <w:tc>
          <w:tcPr>
            <w:tcW w:w="1280" w:type="dxa"/>
            <w:vAlign w:val="bottom"/>
            <w:gridSpan w:val="2"/>
            <w:shd w:val="clear" w:color="auto" w:fill="CFF0FC"/>
          </w:tcPr>
          <w:p>
            <w:pPr>
              <w:jc w:val="right"/>
              <w:ind w:right="573"/>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5280" w:type="dxa"/>
            <w:vAlign w:val="bottom"/>
            <w:gridSpan w:val="2"/>
          </w:tcPr>
          <w:p>
            <w:pPr>
              <w:ind w:left="220"/>
              <w:spacing w:after="0"/>
              <w:rPr>
                <w:sz w:val="20"/>
                <w:szCs w:val="20"/>
                <w:color w:val="auto"/>
              </w:rPr>
            </w:pPr>
            <w:r>
              <w:rPr>
                <w:rFonts w:ascii="Arial" w:cs="Arial" w:eastAsia="Arial" w:hAnsi="Arial"/>
                <w:sz w:val="17"/>
                <w:szCs w:val="17"/>
                <w:color w:val="auto"/>
              </w:rPr>
              <w:t>Kodak's closing stock price</w:t>
            </w:r>
          </w:p>
        </w:tc>
        <w:tc>
          <w:tcPr>
            <w:tcW w:w="1280" w:type="dxa"/>
            <w:vAlign w:val="bottom"/>
            <w:gridSpan w:val="2"/>
          </w:tcPr>
          <w:p>
            <w:pPr>
              <w:jc w:val="right"/>
              <w:ind w:right="573"/>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4.68</w:t>
            </w:r>
          </w:p>
        </w:tc>
        <w:tc>
          <w:tcPr>
            <w:tcW w:w="200" w:type="dxa"/>
            <w:vAlign w:val="bottom"/>
          </w:tcPr>
          <w:p>
            <w:pPr>
              <w:spacing w:after="0"/>
              <w:rPr>
                <w:sz w:val="19"/>
                <w:szCs w:val="19"/>
                <w:color w:val="auto"/>
              </w:rPr>
            </w:pPr>
          </w:p>
        </w:tc>
        <w:tc>
          <w:tcPr>
            <w:tcW w:w="620" w:type="dxa"/>
            <w:vAlign w:val="bottom"/>
            <w:gridSpan w:val="2"/>
          </w:tcPr>
          <w:p>
            <w:pPr>
              <w:jc w:val="right"/>
              <w:ind w:right="3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8.05</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8.62</w:t>
            </w:r>
          </w:p>
        </w:tc>
        <w:tc>
          <w:tcPr>
            <w:tcW w:w="1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528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3"/>
              </w:rPr>
              <w:t>36.00%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3"/>
              </w:rPr>
              <w:t>70.00%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70.00%</w:t>
            </w:r>
          </w:p>
        </w:tc>
      </w:tr>
      <w:tr>
        <w:trPr>
          <w:trHeight w:val="221"/>
        </w:trPr>
        <w:tc>
          <w:tcPr>
            <w:tcW w:w="580" w:type="dxa"/>
            <w:vAlign w:val="bottom"/>
          </w:tcPr>
          <w:p>
            <w:pPr>
              <w:spacing w:after="0"/>
              <w:rPr>
                <w:sz w:val="19"/>
                <w:szCs w:val="19"/>
                <w:color w:val="auto"/>
              </w:rPr>
            </w:pPr>
          </w:p>
        </w:tc>
        <w:tc>
          <w:tcPr>
            <w:tcW w:w="5280" w:type="dxa"/>
            <w:vAlign w:val="bottom"/>
            <w:gridSpan w:val="2"/>
          </w:tcPr>
          <w:p>
            <w:pPr>
              <w:ind w:left="220"/>
              <w:spacing w:after="0"/>
              <w:rPr>
                <w:sz w:val="20"/>
                <w:szCs w:val="20"/>
                <w:color w:val="auto"/>
              </w:rPr>
            </w:pPr>
            <w:r>
              <w:rPr>
                <w:rFonts w:ascii="Arial" w:cs="Arial" w:eastAsia="Arial" w:hAnsi="Arial"/>
                <w:sz w:val="17"/>
                <w:szCs w:val="17"/>
                <w:color w:val="auto"/>
              </w:rPr>
              <w:t>Risk free rate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rPr>
              <w:t>0.94%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7"/>
                <w:szCs w:val="17"/>
                <w:color w:val="auto"/>
              </w:rPr>
              <w:t>0.80%</w:t>
            </w:r>
          </w:p>
        </w:tc>
      </w:tr>
      <w:tr>
        <w:trPr>
          <w:trHeight w:val="221"/>
        </w:trPr>
        <w:tc>
          <w:tcPr>
            <w:tcW w:w="580" w:type="dxa"/>
            <w:vAlign w:val="bottom"/>
          </w:tcPr>
          <w:p>
            <w:pPr>
              <w:spacing w:after="0"/>
              <w:rPr>
                <w:sz w:val="19"/>
                <w:szCs w:val="19"/>
                <w:color w:val="auto"/>
              </w:rPr>
            </w:pPr>
          </w:p>
        </w:tc>
        <w:tc>
          <w:tcPr>
            <w:tcW w:w="528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Implied credit spread on the Series C Preferred Stock</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3"/>
              </w:rPr>
              <w:t>21.39%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3"/>
              </w:rPr>
              <w:t>21.75%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21.75%</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gridSpan w:val="2"/>
          </w:tcPr>
          <w:p>
            <w:pPr>
              <w:spacing w:after="0"/>
              <w:rPr>
                <w:sz w:val="20"/>
                <w:szCs w:val="20"/>
                <w:color w:val="auto"/>
              </w:rPr>
            </w:pPr>
            <w:r>
              <w:rPr>
                <w:rFonts w:ascii="Arial" w:cs="Arial" w:eastAsia="Arial" w:hAnsi="Arial"/>
                <w:sz w:val="17"/>
                <w:szCs w:val="17"/>
                <w:color w:val="auto"/>
              </w:rPr>
              <w:t>Series A Preferred Stock:</w:t>
            </w: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1"/>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Arial" w:cs="Arial" w:eastAsia="Arial" w:hAnsi="Arial"/>
                <w:sz w:val="17"/>
                <w:szCs w:val="17"/>
                <w:b w:val="1"/>
                <w:bCs w:val="1"/>
                <w:color w:val="auto"/>
              </w:rPr>
              <w:t>Valuation Date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December 31,</w:t>
            </w:r>
          </w:p>
        </w:tc>
        <w:tc>
          <w:tcPr>
            <w:tcW w:w="56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February 26, 2021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7"/>
                <w:szCs w:val="17"/>
                <w:color w:val="auto"/>
              </w:rPr>
              <w:t>Total value of embedded derivative liability (in millions)</w:t>
            </w:r>
          </w:p>
        </w:tc>
        <w:tc>
          <w:tcPr>
            <w:tcW w:w="294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Kodak's closing stock price</w:t>
            </w:r>
          </w:p>
        </w:tc>
        <w:tc>
          <w:tcPr>
            <w:tcW w:w="2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8.14</w:t>
            </w:r>
          </w:p>
        </w:tc>
        <w:tc>
          <w:tcPr>
            <w:tcW w:w="1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7"/>
                <w:szCs w:val="17"/>
                <w:color w:val="auto"/>
              </w:rPr>
              <w:t>Expected stock price volatility</w:t>
            </w: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137.53%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133.44%</w:t>
            </w: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Risk free rate</w:t>
            </w:r>
          </w:p>
        </w:tc>
        <w:tc>
          <w:tcPr>
            <w:tcW w:w="2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0.10%</w:t>
            </w: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7"/>
                <w:szCs w:val="17"/>
                <w:color w:val="auto"/>
              </w:rPr>
              <w:t>Yield on the Series A Preferred Stock</w:t>
            </w: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11.97%</w:t>
            </w:r>
          </w:p>
        </w:tc>
        <w:tc>
          <w:tcPr>
            <w:tcW w:w="560" w:type="dxa"/>
            <w:vAlign w:val="bottom"/>
          </w:tcPr>
          <w:p>
            <w:pPr>
              <w:spacing w:after="0"/>
              <w:rPr>
                <w:sz w:val="19"/>
                <w:szCs w:val="19"/>
                <w:color w:val="auto"/>
              </w:rPr>
            </w:pPr>
          </w:p>
        </w:tc>
      </w:tr>
      <w:tr>
        <w:trPr>
          <w:trHeight w:val="651"/>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40" w:type="dxa"/>
            <w:vAlign w:val="bottom"/>
          </w:tcPr>
          <w:p>
            <w:pPr>
              <w:jc w:val="right"/>
              <w:ind w:right="1773"/>
              <w:spacing w:after="0"/>
              <w:rPr>
                <w:sz w:val="20"/>
                <w:szCs w:val="20"/>
                <w:color w:val="auto"/>
              </w:rPr>
            </w:pPr>
            <w:r>
              <w:rPr>
                <w:rFonts w:ascii="Arial" w:cs="Arial" w:eastAsia="Arial" w:hAnsi="Arial"/>
                <w:sz w:val="17"/>
                <w:szCs w:val="17"/>
                <w:color w:val="auto"/>
              </w:rPr>
              <w:t>94</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1"/>
        </w:trPr>
        <w:tc>
          <w:tcPr>
            <w:tcW w:w="6480" w:type="dxa"/>
            <w:vAlign w:val="bottom"/>
            <w:gridSpan w:val="2"/>
          </w:tcPr>
          <w:p>
            <w:pPr>
              <w:spacing w:after="0"/>
              <w:rPr>
                <w:sz w:val="20"/>
                <w:szCs w:val="20"/>
                <w:color w:val="auto"/>
              </w:rPr>
            </w:pPr>
            <w:r>
              <w:rPr>
                <w:rFonts w:ascii="Arial" w:cs="Arial" w:eastAsia="Arial" w:hAnsi="Arial"/>
                <w:sz w:val="17"/>
                <w:szCs w:val="17"/>
                <w:color w:val="auto"/>
              </w:rPr>
              <w:t>2019 Convertible Notes: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1"/>
        </w:trPr>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6"/>
          </w:tcPr>
          <w:p>
            <w:pPr>
              <w:jc w:val="right"/>
              <w:ind w:right="1020"/>
              <w:spacing w:after="0"/>
              <w:rPr>
                <w:sz w:val="20"/>
                <w:szCs w:val="20"/>
                <w:color w:val="auto"/>
              </w:rPr>
            </w:pPr>
            <w:r>
              <w:rPr>
                <w:rFonts w:ascii="Arial" w:cs="Arial" w:eastAsia="Arial" w:hAnsi="Arial"/>
                <w:sz w:val="17"/>
                <w:szCs w:val="17"/>
                <w:b w:val="1"/>
                <w:bCs w:val="1"/>
                <w:color w:val="auto"/>
              </w:rPr>
              <w:t>Valuation Date</w:t>
            </w:r>
          </w:p>
        </w:tc>
      </w:tr>
      <w:tr>
        <w:trPr>
          <w:trHeight w:val="221"/>
        </w:trPr>
        <w:tc>
          <w:tcPr>
            <w:tcW w:w="11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August 3,</w:t>
            </w:r>
          </w:p>
        </w:tc>
      </w:tr>
      <w:tr>
        <w:trPr>
          <w:trHeight w:val="227"/>
        </w:trPr>
        <w:tc>
          <w:tcPr>
            <w:tcW w:w="1140" w:type="dxa"/>
            <w:vAlign w:val="bottom"/>
          </w:tcPr>
          <w:p>
            <w:pPr>
              <w:spacing w:after="0"/>
              <w:rPr>
                <w:sz w:val="19"/>
                <w:szCs w:val="19"/>
                <w:color w:val="auto"/>
              </w:rPr>
            </w:pPr>
          </w:p>
        </w:tc>
        <w:tc>
          <w:tcPr>
            <w:tcW w:w="534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CFF0FC"/>
            </w:tcBorders>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immediately</w:t>
            </w: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21"/>
        </w:trPr>
        <w:tc>
          <w:tcPr>
            <w:tcW w:w="1140" w:type="dxa"/>
            <w:vAlign w:val="bottom"/>
          </w:tcPr>
          <w:p>
            <w:pPr>
              <w:spacing w:after="0"/>
              <w:rPr>
                <w:sz w:val="19"/>
                <w:szCs w:val="19"/>
                <w:color w:val="auto"/>
              </w:rPr>
            </w:pPr>
          </w:p>
        </w:tc>
        <w:tc>
          <w:tcPr>
            <w:tcW w:w="53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prior to extinguishment (in millions)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w:t>
            </w:r>
          </w:p>
        </w:tc>
        <w:tc>
          <w:tcPr>
            <w:tcW w:w="160" w:type="dxa"/>
            <w:vAlign w:val="bottom"/>
            <w:shd w:val="clear" w:color="auto" w:fill="CFF0FC"/>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7"/>
                <w:szCs w:val="17"/>
                <w:color w:val="auto"/>
              </w:rPr>
              <w:t>Value of embedded derivative liability that expired (in millions)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416</w:t>
            </w:r>
          </w:p>
        </w:tc>
        <w:tc>
          <w:tcPr>
            <w:tcW w:w="16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Value of remaining embedded derivative liability (in millions)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7"/>
                <w:szCs w:val="17"/>
                <w:color w:val="auto"/>
              </w:rPr>
              <w:t xml:space="preserve">Kodak's closing stock price </w:t>
            </w:r>
            <w:r>
              <w:rPr>
                <w:rFonts w:ascii="Arial" w:cs="Arial" w:eastAsia="Arial" w:hAnsi="Arial"/>
                <w:sz w:val="14"/>
                <w:szCs w:val="14"/>
                <w:color w:val="auto"/>
              </w:rPr>
              <w:t>(1)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16.91</w:t>
            </w:r>
          </w:p>
        </w:tc>
        <w:tc>
          <w:tcPr>
            <w:tcW w:w="16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Risk free rate</w:t>
            </w: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0.12%</w:t>
            </w:r>
          </w:p>
        </w:tc>
      </w:tr>
      <w:tr>
        <w:trPr>
          <w:trHeight w:val="221"/>
        </w:trPr>
        <w:tc>
          <w:tcPr>
            <w:tcW w:w="114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7"/>
                <w:szCs w:val="17"/>
                <w:color w:val="auto"/>
              </w:rPr>
              <w:t>Implied credit spread on the 2019 Convertible Notes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9.47%</w:t>
            </w:r>
          </w:p>
        </w:tc>
      </w:tr>
    </w:tbl>
    <w:p>
      <w:pPr>
        <w:spacing w:after="0" w:line="222" w:lineRule="exact"/>
        <w:rPr>
          <w:sz w:val="20"/>
          <w:szCs w:val="20"/>
          <w:color w:val="auto"/>
        </w:rPr>
      </w:pPr>
    </w:p>
    <w:p>
      <w:pPr>
        <w:ind w:left="1300" w:right="760" w:hanging="371"/>
        <w:spacing w:after="0" w:line="286" w:lineRule="auto"/>
        <w:tabs>
          <w:tab w:leader="none" w:pos="1300" w:val="left"/>
        </w:tabs>
        <w:numPr>
          <w:ilvl w:val="0"/>
          <w:numId w:val="35"/>
        </w:numPr>
        <w:rPr>
          <w:rFonts w:ascii="Arial" w:cs="Arial" w:eastAsia="Arial" w:hAnsi="Arial"/>
          <w:sz w:val="15"/>
          <w:szCs w:val="15"/>
          <w:color w:val="auto"/>
        </w:rPr>
      </w:pPr>
      <w:r>
        <w:rPr>
          <w:rFonts w:ascii="Arial" w:cs="Arial" w:eastAsia="Arial" w:hAnsi="Arial"/>
          <w:sz w:val="17"/>
          <w:szCs w:val="17"/>
          <w:color w:val="auto"/>
        </w:rPr>
        <w:t>The closing stock price was used for the September 30, 2020 valuation. The weighted average stock price based on the time of day the shares were transferred was used for the August 3, 2020 valuation.</w:t>
      </w:r>
    </w:p>
    <w:p>
      <w:pPr>
        <w:spacing w:after="0" w:line="185" w:lineRule="exact"/>
        <w:rPr>
          <w:sz w:val="20"/>
          <w:szCs w:val="20"/>
          <w:color w:val="auto"/>
        </w:rPr>
      </w:pPr>
    </w:p>
    <w:p>
      <w:pPr>
        <w:ind w:right="220"/>
        <w:spacing w:after="0" w:line="306" w:lineRule="auto"/>
        <w:rPr>
          <w:sz w:val="20"/>
          <w:szCs w:val="20"/>
          <w:color w:val="auto"/>
        </w:rPr>
      </w:pPr>
      <w:r>
        <w:rPr>
          <w:rFonts w:ascii="Arial" w:cs="Arial" w:eastAsia="Arial" w:hAnsi="Arial"/>
          <w:sz w:val="15"/>
          <w:szCs w:val="15"/>
          <w:color w:val="auto"/>
        </w:rPr>
        <w:t>The Fundamental Change Conversion values at issuance were calculated as the difference between the total value of the 2021 Convertible Notes, Series B or Series C Preferred Stock, as applicable, and the sum of the net present value of the cash flows if the 2021 Convertible Notes are repaid at their maturity or the Series B and Series C Preferred Stock is redeemed on its redemption date and the values of the other embedded derivatives. The Fundamental Change Conversion value reduces the value of the embedded conversion features derivative liability. Other than events which alter the likelihood of a fundamental change, the value of the Fundamental Change Conversion reflects the value as of the issuance date, amortized for the passage of time.</w:t>
      </w:r>
    </w:p>
    <w:p>
      <w:pPr>
        <w:spacing w:after="0" w:line="177"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The calculation of the Fundamental Change and Reorganization Conversion values for the 2019 Convertible Notes and Series A Preferred Stock was the same as the calculation described above for the Fundamental Change Conversion values for the 2021 Convertible Notes and Series B and C Preferred Stock.</w:t>
      </w:r>
    </w:p>
    <w:p>
      <w:pPr>
        <w:spacing w:after="0" w:line="1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fair values of long-term borrowings were $269 million and $17 million at December 31, 2021 and 2020, respectively. Fair values of long-term borrowings (Level 2 fair value measurements) are determined by reference to quoted market prices, if available, or by pricing models based on the value of related cash flows discounted at current market interest rates.</w:t>
      </w:r>
    </w:p>
    <w:p>
      <w:pPr>
        <w:spacing w:after="0" w:line="197" w:lineRule="exact"/>
        <w:rPr>
          <w:sz w:val="20"/>
          <w:szCs w:val="20"/>
          <w:color w:val="auto"/>
        </w:rPr>
      </w:pPr>
    </w:p>
    <w:p>
      <w:pPr>
        <w:ind w:right="980"/>
        <w:spacing w:after="0" w:line="286"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restricted cash and the current portion of long-term borrowings approximate their fair values.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NOTE 14: REVENUE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revenue disaggregated by major product, portfolio summary and geography.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20"/>
                <w:szCs w:val="20"/>
                <w:color w:val="auto"/>
              </w:rPr>
            </w:pPr>
            <w:r>
              <w:rPr>
                <w:rFonts w:ascii="Arial" w:cs="Arial" w:eastAsia="Arial" w:hAnsi="Arial"/>
                <w:sz w:val="17"/>
                <w:szCs w:val="17"/>
                <w:b w:val="1"/>
                <w:bCs w:val="1"/>
                <w:color w:val="auto"/>
              </w:rPr>
              <w:t>Major product: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4"/>
              </w:rPr>
              <w:t>Year Ended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1"/>
              </w:rPr>
              <w:t>December 31, 2021</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Advanced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Traditional</w:t>
            </w:r>
          </w:p>
        </w:tc>
        <w:tc>
          <w:tcPr>
            <w:tcW w:w="3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Digital</w:t>
            </w:r>
          </w:p>
        </w:tc>
        <w:tc>
          <w:tcPr>
            <w:tcW w:w="1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Materials and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Printing</w:t>
            </w:r>
          </w:p>
        </w:tc>
        <w:tc>
          <w:tcPr>
            <w:tcW w:w="3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Printing</w:t>
            </w:r>
          </w:p>
        </w:tc>
        <w:tc>
          <w:tcPr>
            <w:tcW w:w="2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Chemicals</w:t>
            </w:r>
          </w:p>
        </w:tc>
        <w:tc>
          <w:tcPr>
            <w:tcW w:w="32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Brand</w:t>
            </w:r>
          </w:p>
        </w:tc>
        <w:tc>
          <w:tcPr>
            <w:tcW w:w="34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7"/>
                <w:szCs w:val="17"/>
                <w:b w:val="1"/>
                <w:bCs w:val="1"/>
                <w:color w:val="auto"/>
              </w:rPr>
              <w:t>Other</w:t>
            </w:r>
          </w:p>
        </w:tc>
        <w:tc>
          <w:tcPr>
            <w:tcW w:w="34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r>
      <w:tr>
        <w:trPr>
          <w:trHeight w:val="202"/>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Plates, inks and other</w:t>
            </w: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1"/>
        </w:trPr>
        <w:tc>
          <w:tcPr>
            <w:tcW w:w="32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CFF0FC"/>
          </w:tcPr>
          <w:p>
            <w:pPr>
              <w:spacing w:after="0"/>
              <w:rPr>
                <w:sz w:val="19"/>
                <w:szCs w:val="19"/>
                <w:color w:val="auto"/>
              </w:rPr>
            </w:pPr>
          </w:p>
        </w:tc>
      </w:tr>
      <w:tr>
        <w:trPr>
          <w:trHeight w:val="208"/>
        </w:trPr>
        <w:tc>
          <w:tcPr>
            <w:tcW w:w="3240" w:type="dxa"/>
            <w:vAlign w:val="bottom"/>
          </w:tcPr>
          <w:p>
            <w:pPr>
              <w:spacing w:after="0"/>
              <w:rPr>
                <w:sz w:val="20"/>
                <w:szCs w:val="20"/>
                <w:color w:val="auto"/>
              </w:rPr>
            </w:pPr>
            <w:r>
              <w:rPr>
                <w:rFonts w:ascii="Arial" w:cs="Arial" w:eastAsia="Arial" w:hAnsi="Arial"/>
                <w:sz w:val="17"/>
                <w:szCs w:val="17"/>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2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arrangements </w:t>
            </w:r>
            <w:r>
              <w:rPr>
                <w:rFonts w:ascii="Arial" w:cs="Arial" w:eastAsia="Arial" w:hAnsi="Arial"/>
                <w:sz w:val="14"/>
                <w:szCs w:val="14"/>
                <w:color w:val="auto"/>
              </w:rPr>
              <w:t>(1)</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FF0FC"/>
            </w:tcBorders>
          </w:tcPr>
          <w:p>
            <w:pPr>
              <w:spacing w:after="0"/>
              <w:rPr>
                <w:sz w:val="19"/>
                <w:szCs w:val="19"/>
                <w:color w:val="auto"/>
              </w:rPr>
            </w:pPr>
          </w:p>
        </w:tc>
      </w:tr>
      <w:tr>
        <w:trPr>
          <w:trHeight w:val="214"/>
        </w:trPr>
        <w:tc>
          <w:tcPr>
            <w:tcW w:w="3240" w:type="dxa"/>
            <w:vAlign w:val="bottom"/>
            <w:shd w:val="clear" w:color="auto" w:fill="CFF0FC"/>
          </w:tcPr>
          <w:p>
            <w:pPr>
              <w:ind w:left="2040"/>
              <w:spacing w:after="0"/>
              <w:rPr>
                <w:sz w:val="20"/>
                <w:szCs w:val="20"/>
                <w:color w:val="auto"/>
              </w:rPr>
            </w:pPr>
            <w:r>
              <w:rPr>
                <w:rFonts w:ascii="Arial" w:cs="Arial" w:eastAsia="Arial" w:hAnsi="Arial"/>
                <w:sz w:val="17"/>
                <w:szCs w:val="17"/>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609</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FF0FC"/>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7"/>
                <w:szCs w:val="17"/>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r>
      <w:tr>
        <w:trPr>
          <w:trHeight w:val="221"/>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Film and chemicals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FF0FC"/>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7"/>
                <w:szCs w:val="17"/>
                <w:color w:val="auto"/>
                <w:w w:val="84"/>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7"/>
                <w:szCs w:val="17"/>
                <w:color w:val="auto"/>
                <w:w w:val="94"/>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r>
      <w:tr>
        <w:trPr>
          <w:trHeight w:val="214"/>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w w:val="84"/>
              </w:rPr>
              <w:t>15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7"/>
                <w:szCs w:val="17"/>
                <w:color w:val="auto"/>
                <w:w w:val="94"/>
              </w:rPr>
              <w:t>15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4"/>
              </w:rPr>
              <w:t>Year Ended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1"/>
              </w:rPr>
              <w:t>December 31, 2020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Advanced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Traditional</w:t>
            </w:r>
          </w:p>
        </w:tc>
        <w:tc>
          <w:tcPr>
            <w:tcW w:w="3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Digital</w:t>
            </w:r>
          </w:p>
        </w:tc>
        <w:tc>
          <w:tcPr>
            <w:tcW w:w="1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Materials and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Printing</w:t>
            </w:r>
          </w:p>
        </w:tc>
        <w:tc>
          <w:tcPr>
            <w:tcW w:w="3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Printing</w:t>
            </w:r>
          </w:p>
        </w:tc>
        <w:tc>
          <w:tcPr>
            <w:tcW w:w="2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Chemicals</w:t>
            </w:r>
          </w:p>
        </w:tc>
        <w:tc>
          <w:tcPr>
            <w:tcW w:w="32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Brand</w:t>
            </w:r>
          </w:p>
        </w:tc>
        <w:tc>
          <w:tcPr>
            <w:tcW w:w="34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7"/>
                <w:szCs w:val="17"/>
                <w:b w:val="1"/>
                <w:bCs w:val="1"/>
                <w:color w:val="auto"/>
              </w:rPr>
              <w:t>Other</w:t>
            </w:r>
          </w:p>
        </w:tc>
        <w:tc>
          <w:tcPr>
            <w:tcW w:w="34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r>
      <w:tr>
        <w:trPr>
          <w:trHeight w:val="202"/>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Plates, inks and other</w:t>
            </w: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1"/>
        </w:trPr>
        <w:tc>
          <w:tcPr>
            <w:tcW w:w="32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FF0FC"/>
          </w:tcPr>
          <w:p>
            <w:pPr>
              <w:spacing w:after="0"/>
              <w:rPr>
                <w:sz w:val="19"/>
                <w:szCs w:val="19"/>
                <w:color w:val="auto"/>
              </w:rPr>
            </w:pPr>
          </w:p>
        </w:tc>
      </w:tr>
      <w:tr>
        <w:trPr>
          <w:trHeight w:val="208"/>
        </w:trPr>
        <w:tc>
          <w:tcPr>
            <w:tcW w:w="3240" w:type="dxa"/>
            <w:vAlign w:val="bottom"/>
          </w:tcPr>
          <w:p>
            <w:pPr>
              <w:spacing w:after="0"/>
              <w:rPr>
                <w:sz w:val="20"/>
                <w:szCs w:val="20"/>
                <w:color w:val="auto"/>
              </w:rPr>
            </w:pPr>
            <w:r>
              <w:rPr>
                <w:rFonts w:ascii="Arial" w:cs="Arial" w:eastAsia="Arial" w:hAnsi="Arial"/>
                <w:sz w:val="17"/>
                <w:szCs w:val="17"/>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2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arrangements </w:t>
            </w:r>
            <w:r>
              <w:rPr>
                <w:rFonts w:ascii="Arial" w:cs="Arial" w:eastAsia="Arial" w:hAnsi="Arial"/>
                <w:sz w:val="14"/>
                <w:szCs w:val="14"/>
                <w:color w:val="auto"/>
              </w:rPr>
              <w:t>(1)</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Borders>
              <w:bottom w:val="single" w:sz="8" w:color="CFF0FC"/>
            </w:tcBorders>
          </w:tcPr>
          <w:p>
            <w:pPr>
              <w:spacing w:after="0"/>
              <w:rPr>
                <w:sz w:val="19"/>
                <w:szCs w:val="19"/>
                <w:color w:val="auto"/>
              </w:rPr>
            </w:pPr>
          </w:p>
        </w:tc>
      </w:tr>
      <w:tr>
        <w:trPr>
          <w:trHeight w:val="214"/>
        </w:trPr>
        <w:tc>
          <w:tcPr>
            <w:tcW w:w="3240" w:type="dxa"/>
            <w:vAlign w:val="bottom"/>
            <w:shd w:val="clear" w:color="auto" w:fill="CFF0FC"/>
          </w:tcPr>
          <w:p>
            <w:pPr>
              <w:ind w:left="2040"/>
              <w:spacing w:after="0"/>
              <w:rPr>
                <w:sz w:val="20"/>
                <w:szCs w:val="20"/>
                <w:color w:val="auto"/>
              </w:rPr>
            </w:pPr>
            <w:r>
              <w:rPr>
                <w:rFonts w:ascii="Arial" w:cs="Arial" w:eastAsia="Arial" w:hAnsi="Arial"/>
                <w:sz w:val="17"/>
                <w:szCs w:val="17"/>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762</w:t>
            </w:r>
          </w:p>
        </w:tc>
        <w:tc>
          <w:tcPr>
            <w:tcW w:w="100" w:type="dxa"/>
            <w:vAlign w:val="bottom"/>
            <w:shd w:val="clear" w:color="auto" w:fill="CFF0FC"/>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7"/>
                <w:szCs w:val="17"/>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r>
      <w:tr>
        <w:trPr>
          <w:trHeight w:val="221"/>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Film and chemicals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FF0FC"/>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7"/>
                <w:szCs w:val="17"/>
                <w:color w:val="auto"/>
                <w:w w:val="84"/>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Arial" w:cs="Arial" w:eastAsia="Arial" w:hAnsi="Arial"/>
                <w:sz w:val="17"/>
                <w:szCs w:val="17"/>
                <w:color w:val="auto"/>
                <w:w w:val="84"/>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r>
      <w:tr>
        <w:trPr>
          <w:trHeight w:val="214"/>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w w:val="84"/>
              </w:rPr>
              <w:t>13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7"/>
                <w:szCs w:val="17"/>
                <w:color w:val="auto"/>
                <w:w w:val="84"/>
              </w:rPr>
              <w:t>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9"/>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3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1"/>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4"/>
              </w:rPr>
              <w:t>Year Ended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1"/>
              </w:rPr>
              <w:t>December 31, 2019</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Advanced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Traditional</w:t>
            </w:r>
          </w:p>
        </w:tc>
        <w:tc>
          <w:tcPr>
            <w:tcW w:w="3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Digital</w:t>
            </w:r>
          </w:p>
        </w:tc>
        <w:tc>
          <w:tcPr>
            <w:tcW w:w="1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Materials and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Printing</w:t>
            </w:r>
          </w:p>
        </w:tc>
        <w:tc>
          <w:tcPr>
            <w:tcW w:w="3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Printing</w:t>
            </w:r>
          </w:p>
        </w:tc>
        <w:tc>
          <w:tcPr>
            <w:tcW w:w="2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Chemicals</w:t>
            </w:r>
          </w:p>
        </w:tc>
        <w:tc>
          <w:tcPr>
            <w:tcW w:w="32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Brand</w:t>
            </w:r>
          </w:p>
        </w:tc>
        <w:tc>
          <w:tcPr>
            <w:tcW w:w="34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7"/>
                <w:szCs w:val="17"/>
                <w:b w:val="1"/>
                <w:bCs w:val="1"/>
                <w:color w:val="auto"/>
              </w:rPr>
              <w:t>Other</w:t>
            </w:r>
          </w:p>
        </w:tc>
        <w:tc>
          <w:tcPr>
            <w:tcW w:w="34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r>
      <w:tr>
        <w:trPr>
          <w:trHeight w:val="202"/>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Plates, inks and other</w:t>
            </w: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1"/>
        </w:trPr>
        <w:tc>
          <w:tcPr>
            <w:tcW w:w="32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100" w:type="dxa"/>
            <w:vAlign w:val="bottom"/>
            <w:shd w:val="clear" w:color="auto" w:fill="CFF0FC"/>
          </w:tcPr>
          <w:p>
            <w:pPr>
              <w:spacing w:after="0"/>
              <w:rPr>
                <w:sz w:val="19"/>
                <w:szCs w:val="19"/>
                <w:color w:val="auto"/>
              </w:rPr>
            </w:pPr>
          </w:p>
        </w:tc>
      </w:tr>
      <w:tr>
        <w:trPr>
          <w:trHeight w:val="208"/>
        </w:trPr>
        <w:tc>
          <w:tcPr>
            <w:tcW w:w="3240" w:type="dxa"/>
            <w:vAlign w:val="bottom"/>
          </w:tcPr>
          <w:p>
            <w:pPr>
              <w:spacing w:after="0"/>
              <w:rPr>
                <w:sz w:val="20"/>
                <w:szCs w:val="20"/>
                <w:color w:val="auto"/>
              </w:rPr>
            </w:pPr>
            <w:r>
              <w:rPr>
                <w:rFonts w:ascii="Arial" w:cs="Arial" w:eastAsia="Arial" w:hAnsi="Arial"/>
                <w:sz w:val="17"/>
                <w:szCs w:val="17"/>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2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arrangements </w:t>
            </w:r>
            <w:r>
              <w:rPr>
                <w:rFonts w:ascii="Arial" w:cs="Arial" w:eastAsia="Arial" w:hAnsi="Arial"/>
                <w:sz w:val="14"/>
                <w:szCs w:val="14"/>
                <w:color w:val="auto"/>
              </w:rPr>
              <w:t>(1)</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FF0FC"/>
            </w:tcBorders>
          </w:tcPr>
          <w:p>
            <w:pPr>
              <w:spacing w:after="0"/>
              <w:rPr>
                <w:sz w:val="19"/>
                <w:szCs w:val="19"/>
                <w:color w:val="auto"/>
              </w:rPr>
            </w:pPr>
          </w:p>
        </w:tc>
      </w:tr>
      <w:tr>
        <w:trPr>
          <w:trHeight w:val="214"/>
        </w:trPr>
        <w:tc>
          <w:tcPr>
            <w:tcW w:w="3240" w:type="dxa"/>
            <w:vAlign w:val="bottom"/>
            <w:shd w:val="clear" w:color="auto" w:fill="CFF0FC"/>
          </w:tcPr>
          <w:p>
            <w:pPr>
              <w:ind w:left="2040"/>
              <w:spacing w:after="0"/>
              <w:rPr>
                <w:sz w:val="20"/>
                <w:szCs w:val="20"/>
                <w:color w:val="auto"/>
              </w:rPr>
            </w:pPr>
            <w:r>
              <w:rPr>
                <w:rFonts w:ascii="Arial" w:cs="Arial" w:eastAsia="Arial" w:hAnsi="Arial"/>
                <w:sz w:val="17"/>
                <w:szCs w:val="17"/>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658</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909</w:t>
            </w:r>
          </w:p>
        </w:tc>
        <w:tc>
          <w:tcPr>
            <w:tcW w:w="100" w:type="dxa"/>
            <w:vAlign w:val="bottom"/>
            <w:shd w:val="clear" w:color="auto" w:fill="CFF0FC"/>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7"/>
                <w:szCs w:val="17"/>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r>
      <w:tr>
        <w:trPr>
          <w:trHeight w:val="221"/>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Film and chemicals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FF0FC"/>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7"/>
                <w:szCs w:val="17"/>
                <w:color w:val="auto"/>
                <w:w w:val="84"/>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7"/>
                <w:szCs w:val="17"/>
                <w:color w:val="auto"/>
                <w:w w:val="94"/>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r>
      <w:tr>
        <w:trPr>
          <w:trHeight w:val="214"/>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w w:val="84"/>
              </w:rPr>
              <w:t>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7"/>
                <w:szCs w:val="17"/>
                <w:color w:val="auto"/>
                <w:w w:val="94"/>
              </w:rPr>
              <w:t>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right="20" w:hanging="371"/>
        <w:spacing w:after="0" w:line="286" w:lineRule="auto"/>
        <w:tabs>
          <w:tab w:leader="none" w:pos="740" w:val="left"/>
        </w:tabs>
        <w:numPr>
          <w:ilvl w:val="0"/>
          <w:numId w:val="36"/>
        </w:numPr>
        <w:rPr>
          <w:rFonts w:ascii="Arial" w:cs="Arial" w:eastAsia="Arial" w:hAnsi="Arial"/>
          <w:sz w:val="15"/>
          <w:szCs w:val="15"/>
          <w:color w:val="auto"/>
        </w:rPr>
      </w:pPr>
      <w:r>
        <w:rPr>
          <w:rFonts w:ascii="Arial" w:cs="Arial" w:eastAsia="Arial" w:hAnsi="Arial"/>
          <w:sz w:val="17"/>
          <w:szCs w:val="17"/>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85" w:lineRule="exact"/>
        <w:rPr>
          <w:rFonts w:ascii="Arial" w:cs="Arial" w:eastAsia="Arial" w:hAnsi="Arial"/>
          <w:sz w:val="15"/>
          <w:szCs w:val="15"/>
          <w:color w:val="auto"/>
        </w:rPr>
      </w:pPr>
    </w:p>
    <w:p>
      <w:pPr>
        <w:ind w:left="740" w:right="440" w:hanging="371"/>
        <w:spacing w:after="0" w:line="286" w:lineRule="auto"/>
        <w:tabs>
          <w:tab w:leader="none" w:pos="740" w:val="left"/>
        </w:tabs>
        <w:numPr>
          <w:ilvl w:val="0"/>
          <w:numId w:val="36"/>
        </w:numPr>
        <w:rPr>
          <w:rFonts w:ascii="Arial" w:cs="Arial" w:eastAsia="Arial" w:hAnsi="Arial"/>
          <w:sz w:val="15"/>
          <w:szCs w:val="15"/>
          <w:color w:val="auto"/>
        </w:rPr>
      </w:pPr>
      <w:r>
        <w:rPr>
          <w:rFonts w:ascii="Arial" w:cs="Arial" w:eastAsia="Arial" w:hAnsi="Arial"/>
          <w:sz w:val="17"/>
          <w:szCs w:val="17"/>
          <w:color w:val="auto"/>
        </w:rPr>
        <w:t>Other includes revenue from professional services, non-recurring engineering services, print and managed media services, tenant rent and related property management services and licensing.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Arial" w:cs="Arial" w:eastAsia="Arial" w:hAnsi="Arial"/>
                <w:sz w:val="17"/>
                <w:szCs w:val="17"/>
                <w:b w:val="1"/>
                <w:bCs w:val="1"/>
                <w:color w:val="auto"/>
              </w:rPr>
              <w:t>Product Portfolio Summary:</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center"/>
              <w:ind w:left="613"/>
              <w:spacing w:after="0"/>
              <w:rPr>
                <w:sz w:val="20"/>
                <w:szCs w:val="20"/>
                <w:color w:val="auto"/>
              </w:rPr>
            </w:pPr>
            <w:r>
              <w:rPr>
                <w:rFonts w:ascii="Arial" w:cs="Arial" w:eastAsia="Arial" w:hAnsi="Arial"/>
                <w:sz w:val="17"/>
                <w:szCs w:val="17"/>
                <w:b w:val="1"/>
                <w:bCs w:val="1"/>
                <w:color w:val="auto"/>
                <w:w w:val="94"/>
              </w:rPr>
              <w:t>Year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5"/>
          </w:tcPr>
          <w:p>
            <w:pPr>
              <w:jc w:val="center"/>
              <w:ind w:right="53"/>
              <w:spacing w:after="0"/>
              <w:rPr>
                <w:sz w:val="20"/>
                <w:szCs w:val="20"/>
                <w:color w:val="auto"/>
              </w:rPr>
            </w:pPr>
            <w:r>
              <w:rPr>
                <w:rFonts w:ascii="Arial" w:cs="Arial" w:eastAsia="Arial" w:hAnsi="Arial"/>
                <w:sz w:val="17"/>
                <w:szCs w:val="17"/>
                <w:b w:val="1"/>
                <w:bCs w:val="1"/>
                <w:color w:val="auto"/>
                <w:w w:val="91"/>
              </w:rPr>
              <w:t>December 31,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1"/>
              </w:rPr>
              <w:t>Advanced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Traditional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95"/>
              </w:rPr>
              <w:t>Materials and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6"/>
              </w:rPr>
              <w:t>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5"/>
              </w:rPr>
              <w:t>Digital 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Chemicals</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Brand</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Other</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4"/>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Growth engines </w:t>
            </w:r>
            <w:r>
              <w:rPr>
                <w:rFonts w:ascii="Arial" w:cs="Arial" w:eastAsia="Arial" w:hAnsi="Arial"/>
                <w:sz w:val="14"/>
                <w:szCs w:val="14"/>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w:t>
            </w:r>
          </w:p>
        </w:tc>
        <w:tc>
          <w:tcPr>
            <w:tcW w:w="680" w:type="dxa"/>
            <w:vAlign w:val="bottom"/>
            <w:gridSpan w:val="3"/>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FF0FC"/>
          </w:tcPr>
          <w:p>
            <w:pPr>
              <w:spacing w:after="0"/>
              <w:rPr>
                <w:sz w:val="18"/>
                <w:szCs w:val="18"/>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7"/>
                <w:szCs w:val="17"/>
                <w:color w:val="auto"/>
              </w:rPr>
              <w:t xml:space="preserve">Strategic other businesses </w:t>
            </w: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7"/>
                <w:szCs w:val="17"/>
                <w:color w:val="auto"/>
                <w:w w:val="94"/>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7"/>
                <w:szCs w:val="17"/>
                <w:color w:val="auto"/>
                <w:w w:val="94"/>
              </w:rPr>
              <w:t>15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9"/>
                <w:szCs w:val="19"/>
                <w:color w:val="auto"/>
              </w:rPr>
            </w:pPr>
          </w:p>
        </w:tc>
      </w:tr>
      <w:tr>
        <w:trPr>
          <w:trHeight w:val="208"/>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3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businesses </w:t>
            </w:r>
            <w:r>
              <w:rPr>
                <w:rFonts w:ascii="Arial" w:cs="Arial" w:eastAsia="Arial" w:hAnsi="Arial"/>
                <w:sz w:val="14"/>
                <w:szCs w:val="14"/>
                <w:color w:val="auto"/>
              </w:rPr>
              <w:t>(3)</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FF0FC"/>
          </w:tcPr>
          <w:p>
            <w:pPr>
              <w:spacing w:after="0"/>
              <w:rPr>
                <w:sz w:val="19"/>
                <w:szCs w:val="19"/>
                <w:color w:val="auto"/>
              </w:rPr>
            </w:pPr>
          </w:p>
        </w:tc>
      </w:tr>
      <w:tr>
        <w:trPr>
          <w:trHeight w:val="214"/>
        </w:trPr>
        <w:tc>
          <w:tcPr>
            <w:tcW w:w="3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w:t>
            </w:r>
          </w:p>
        </w:tc>
        <w:tc>
          <w:tcPr>
            <w:tcW w:w="180" w:type="dxa"/>
            <w:vAlign w:val="bottom"/>
            <w:gridSpan w:val="2"/>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15</w:t>
            </w:r>
          </w:p>
        </w:tc>
        <w:tc>
          <w:tcPr>
            <w:tcW w:w="18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w w:val="94"/>
              </w:rPr>
              <w:t>15</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center"/>
              <w:ind w:left="613"/>
              <w:spacing w:after="0"/>
              <w:rPr>
                <w:sz w:val="20"/>
                <w:szCs w:val="20"/>
                <w:color w:val="auto"/>
              </w:rPr>
            </w:pPr>
            <w:r>
              <w:rPr>
                <w:rFonts w:ascii="Arial" w:cs="Arial" w:eastAsia="Arial" w:hAnsi="Arial"/>
                <w:sz w:val="17"/>
                <w:szCs w:val="17"/>
                <w:b w:val="1"/>
                <w:bCs w:val="1"/>
                <w:color w:val="auto"/>
                <w:w w:val="94"/>
              </w:rPr>
              <w:t>Year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5"/>
          </w:tcPr>
          <w:p>
            <w:pPr>
              <w:jc w:val="center"/>
              <w:ind w:right="53"/>
              <w:spacing w:after="0"/>
              <w:rPr>
                <w:sz w:val="20"/>
                <w:szCs w:val="20"/>
                <w:color w:val="auto"/>
              </w:rPr>
            </w:pPr>
            <w:r>
              <w:rPr>
                <w:rFonts w:ascii="Arial" w:cs="Arial" w:eastAsia="Arial" w:hAnsi="Arial"/>
                <w:sz w:val="17"/>
                <w:szCs w:val="17"/>
                <w:b w:val="1"/>
                <w:bCs w:val="1"/>
                <w:color w:val="auto"/>
                <w:w w:val="91"/>
              </w:rPr>
              <w:t>December 31, 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1"/>
              </w:rPr>
              <w:t>Advanced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Traditional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95"/>
              </w:rPr>
              <w:t>Materials and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6"/>
              </w:rPr>
              <w:t>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5"/>
              </w:rPr>
              <w:t>Digital 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Chemicals</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Brand</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Other</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4"/>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Growth engines </w:t>
            </w:r>
            <w:r>
              <w:rPr>
                <w:rFonts w:ascii="Arial" w:cs="Arial" w:eastAsia="Arial" w:hAnsi="Arial"/>
                <w:sz w:val="14"/>
                <w:szCs w:val="14"/>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680" w:type="dxa"/>
            <w:vAlign w:val="bottom"/>
            <w:gridSpan w:val="3"/>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FF0FC"/>
          </w:tcPr>
          <w:p>
            <w:pPr>
              <w:spacing w:after="0"/>
              <w:rPr>
                <w:sz w:val="18"/>
                <w:szCs w:val="18"/>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7"/>
                <w:szCs w:val="17"/>
                <w:color w:val="auto"/>
              </w:rPr>
              <w:t xml:space="preserve">Strategic other businesses </w:t>
            </w: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7"/>
                <w:szCs w:val="17"/>
                <w:color w:val="auto"/>
                <w:w w:val="94"/>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7"/>
                <w:szCs w:val="17"/>
                <w:color w:val="auto"/>
                <w:w w:val="84"/>
              </w:rPr>
              <w:t>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9"/>
                <w:szCs w:val="19"/>
                <w:color w:val="auto"/>
              </w:rPr>
            </w:pPr>
          </w:p>
        </w:tc>
      </w:tr>
      <w:tr>
        <w:trPr>
          <w:trHeight w:val="208"/>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3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businesses </w:t>
            </w:r>
            <w:r>
              <w:rPr>
                <w:rFonts w:ascii="Arial" w:cs="Arial" w:eastAsia="Arial" w:hAnsi="Arial"/>
                <w:sz w:val="14"/>
                <w:szCs w:val="14"/>
                <w:color w:val="auto"/>
              </w:rPr>
              <w:t>(3)</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FF0FC"/>
          </w:tcPr>
          <w:p>
            <w:pPr>
              <w:spacing w:after="0"/>
              <w:rPr>
                <w:sz w:val="19"/>
                <w:szCs w:val="19"/>
                <w:color w:val="auto"/>
              </w:rPr>
            </w:pPr>
          </w:p>
        </w:tc>
      </w:tr>
      <w:tr>
        <w:trPr>
          <w:trHeight w:val="214"/>
        </w:trPr>
        <w:tc>
          <w:tcPr>
            <w:tcW w:w="3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w:t>
            </w:r>
          </w:p>
        </w:tc>
        <w:tc>
          <w:tcPr>
            <w:tcW w:w="180" w:type="dxa"/>
            <w:vAlign w:val="bottom"/>
            <w:gridSpan w:val="2"/>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13</w:t>
            </w:r>
          </w:p>
        </w:tc>
        <w:tc>
          <w:tcPr>
            <w:tcW w:w="18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84"/>
              </w:rPr>
              <w:t>11</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center"/>
              <w:ind w:left="613"/>
              <w:spacing w:after="0"/>
              <w:rPr>
                <w:sz w:val="20"/>
                <w:szCs w:val="20"/>
                <w:color w:val="auto"/>
              </w:rPr>
            </w:pPr>
            <w:r>
              <w:rPr>
                <w:rFonts w:ascii="Arial" w:cs="Arial" w:eastAsia="Arial" w:hAnsi="Arial"/>
                <w:sz w:val="17"/>
                <w:szCs w:val="17"/>
                <w:b w:val="1"/>
                <w:bCs w:val="1"/>
                <w:color w:val="auto"/>
                <w:w w:val="94"/>
              </w:rPr>
              <w:t>Year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5"/>
          </w:tcPr>
          <w:p>
            <w:pPr>
              <w:jc w:val="center"/>
              <w:ind w:right="53"/>
              <w:spacing w:after="0"/>
              <w:rPr>
                <w:sz w:val="20"/>
                <w:szCs w:val="20"/>
                <w:color w:val="auto"/>
              </w:rPr>
            </w:pPr>
            <w:r>
              <w:rPr>
                <w:rFonts w:ascii="Arial" w:cs="Arial" w:eastAsia="Arial" w:hAnsi="Arial"/>
                <w:sz w:val="17"/>
                <w:szCs w:val="17"/>
                <w:b w:val="1"/>
                <w:bCs w:val="1"/>
                <w:color w:val="auto"/>
                <w:w w:val="91"/>
              </w:rPr>
              <w:t>December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1"/>
              </w:rPr>
              <w:t>Advanced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Traditional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95"/>
              </w:rPr>
              <w:t>Materials and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6"/>
              </w:rPr>
              <w:t>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5"/>
              </w:rPr>
              <w:t>Digital 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Chemicals</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Brand</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Other</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4"/>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Growth engines </w:t>
            </w:r>
            <w:r>
              <w:rPr>
                <w:rFonts w:ascii="Arial" w:cs="Arial" w:eastAsia="Arial" w:hAnsi="Arial"/>
                <w:sz w:val="14"/>
                <w:szCs w:val="14"/>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680" w:type="dxa"/>
            <w:vAlign w:val="bottom"/>
            <w:gridSpan w:val="3"/>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FF0FC"/>
          </w:tcPr>
          <w:p>
            <w:pPr>
              <w:spacing w:after="0"/>
              <w:rPr>
                <w:sz w:val="18"/>
                <w:szCs w:val="18"/>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7"/>
                <w:szCs w:val="17"/>
                <w:color w:val="auto"/>
              </w:rPr>
              <w:t xml:space="preserve">Strategic other businesses </w:t>
            </w: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7"/>
                <w:szCs w:val="17"/>
                <w:color w:val="auto"/>
                <w:w w:val="94"/>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7"/>
                <w:szCs w:val="17"/>
                <w:color w:val="auto"/>
                <w:w w:val="94"/>
              </w:rPr>
              <w:t>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9"/>
                <w:szCs w:val="19"/>
                <w:color w:val="auto"/>
              </w:rPr>
            </w:pPr>
          </w:p>
        </w:tc>
      </w:tr>
      <w:tr>
        <w:trPr>
          <w:trHeight w:val="208"/>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3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businesses </w:t>
            </w:r>
            <w:r>
              <w:rPr>
                <w:rFonts w:ascii="Arial" w:cs="Arial" w:eastAsia="Arial" w:hAnsi="Arial"/>
                <w:sz w:val="14"/>
                <w:szCs w:val="14"/>
                <w:color w:val="auto"/>
              </w:rPr>
              <w:t>(3)</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FF0FC"/>
          </w:tcPr>
          <w:p>
            <w:pPr>
              <w:spacing w:after="0"/>
              <w:rPr>
                <w:sz w:val="19"/>
                <w:szCs w:val="19"/>
                <w:color w:val="auto"/>
              </w:rPr>
            </w:pPr>
          </w:p>
        </w:tc>
      </w:tr>
      <w:tr>
        <w:trPr>
          <w:trHeight w:val="214"/>
        </w:trPr>
        <w:tc>
          <w:tcPr>
            <w:tcW w:w="3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727</w:t>
            </w:r>
          </w:p>
        </w:tc>
        <w:tc>
          <w:tcPr>
            <w:tcW w:w="680" w:type="dxa"/>
            <w:vAlign w:val="bottom"/>
            <w:gridSpan w:val="3"/>
          </w:tcPr>
          <w:p>
            <w:pPr>
              <w:ind w:left="1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840" w:type="dxa"/>
            <w:vAlign w:val="bottom"/>
          </w:tcPr>
          <w:p>
            <w:pPr>
              <w:ind w:left="640"/>
              <w:spacing w:after="0"/>
              <w:rPr>
                <w:sz w:val="20"/>
                <w:szCs w:val="20"/>
                <w:color w:val="auto"/>
              </w:rPr>
            </w:pPr>
            <w:r>
              <w:rPr>
                <w:rFonts w:ascii="Arial" w:cs="Arial" w:eastAsia="Arial" w:hAnsi="Arial"/>
                <w:sz w:val="17"/>
                <w:szCs w:val="17"/>
                <w:color w:val="auto"/>
                <w:w w:val="94"/>
              </w:rPr>
              <w:t>12</w:t>
            </w:r>
          </w:p>
        </w:tc>
        <w:tc>
          <w:tcPr>
            <w:tcW w:w="42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960" w:type="dxa"/>
            <w:vAlign w:val="bottom"/>
          </w:tcPr>
          <w:p>
            <w:pPr>
              <w:ind w:left="760"/>
              <w:spacing w:after="0"/>
              <w:rPr>
                <w:sz w:val="20"/>
                <w:szCs w:val="20"/>
                <w:color w:val="auto"/>
              </w:rPr>
            </w:pPr>
            <w:r>
              <w:rPr>
                <w:rFonts w:ascii="Arial" w:cs="Arial" w:eastAsia="Arial" w:hAnsi="Arial"/>
                <w:sz w:val="17"/>
                <w:szCs w:val="17"/>
                <w:color w:val="auto"/>
                <w:w w:val="94"/>
              </w:rPr>
              <w:t>10</w:t>
            </w:r>
          </w:p>
        </w:tc>
        <w:tc>
          <w:tcPr>
            <w:tcW w:w="18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1,242</w:t>
            </w: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right="660" w:hanging="371"/>
        <w:spacing w:after="0" w:line="357" w:lineRule="auto"/>
        <w:tabs>
          <w:tab w:leader="none" w:pos="740" w:val="left"/>
        </w:tabs>
        <w:numPr>
          <w:ilvl w:val="0"/>
          <w:numId w:val="37"/>
        </w:numPr>
        <w:rPr>
          <w:rFonts w:ascii="Arial" w:cs="Arial" w:eastAsia="Arial" w:hAnsi="Arial"/>
          <w:sz w:val="13"/>
          <w:szCs w:val="13"/>
          <w:color w:val="auto"/>
        </w:rPr>
      </w:pPr>
      <w:r>
        <w:rPr>
          <w:rFonts w:ascii="Arial" w:cs="Arial" w:eastAsia="Arial" w:hAnsi="Arial"/>
          <w:sz w:val="15"/>
          <w:szCs w:val="15"/>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138" w:lineRule="exact"/>
        <w:rPr>
          <w:rFonts w:ascii="Arial" w:cs="Arial" w:eastAsia="Arial" w:hAnsi="Arial"/>
          <w:sz w:val="13"/>
          <w:szCs w:val="13"/>
          <w:color w:val="auto"/>
        </w:rPr>
      </w:pPr>
    </w:p>
    <w:p>
      <w:pPr>
        <w:ind w:left="740" w:right="40" w:hanging="371"/>
        <w:spacing w:after="0" w:line="271" w:lineRule="auto"/>
        <w:tabs>
          <w:tab w:leader="none" w:pos="740" w:val="left"/>
        </w:tabs>
        <w:numPr>
          <w:ilvl w:val="0"/>
          <w:numId w:val="37"/>
        </w:numPr>
        <w:rPr>
          <w:rFonts w:ascii="Arial" w:cs="Arial" w:eastAsia="Arial" w:hAnsi="Arial"/>
          <w:sz w:val="15"/>
          <w:szCs w:val="15"/>
          <w:color w:val="auto"/>
        </w:rPr>
      </w:pPr>
      <w:r>
        <w:rPr>
          <w:rFonts w:ascii="Arial" w:cs="Arial" w:eastAsia="Arial" w:hAnsi="Arial"/>
          <w:sz w:val="17"/>
          <w:szCs w:val="17"/>
          <w:color w:val="auto"/>
        </w:rPr>
        <w:t>Strategic other businesses include plates and CTP equipment and related service in the Traditional Printing segment; brand licensing; Nexpress and related toner business in the Digital Printing segment; and Motion Picture and Industrial Film and Chemicals (including external inks) and IP licensing in the Advanced Materials and Chemicals segment.</w:t>
      </w:r>
    </w:p>
    <w:p>
      <w:pPr>
        <w:spacing w:after="0" w:line="197" w:lineRule="exact"/>
        <w:rPr>
          <w:rFonts w:ascii="Arial" w:cs="Arial" w:eastAsia="Arial" w:hAnsi="Arial"/>
          <w:sz w:val="15"/>
          <w:szCs w:val="15"/>
          <w:color w:val="auto"/>
        </w:rPr>
      </w:pPr>
    </w:p>
    <w:p>
      <w:pPr>
        <w:ind w:left="740" w:right="140" w:hanging="371"/>
        <w:spacing w:after="0" w:line="266" w:lineRule="auto"/>
        <w:tabs>
          <w:tab w:leader="none" w:pos="740" w:val="left"/>
        </w:tabs>
        <w:numPr>
          <w:ilvl w:val="0"/>
          <w:numId w:val="37"/>
        </w:numPr>
        <w:rPr>
          <w:rFonts w:ascii="Arial" w:cs="Arial" w:eastAsia="Arial" w:hAnsi="Arial"/>
          <w:sz w:val="15"/>
          <w:szCs w:val="15"/>
          <w:color w:val="auto"/>
        </w:rPr>
      </w:pPr>
      <w:r>
        <w:rPr>
          <w:rFonts w:ascii="Arial" w:cs="Arial" w:eastAsia="Arial" w:hAnsi="Arial"/>
          <w:sz w:val="17"/>
          <w:szCs w:val="17"/>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Consumer Inkjet, Kodak Services for Business (“KSB”) and Kodakit in the Advanced Materials and Chemicals segment and Versamark and Digimaster in the Digital Printing segment.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 xml:space="preserve">Geography </w:t>
      </w:r>
      <w:r>
        <w:rPr>
          <w:rFonts w:ascii="Arial" w:cs="Arial" w:eastAsia="Arial" w:hAnsi="Arial"/>
          <w:sz w:val="14"/>
          <w:szCs w:val="14"/>
          <w:b w:val="1"/>
          <w:bCs w:val="1"/>
          <w:color w:val="auto"/>
        </w:rPr>
        <w:t>(1)</w:t>
      </w:r>
      <w:r>
        <w:rPr>
          <w:rFonts w:ascii="Arial" w:cs="Arial" w:eastAsia="Arial" w:hAnsi="Arial"/>
          <w:sz w:val="17"/>
          <w:szCs w:val="17"/>
          <w:b w:val="1"/>
          <w:bCs w:val="1"/>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4"/>
          </w:tcPr>
          <w:p>
            <w:pPr>
              <w:jc w:val="center"/>
              <w:ind w:left="653"/>
              <w:spacing w:after="0"/>
              <w:rPr>
                <w:sz w:val="20"/>
                <w:szCs w:val="20"/>
                <w:color w:val="auto"/>
              </w:rPr>
            </w:pPr>
            <w:r>
              <w:rPr>
                <w:rFonts w:ascii="Arial" w:cs="Arial" w:eastAsia="Arial" w:hAnsi="Arial"/>
                <w:sz w:val="17"/>
                <w:szCs w:val="17"/>
                <w:b w:val="1"/>
                <w:bCs w:val="1"/>
                <w:color w:val="auto"/>
                <w:w w:val="94"/>
              </w:rPr>
              <w:t>Year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w w:val="91"/>
              </w:rPr>
              <w:t>December 31, 2021</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1"/>
              </w:rPr>
              <w:t>Advanced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Traditional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93"/>
              </w:rPr>
              <w:t>Materials and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5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6"/>
              </w:rPr>
              <w:t>Printing</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7"/>
              </w:rPr>
              <w:t>Digital 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Chemicals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93"/>
              </w:rPr>
              <w:t>Brand</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Other</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4"/>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720" w:type="dxa"/>
            <w:vAlign w:val="bottom"/>
            <w:gridSpan w:val="3"/>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FF0FC"/>
          </w:tcPr>
          <w:p>
            <w:pPr>
              <w:spacing w:after="0"/>
              <w:rPr>
                <w:sz w:val="18"/>
                <w:szCs w:val="18"/>
                <w:color w:val="auto"/>
              </w:rPr>
            </w:pPr>
          </w:p>
        </w:tc>
      </w:tr>
      <w:tr>
        <w:trPr>
          <w:trHeight w:val="221"/>
        </w:trPr>
        <w:tc>
          <w:tcPr>
            <w:tcW w:w="2540" w:type="dxa"/>
            <w:vAlign w:val="bottom"/>
          </w:tcPr>
          <w:p>
            <w:pPr>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r>
      <w:tr>
        <w:trPr>
          <w:trHeight w:val="214"/>
        </w:trPr>
        <w:tc>
          <w:tcPr>
            <w:tcW w:w="254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7"/>
                <w:szCs w:val="17"/>
                <w:color w:val="auto"/>
              </w:rPr>
              <w:t>North America</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8"/>
                <w:szCs w:val="18"/>
                <w:color w:val="auto"/>
              </w:rPr>
            </w:pPr>
          </w:p>
        </w:tc>
      </w:tr>
      <w:tr>
        <w:trPr>
          <w:trHeight w:val="221"/>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FF0FC"/>
          </w:tcPr>
          <w:p>
            <w:pPr>
              <w:spacing w:after="0"/>
              <w:rPr>
                <w:sz w:val="19"/>
                <w:szCs w:val="19"/>
                <w:color w:val="auto"/>
              </w:rPr>
            </w:pPr>
          </w:p>
        </w:tc>
      </w:tr>
      <w:tr>
        <w:trPr>
          <w:trHeight w:val="221"/>
        </w:trPr>
        <w:tc>
          <w:tcPr>
            <w:tcW w:w="2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gridSpan w:val="2"/>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FF0FC"/>
            </w:tcBorders>
          </w:tcPr>
          <w:p>
            <w:pPr>
              <w:spacing w:after="0"/>
              <w:rPr>
                <w:sz w:val="19"/>
                <w:szCs w:val="19"/>
                <w:color w:val="auto"/>
              </w:rPr>
            </w:pPr>
          </w:p>
        </w:tc>
      </w:tr>
      <w:tr>
        <w:trPr>
          <w:trHeight w:val="214"/>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Sales</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4"/>
          </w:tcPr>
          <w:p>
            <w:pPr>
              <w:jc w:val="center"/>
              <w:ind w:left="653"/>
              <w:spacing w:after="0"/>
              <w:rPr>
                <w:sz w:val="20"/>
                <w:szCs w:val="20"/>
                <w:color w:val="auto"/>
              </w:rPr>
            </w:pPr>
            <w:r>
              <w:rPr>
                <w:rFonts w:ascii="Arial" w:cs="Arial" w:eastAsia="Arial" w:hAnsi="Arial"/>
                <w:sz w:val="17"/>
                <w:szCs w:val="17"/>
                <w:b w:val="1"/>
                <w:bCs w:val="1"/>
                <w:color w:val="auto"/>
                <w:w w:val="94"/>
              </w:rPr>
              <w:t>Year Ended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w w:val="91"/>
              </w:rPr>
              <w:t>December 31, 2020</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1"/>
              </w:rPr>
              <w:t>Advanced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Traditional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93"/>
              </w:rPr>
              <w:t>Materials and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5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6"/>
              </w:rPr>
              <w:t>Printing</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7"/>
              </w:rPr>
              <w:t>Digital 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Chemicals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93"/>
              </w:rPr>
              <w:t>Brand</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Other</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4"/>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720" w:type="dxa"/>
            <w:vAlign w:val="bottom"/>
            <w:gridSpan w:val="3"/>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FF0FC"/>
          </w:tcPr>
          <w:p>
            <w:pPr>
              <w:spacing w:after="0"/>
              <w:rPr>
                <w:sz w:val="18"/>
                <w:szCs w:val="18"/>
                <w:color w:val="auto"/>
              </w:rPr>
            </w:pPr>
          </w:p>
        </w:tc>
      </w:tr>
      <w:tr>
        <w:trPr>
          <w:trHeight w:val="221"/>
        </w:trPr>
        <w:tc>
          <w:tcPr>
            <w:tcW w:w="2540" w:type="dxa"/>
            <w:vAlign w:val="bottom"/>
          </w:tcPr>
          <w:p>
            <w:pPr>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r>
      <w:tr>
        <w:trPr>
          <w:trHeight w:val="214"/>
        </w:trPr>
        <w:tc>
          <w:tcPr>
            <w:tcW w:w="254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7"/>
                <w:szCs w:val="17"/>
                <w:color w:val="auto"/>
              </w:rPr>
              <w:t>North America</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8"/>
                <w:szCs w:val="18"/>
                <w:color w:val="auto"/>
              </w:rPr>
            </w:pPr>
          </w:p>
        </w:tc>
      </w:tr>
      <w:tr>
        <w:trPr>
          <w:trHeight w:val="221"/>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FF0FC"/>
          </w:tcPr>
          <w:p>
            <w:pPr>
              <w:spacing w:after="0"/>
              <w:rPr>
                <w:sz w:val="19"/>
                <w:szCs w:val="19"/>
                <w:color w:val="auto"/>
              </w:rPr>
            </w:pPr>
          </w:p>
        </w:tc>
      </w:tr>
      <w:tr>
        <w:trPr>
          <w:trHeight w:val="221"/>
        </w:trPr>
        <w:tc>
          <w:tcPr>
            <w:tcW w:w="2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FF0FC"/>
            </w:tcBorders>
          </w:tcPr>
          <w:p>
            <w:pPr>
              <w:spacing w:after="0"/>
              <w:rPr>
                <w:sz w:val="19"/>
                <w:szCs w:val="19"/>
                <w:color w:val="auto"/>
              </w:rPr>
            </w:pPr>
          </w:p>
        </w:tc>
      </w:tr>
      <w:tr>
        <w:trPr>
          <w:trHeight w:val="214"/>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Sales</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592</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4"/>
          </w:tcPr>
          <w:p>
            <w:pPr>
              <w:jc w:val="center"/>
              <w:ind w:left="653"/>
              <w:spacing w:after="0"/>
              <w:rPr>
                <w:sz w:val="20"/>
                <w:szCs w:val="20"/>
                <w:color w:val="auto"/>
              </w:rPr>
            </w:pPr>
            <w:r>
              <w:rPr>
                <w:rFonts w:ascii="Arial" w:cs="Arial" w:eastAsia="Arial" w:hAnsi="Arial"/>
                <w:sz w:val="17"/>
                <w:szCs w:val="17"/>
                <w:b w:val="1"/>
                <w:bCs w:val="1"/>
                <w:color w:val="auto"/>
                <w:w w:val="94"/>
              </w:rPr>
              <w:t>Year Ended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w w:val="91"/>
              </w:rPr>
              <w:t>December 31, 2019</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1"/>
              </w:rPr>
              <w:t>Advanced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Traditional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93"/>
              </w:rPr>
              <w:t>Materials and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5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6"/>
              </w:rPr>
              <w:t>Printing</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7"/>
              </w:rPr>
              <w:t>Digital Printing</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Chemicals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93"/>
              </w:rPr>
              <w:t>Brand</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Other</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4"/>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720" w:type="dxa"/>
            <w:vAlign w:val="bottom"/>
            <w:gridSpan w:val="3"/>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FF0FC"/>
          </w:tcPr>
          <w:p>
            <w:pPr>
              <w:spacing w:after="0"/>
              <w:rPr>
                <w:sz w:val="18"/>
                <w:szCs w:val="18"/>
                <w:color w:val="auto"/>
              </w:rPr>
            </w:pPr>
          </w:p>
        </w:tc>
      </w:tr>
      <w:tr>
        <w:trPr>
          <w:trHeight w:val="221"/>
        </w:trPr>
        <w:tc>
          <w:tcPr>
            <w:tcW w:w="2540" w:type="dxa"/>
            <w:vAlign w:val="bottom"/>
          </w:tcPr>
          <w:p>
            <w:pPr>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r>
      <w:tr>
        <w:trPr>
          <w:trHeight w:val="214"/>
        </w:trPr>
        <w:tc>
          <w:tcPr>
            <w:tcW w:w="254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7"/>
                <w:szCs w:val="17"/>
                <w:color w:val="auto"/>
              </w:rPr>
              <w:t>North America</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r>
      <w:tr>
        <w:trPr>
          <w:trHeight w:val="221"/>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FF0FC"/>
          </w:tcPr>
          <w:p>
            <w:pPr>
              <w:spacing w:after="0"/>
              <w:rPr>
                <w:sz w:val="19"/>
                <w:szCs w:val="19"/>
                <w:color w:val="auto"/>
              </w:rPr>
            </w:pPr>
          </w:p>
        </w:tc>
      </w:tr>
      <w:tr>
        <w:trPr>
          <w:trHeight w:val="221"/>
        </w:trPr>
        <w:tc>
          <w:tcPr>
            <w:tcW w:w="2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FF0FC"/>
            </w:tcBorders>
          </w:tcPr>
          <w:p>
            <w:pPr>
              <w:spacing w:after="0"/>
              <w:rPr>
                <w:sz w:val="19"/>
                <w:szCs w:val="19"/>
                <w:color w:val="auto"/>
              </w:rPr>
            </w:pPr>
          </w:p>
        </w:tc>
      </w:tr>
      <w:tr>
        <w:trPr>
          <w:trHeight w:val="214"/>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Total Sales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727</w:t>
            </w:r>
          </w:p>
        </w:tc>
        <w:tc>
          <w:tcPr>
            <w:tcW w:w="720" w:type="dxa"/>
            <w:vAlign w:val="bottom"/>
            <w:gridSpan w:val="3"/>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w:t>
            </w:r>
          </w:p>
        </w:tc>
        <w:tc>
          <w:tcPr>
            <w:tcW w:w="100" w:type="dxa"/>
            <w:vAlign w:val="bottom"/>
            <w:shd w:val="clear" w:color="auto" w:fill="CFF0FC"/>
          </w:tcPr>
          <w:p>
            <w:pPr>
              <w:spacing w:after="0"/>
              <w:rPr>
                <w:sz w:val="18"/>
                <w:szCs w:val="18"/>
                <w:color w:val="auto"/>
              </w:rPr>
            </w:pP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740" w:right="500" w:hanging="371"/>
        <w:spacing w:after="0" w:line="286" w:lineRule="auto"/>
        <w:tabs>
          <w:tab w:leader="none" w:pos="740" w:val="left"/>
        </w:tabs>
        <w:numPr>
          <w:ilvl w:val="0"/>
          <w:numId w:val="38"/>
        </w:numPr>
        <w:rPr>
          <w:rFonts w:ascii="Arial" w:cs="Arial" w:eastAsia="Arial" w:hAnsi="Arial"/>
          <w:sz w:val="15"/>
          <w:szCs w:val="15"/>
          <w:color w:val="auto"/>
        </w:rPr>
      </w:pPr>
      <w:r>
        <w:rPr>
          <w:rFonts w:ascii="Arial" w:cs="Arial" w:eastAsia="Arial" w:hAnsi="Arial"/>
          <w:sz w:val="17"/>
          <w:szCs w:val="17"/>
          <w:color w:val="auto"/>
        </w:rPr>
        <w:t>Sales are reported in the geographic area in which they originate. No non-U.S. country generated more than 10% of net sales in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2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are reported in Other current liabilities and Other long-term liabilities in the Consolidated Statement of Financial Position. Contract assets and liabilities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7"/>
                <w:szCs w:val="17"/>
                <w:b w:val="1"/>
                <w:bCs w:val="1"/>
                <w:color w:val="auto"/>
                <w:w w:val="95"/>
              </w:rPr>
              <w:t>As of December 31,</w:t>
            </w:r>
          </w:p>
        </w:tc>
        <w:tc>
          <w:tcPr>
            <w:tcW w:w="0" w:type="dxa"/>
            <w:vAlign w:val="bottom"/>
          </w:tcPr>
          <w:p>
            <w:pPr>
              <w:spacing w:after="0"/>
              <w:rPr>
                <w:sz w:val="1"/>
                <w:szCs w:val="1"/>
                <w:color w:val="auto"/>
              </w:rPr>
            </w:pPr>
          </w:p>
        </w:tc>
      </w:tr>
      <w:tr>
        <w:trPr>
          <w:trHeight w:val="227"/>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7"/>
                <w:szCs w:val="17"/>
                <w:b w:val="1"/>
                <w:bCs w:val="1"/>
                <w:color w:val="auto"/>
                <w:w w:val="8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Contract assets</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4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Contract liabilities - current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Contract liabilities - long-term</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4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7"/>
                <w:szCs w:val="17"/>
                <w:color w:val="auto"/>
              </w:rPr>
              <w:t>Activity in deferred revenue accounts consisted of:</w:t>
            </w: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5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9"/>
          </w:tcPr>
          <w:p>
            <w:pPr>
              <w:jc w:val="center"/>
              <w:ind w:left="513"/>
              <w:spacing w:after="0"/>
              <w:rPr>
                <w:sz w:val="20"/>
                <w:szCs w:val="20"/>
                <w:color w:val="auto"/>
              </w:rPr>
            </w:pPr>
            <w:r>
              <w:rPr>
                <w:rFonts w:ascii="Arial" w:cs="Arial" w:eastAsia="Arial" w:hAnsi="Arial"/>
                <w:sz w:val="17"/>
                <w:szCs w:val="17"/>
                <w:b w:val="1"/>
                <w:bCs w:val="1"/>
                <w:color w:val="auto"/>
                <w:w w:val="92"/>
              </w:rPr>
              <w:t>Year Ended December 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5"/>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Beginning liabilities recognized in revenue</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43</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Cash payments received, net of revenue recognized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84"/>
              </w:rPr>
              <w:t>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NOTE 15: OTHER OPERATING (INCOME) EXPENSE, NET</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9"/>
          </w:tcPr>
          <w:p>
            <w:pPr>
              <w:jc w:val="center"/>
              <w:ind w:left="513"/>
              <w:spacing w:after="0"/>
              <w:rPr>
                <w:sz w:val="20"/>
                <w:szCs w:val="20"/>
                <w:color w:val="auto"/>
              </w:rPr>
            </w:pPr>
            <w:r>
              <w:rPr>
                <w:rFonts w:ascii="Arial" w:cs="Arial" w:eastAsia="Arial" w:hAnsi="Arial"/>
                <w:sz w:val="17"/>
                <w:szCs w:val="17"/>
                <w:b w:val="1"/>
                <w:bCs w:val="1"/>
                <w:color w:val="auto"/>
                <w:w w:val="92"/>
              </w:rPr>
              <w:t>Year Ended December 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5"/>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Expense (income):</w:t>
            </w:r>
          </w:p>
        </w:tc>
        <w:tc>
          <w:tcPr>
            <w:tcW w:w="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Legal settlements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Loss (gain) related to the sales of assets </w:t>
            </w:r>
            <w:r>
              <w:rPr>
                <w:rFonts w:ascii="Arial" w:cs="Arial" w:eastAsia="Arial" w:hAnsi="Arial"/>
                <w:sz w:val="14"/>
                <w:szCs w:val="14"/>
                <w:color w:val="auto"/>
              </w:rPr>
              <w:t>(1), (2)</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Transition services agreement income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w w:val="82"/>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14"/>
                <w:szCs w:val="14"/>
                <w:color w:val="auto"/>
              </w:rPr>
              <w:t>(3), (4)</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ind w:left="1140"/>
              <w:spacing w:after="0"/>
              <w:rPr>
                <w:sz w:val="20"/>
                <w:szCs w:val="20"/>
                <w:color w:val="auto"/>
              </w:rPr>
            </w:pPr>
            <w:r>
              <w:rPr>
                <w:rFonts w:ascii="Arial" w:cs="Arial" w:eastAsia="Arial" w:hAnsi="Arial"/>
                <w:sz w:val="17"/>
                <w:szCs w:val="17"/>
                <w:color w:val="auto"/>
              </w:rPr>
              <w:t>Other</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w w:val="82"/>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gridSpan w:val="2"/>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hanging="371"/>
        <w:spacing w:after="0"/>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first quarter of 2020, Kodak sold a property in the U.S. and recognized a gain of $9 million.</w:t>
      </w:r>
    </w:p>
    <w:p>
      <w:pPr>
        <w:spacing w:after="0" w:line="247" w:lineRule="exact"/>
        <w:rPr>
          <w:rFonts w:ascii="Arial" w:cs="Arial" w:eastAsia="Arial" w:hAnsi="Arial"/>
          <w:sz w:val="15"/>
          <w:szCs w:val="15"/>
          <w:color w:val="auto"/>
        </w:rPr>
      </w:pPr>
    </w:p>
    <w:p>
      <w:pPr>
        <w:ind w:left="740" w:hanging="371"/>
        <w:spacing w:after="0"/>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third quarter of 2019, Kodak sold its shares of Kodak (China) Graphic Communication Co., Ltd. and recognized a loss of $12 million.</w:t>
      </w:r>
    </w:p>
    <w:p>
      <w:pPr>
        <w:spacing w:after="0" w:line="247" w:lineRule="exact"/>
        <w:rPr>
          <w:rFonts w:ascii="Arial" w:cs="Arial" w:eastAsia="Arial" w:hAnsi="Arial"/>
          <w:sz w:val="15"/>
          <w:szCs w:val="15"/>
          <w:color w:val="auto"/>
        </w:rPr>
      </w:pPr>
    </w:p>
    <w:p>
      <w:pPr>
        <w:ind w:left="740" w:right="20" w:hanging="371"/>
        <w:spacing w:after="0" w:line="286"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first quarter of 2020 and the fourth quarter of 2019, Kodak recorded impairment charges of $3 million and $4 million, respectively, related to the Kodak trade name. Refer to Note 5, “Goodwill and Other Intangible Assets”.</w:t>
      </w:r>
    </w:p>
    <w:p>
      <w:pPr>
        <w:spacing w:after="0" w:line="185" w:lineRule="exact"/>
        <w:rPr>
          <w:rFonts w:ascii="Arial" w:cs="Arial" w:eastAsia="Arial" w:hAnsi="Arial"/>
          <w:sz w:val="15"/>
          <w:szCs w:val="15"/>
          <w:color w:val="auto"/>
        </w:rPr>
      </w:pPr>
    </w:p>
    <w:p>
      <w:pPr>
        <w:ind w:left="740" w:hanging="371"/>
        <w:spacing w:after="0" w:line="286"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fourth quarter of 2019, Kodak determined the carrying value of one building no longer in use exceeded its fair value and recorded an impairment charge of $2 million.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NOTE 16: OTHER (INCOME) CHARGES, NET</w:t>
      </w:r>
    </w:p>
    <w:p>
      <w:pPr>
        <w:spacing w:after="0" w:line="260" w:lineRule="exact"/>
        <w:rPr>
          <w:sz w:val="20"/>
          <w:szCs w:val="20"/>
          <w:color w:val="auto"/>
        </w:rPr>
      </w:pPr>
    </w:p>
    <w:p>
      <w:pPr>
        <w:ind w:left="726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45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520" w:type="dxa"/>
            <w:vAlign w:val="bottom"/>
            <w:shd w:val="clear" w:color="auto" w:fill="CFF0FC"/>
          </w:tcPr>
          <w:p>
            <w:pPr>
              <w:spacing w:after="0"/>
              <w:rPr>
                <w:sz w:val="20"/>
                <w:szCs w:val="20"/>
                <w:color w:val="auto"/>
              </w:rPr>
            </w:pPr>
            <w:r>
              <w:rPr>
                <w:rFonts w:ascii="Arial" w:cs="Arial" w:eastAsia="Arial" w:hAnsi="Arial"/>
                <w:sz w:val="17"/>
                <w:szCs w:val="17"/>
                <w:color w:val="auto"/>
              </w:rPr>
              <w:t>Change in fair value of embedded conversion features</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derivative </w:t>
            </w:r>
            <w:r>
              <w:rPr>
                <w:rFonts w:ascii="Arial" w:cs="Arial" w:eastAsia="Arial" w:hAnsi="Arial"/>
                <w:sz w:val="14"/>
                <w:szCs w:val="14"/>
                <w:color w:val="auto"/>
              </w:rPr>
              <w:t>(1)</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Arial" w:cs="Arial" w:eastAsia="Arial" w:hAnsi="Arial"/>
                <w:sz w:val="17"/>
                <w:szCs w:val="17"/>
                <w:color w:val="auto"/>
              </w:rPr>
              <w:t>Loss on foreign exchange transactions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20" w:type="dxa"/>
            <w:vAlign w:val="bottom"/>
            <w:vMerge w:val="continue"/>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386</w:t>
            </w:r>
          </w:p>
        </w:tc>
        <w:tc>
          <w:tcPr>
            <w:tcW w:w="2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7"/>
          <w:szCs w:val="17"/>
          <w:color w:val="auto"/>
        </w:rPr>
        <w:t>Refer to Note 13, “Financial Instruments”.</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INCOME TAXES</w:t>
      </w:r>
    </w:p>
    <w:p>
      <w:pPr>
        <w:spacing w:after="0" w:line="253" w:lineRule="exact"/>
        <w:rPr>
          <w:sz w:val="20"/>
          <w:szCs w:val="20"/>
          <w:color w:val="auto"/>
        </w:rPr>
      </w:pPr>
    </w:p>
    <w:p>
      <w:pPr>
        <w:ind w:right="880"/>
        <w:spacing w:after="0" w:line="263" w:lineRule="auto"/>
        <w:rPr>
          <w:sz w:val="20"/>
          <w:szCs w:val="20"/>
          <w:color w:val="auto"/>
        </w:rPr>
      </w:pPr>
      <w:r>
        <w:rPr>
          <w:rFonts w:ascii="Arial" w:cs="Arial" w:eastAsia="Arial" w:hAnsi="Arial"/>
          <w:sz w:val="17"/>
          <w:szCs w:val="17"/>
          <w:color w:val="auto"/>
        </w:rPr>
        <w:t>The components of earnings (loss) from continuing operations before income taxes and the related provision for U.S. and other income taxes were as follows (in millions):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gridSpan w:val="8"/>
          </w:tcPr>
          <w:p>
            <w:pPr>
              <w:jc w:val="right"/>
              <w:ind w:right="80"/>
              <w:spacing w:after="0"/>
              <w:rPr>
                <w:sz w:val="20"/>
                <w:szCs w:val="20"/>
                <w:color w:val="auto"/>
              </w:rPr>
            </w:pPr>
            <w:r>
              <w:rPr>
                <w:rFonts w:ascii="Arial" w:cs="Arial" w:eastAsia="Arial" w:hAnsi="Arial"/>
                <w:sz w:val="17"/>
                <w:szCs w:val="17"/>
                <w:b w:val="1"/>
                <w:bCs w:val="1"/>
                <w:color w:val="auto"/>
                <w:w w:val="94"/>
              </w:rPr>
              <w:t>Year Ended December 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48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196"/>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w w:val="99"/>
              </w:rPr>
              <w:t>Earnings (Loss) earnings from continuing operations before</w:t>
            </w:r>
          </w:p>
        </w:tc>
        <w:tc>
          <w:tcPr>
            <w:tcW w:w="4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7"/>
        </w:trPr>
        <w:tc>
          <w:tcPr>
            <w:tcW w:w="486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income taxes:</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4860" w:type="dxa"/>
            <w:vAlign w:val="bottom"/>
          </w:tcPr>
          <w:p>
            <w:pPr>
              <w:spacing w:after="0"/>
              <w:rPr>
                <w:sz w:val="20"/>
                <w:szCs w:val="20"/>
                <w:color w:val="auto"/>
              </w:rPr>
            </w:pPr>
            <w:r>
              <w:rPr>
                <w:rFonts w:ascii="Arial" w:cs="Arial" w:eastAsia="Arial" w:hAnsi="Arial"/>
                <w:sz w:val="17"/>
                <w:szCs w:val="17"/>
                <w:color w:val="auto"/>
              </w:rPr>
              <w:t>U.S.</w:t>
            </w:r>
          </w:p>
        </w:tc>
        <w:tc>
          <w:tcPr>
            <w:tcW w:w="120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(388)</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r>
      <w:tr>
        <w:trPr>
          <w:trHeight w:val="221"/>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Outside the U.S.</w:t>
            </w:r>
          </w:p>
        </w:tc>
        <w:tc>
          <w:tcPr>
            <w:tcW w:w="4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9"/>
                <w:szCs w:val="19"/>
                <w:color w:val="auto"/>
              </w:rPr>
            </w:pPr>
          </w:p>
        </w:tc>
      </w:tr>
      <w:tr>
        <w:trPr>
          <w:trHeight w:val="254"/>
        </w:trPr>
        <w:tc>
          <w:tcPr>
            <w:tcW w:w="4860" w:type="dxa"/>
            <w:vAlign w:val="bottom"/>
          </w:tcPr>
          <w:p>
            <w:pPr>
              <w:ind w:left="2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(376)</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r>
      <w:tr>
        <w:trPr>
          <w:trHeight w:val="201"/>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U.S. income taxes:</w:t>
            </w:r>
          </w:p>
        </w:tc>
        <w:tc>
          <w:tcPr>
            <w:tcW w:w="4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1"/>
        </w:trPr>
        <w:tc>
          <w:tcPr>
            <w:tcW w:w="4860" w:type="dxa"/>
            <w:vAlign w:val="bottom"/>
          </w:tcPr>
          <w:p>
            <w:pPr>
              <w:ind w:left="220"/>
              <w:spacing w:after="0"/>
              <w:rPr>
                <w:sz w:val="20"/>
                <w:szCs w:val="20"/>
                <w:color w:val="auto"/>
              </w:rPr>
            </w:pPr>
            <w:r>
              <w:rPr>
                <w:rFonts w:ascii="Arial" w:cs="Arial" w:eastAsia="Arial" w:hAnsi="Arial"/>
                <w:sz w:val="17"/>
                <w:szCs w:val="17"/>
                <w:color w:val="auto"/>
              </w:rPr>
              <w:t>Current benefit</w:t>
            </w:r>
          </w:p>
        </w:tc>
        <w:tc>
          <w:tcPr>
            <w:tcW w:w="120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8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(benefit) provision</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860" w:type="dxa"/>
            <w:vAlign w:val="bottom"/>
          </w:tcPr>
          <w:p>
            <w:pPr>
              <w:spacing w:after="0"/>
              <w:rPr>
                <w:sz w:val="20"/>
                <w:szCs w:val="20"/>
                <w:color w:val="auto"/>
              </w:rPr>
            </w:pPr>
            <w:r>
              <w:rPr>
                <w:rFonts w:ascii="Arial" w:cs="Arial" w:eastAsia="Arial" w:hAnsi="Arial"/>
                <w:sz w:val="17"/>
                <w:szCs w:val="17"/>
                <w:b w:val="1"/>
                <w:bCs w:val="1"/>
                <w:color w:val="auto"/>
              </w:rPr>
              <w:t>Income taxes outside the U.S.:</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8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Current provision (benefit)</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9"/>
                <w:szCs w:val="19"/>
                <w:color w:val="auto"/>
              </w:rPr>
            </w:pPr>
          </w:p>
        </w:tc>
      </w:tr>
      <w:tr>
        <w:trPr>
          <w:trHeight w:val="221"/>
        </w:trPr>
        <w:tc>
          <w:tcPr>
            <w:tcW w:w="48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Deferred provision</w:t>
            </w:r>
          </w:p>
        </w:tc>
        <w:tc>
          <w:tcPr>
            <w:tcW w:w="4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FF0FC"/>
            </w:tcBorders>
          </w:tcPr>
          <w:p>
            <w:pPr>
              <w:spacing w:after="0"/>
              <w:rPr>
                <w:sz w:val="19"/>
                <w:szCs w:val="19"/>
                <w:color w:val="auto"/>
              </w:rPr>
            </w:pPr>
          </w:p>
        </w:tc>
      </w:tr>
      <w:tr>
        <w:trPr>
          <w:trHeight w:val="214"/>
        </w:trPr>
        <w:tc>
          <w:tcPr>
            <w:tcW w:w="48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provision</w:t>
            </w:r>
          </w:p>
        </w:tc>
        <w:tc>
          <w:tcPr>
            <w:tcW w:w="1200" w:type="dxa"/>
            <w:vAlign w:val="bottom"/>
            <w:gridSpan w:val="2"/>
            <w:shd w:val="clear" w:color="auto" w:fill="CFF0FC"/>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FF0FC"/>
          </w:tcPr>
          <w:p>
            <w:pPr>
              <w:spacing w:after="0"/>
              <w:rPr>
                <w:sz w:val="18"/>
                <w:szCs w:val="18"/>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differences between income taxes computed using the U.S. federal income tax rate and the provision for income taxes for continuing operations were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gridSpan w:val="8"/>
          </w:tcPr>
          <w:p>
            <w:pPr>
              <w:jc w:val="right"/>
              <w:ind w:right="60"/>
              <w:spacing w:after="0"/>
              <w:rPr>
                <w:sz w:val="20"/>
                <w:szCs w:val="20"/>
                <w:color w:val="auto"/>
              </w:rPr>
            </w:pPr>
            <w:r>
              <w:rPr>
                <w:rFonts w:ascii="Arial" w:cs="Arial" w:eastAsia="Arial" w:hAnsi="Arial"/>
                <w:sz w:val="17"/>
                <w:szCs w:val="17"/>
                <w:b w:val="1"/>
                <w:bCs w:val="1"/>
                <w:color w:val="auto"/>
                <w:w w:val="94"/>
              </w:rPr>
              <w:t>Year Ended December 31,</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0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Amount computed using the statutory rate</w:t>
            </w:r>
          </w:p>
        </w:tc>
        <w:tc>
          <w:tcPr>
            <w:tcW w:w="200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(79)</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Increase (reduction) in taxes resulting from:</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Unremitted foreign earnings</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Operations outside the U.S.</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Legislative tax law and rate changes</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Valuation allowance</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8"/>
              </w:rPr>
              <w:t>Tax settlements and adjustments, including interest</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Embedded derivative liability</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net</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1140"/>
              <w:spacing w:after="0"/>
              <w:rPr>
                <w:sz w:val="20"/>
                <w:szCs w:val="20"/>
                <w:color w:val="auto"/>
              </w:rPr>
            </w:pPr>
            <w:r>
              <w:rPr>
                <w:rFonts w:ascii="Arial" w:cs="Arial" w:eastAsia="Arial" w:hAnsi="Arial"/>
                <w:sz w:val="17"/>
                <w:szCs w:val="17"/>
                <w:color w:val="auto"/>
              </w:rPr>
              <w:t>Provision from income taxes</w:t>
            </w:r>
          </w:p>
        </w:tc>
        <w:tc>
          <w:tcPr>
            <w:tcW w:w="1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0" w:type="dxa"/>
            <w:vAlign w:val="bottom"/>
            <w:gridSpan w:val="2"/>
            <w:vMerge w:val="continue"/>
          </w:tcPr>
          <w:p>
            <w:pPr>
              <w:spacing w:after="0"/>
              <w:rPr>
                <w:sz w:val="18"/>
                <w:szCs w:val="18"/>
                <w:color w:val="auto"/>
              </w:rPr>
            </w:pPr>
          </w:p>
        </w:tc>
        <w:tc>
          <w:tcPr>
            <w:tcW w:w="200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vMerge w:val="restart"/>
          </w:tcPr>
          <w:p>
            <w:pPr>
              <w:jc w:val="right"/>
              <w:ind w:right="593"/>
              <w:spacing w:after="0"/>
              <w:rPr>
                <w:sz w:val="20"/>
                <w:szCs w:val="20"/>
                <w:color w:val="auto"/>
              </w:rPr>
            </w:pPr>
            <w:r>
              <w:rPr>
                <w:rFonts w:ascii="Arial" w:cs="Arial" w:eastAsia="Arial" w:hAnsi="Arial"/>
                <w:sz w:val="17"/>
                <w:szCs w:val="17"/>
                <w:color w:val="auto"/>
              </w:rPr>
              <w:t>101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1"/>
        </w:trPr>
        <w:tc>
          <w:tcPr>
            <w:tcW w:w="6800" w:type="dxa"/>
            <w:vAlign w:val="bottom"/>
            <w:gridSpan w:val="2"/>
          </w:tcPr>
          <w:p>
            <w:pPr>
              <w:spacing w:after="0"/>
              <w:rPr>
                <w:sz w:val="20"/>
                <w:szCs w:val="20"/>
                <w:color w:val="auto"/>
              </w:rPr>
            </w:pPr>
            <w:r>
              <w:rPr>
                <w:rFonts w:ascii="Arial" w:cs="Arial" w:eastAsia="Arial" w:hAnsi="Arial"/>
                <w:sz w:val="17"/>
                <w:szCs w:val="17"/>
                <w:color w:val="auto"/>
                <w:w w:val="97"/>
              </w:rPr>
              <w:t>The significant components of deferred tax assets and liabilities were as follows (in millions):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7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tax assets</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Pension and postretirement obligations</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Restructuring programs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Leasing</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 tax credit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Investment tax credit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Employee deferred compensation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Research and development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Tax loss carryforwards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Other deferred revenue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00" w:type="dxa"/>
            <w:vAlign w:val="bottom"/>
            <w:gridSpan w:val="2"/>
          </w:tcPr>
          <w:p>
            <w:pPr>
              <w:ind w:left="1700"/>
              <w:spacing w:after="0"/>
              <w:rPr>
                <w:sz w:val="20"/>
                <w:szCs w:val="20"/>
                <w:color w:val="auto"/>
              </w:rPr>
            </w:pPr>
            <w:r>
              <w:rPr>
                <w:rFonts w:ascii="Arial" w:cs="Arial" w:eastAsia="Arial" w:hAnsi="Arial"/>
                <w:sz w:val="17"/>
                <w:szCs w:val="17"/>
                <w:color w:val="auto"/>
              </w:rPr>
              <w:t>Total deferred tax assets before valuation allowances</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1,096</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Valuation allowances</w:t>
            </w: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51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(934)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1700"/>
              <w:spacing w:after="0"/>
              <w:rPr>
                <w:sz w:val="20"/>
                <w:szCs w:val="20"/>
                <w:color w:val="auto"/>
              </w:rPr>
            </w:pPr>
            <w:r>
              <w:rPr>
                <w:rFonts w:ascii="Arial" w:cs="Arial" w:eastAsia="Arial" w:hAnsi="Arial"/>
                <w:sz w:val="17"/>
                <w:szCs w:val="17"/>
                <w:color w:val="auto"/>
              </w:rPr>
              <w:t>Total net deferred tax assets</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800" w:type="dxa"/>
            <w:vAlign w:val="bottom"/>
            <w:gridSpan w:val="2"/>
            <w:vMerge w:val="continue"/>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1700"/>
              <w:spacing w:after="0"/>
              <w:rPr>
                <w:sz w:val="20"/>
                <w:szCs w:val="20"/>
                <w:color w:val="auto"/>
              </w:rPr>
            </w:pPr>
            <w:r>
              <w:rPr>
                <w:rFonts w:ascii="Arial" w:cs="Arial" w:eastAsia="Arial" w:hAnsi="Arial"/>
                <w:sz w:val="17"/>
                <w:szCs w:val="17"/>
                <w:b w:val="1"/>
                <w:bCs w:val="1"/>
                <w:color w:val="auto"/>
              </w:rPr>
              <w:t>Deferred tax liabilities</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Pension and postretirement obligations</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Goodwill/intangibles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Unremitted foreign earnings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1700"/>
              <w:spacing w:after="0"/>
              <w:rPr>
                <w:sz w:val="20"/>
                <w:szCs w:val="20"/>
                <w:color w:val="auto"/>
              </w:rPr>
            </w:pPr>
            <w:r>
              <w:rPr>
                <w:rFonts w:ascii="Arial" w:cs="Arial" w:eastAsia="Arial" w:hAnsi="Arial"/>
                <w:sz w:val="17"/>
                <w:szCs w:val="17"/>
                <w:color w:val="auto"/>
              </w:rPr>
              <w:t>Total deferred tax liabilities</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Net deferred tax liabilities</w:t>
            </w: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5100" w:type="dxa"/>
            <w:vAlign w:val="bottom"/>
            <w:vMerge w:val="continue"/>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Deferred tax liabilities are reported in the following component within the Consolidated Statement of Financial Position (in millions):</w:t>
      </w:r>
    </w:p>
    <w:p>
      <w:pPr>
        <w:spacing w:after="0" w:line="254" w:lineRule="exact"/>
        <w:rPr>
          <w:sz w:val="20"/>
          <w:szCs w:val="20"/>
          <w:color w:val="auto"/>
        </w:rPr>
      </w:pPr>
    </w:p>
    <w:p>
      <w:pPr>
        <w:jc w:val="center"/>
        <w:ind w:left="528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p>
      <w:pPr>
        <w:ind w:left="7440"/>
        <w:spacing w:after="0"/>
        <w:tabs>
          <w:tab w:leader="none" w:pos="872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44"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358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18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w:t>
            </w:r>
          </w:p>
        </w:tc>
        <w:tc>
          <w:tcPr>
            <w:tcW w:w="4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7"/>
                <w:szCs w:val="17"/>
                <w:color w:val="auto"/>
              </w:rPr>
              <w:t>Net deferred tax liabilities</w:t>
            </w:r>
          </w:p>
        </w:tc>
        <w:tc>
          <w:tcPr>
            <w:tcW w:w="1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vMerge w:val="continue"/>
          </w:tcPr>
          <w:p>
            <w:pPr>
              <w:spacing w:after="0"/>
              <w:rPr>
                <w:sz w:val="18"/>
                <w:szCs w:val="18"/>
                <w:color w:val="auto"/>
              </w:rPr>
            </w:pPr>
          </w:p>
        </w:tc>
        <w:tc>
          <w:tcPr>
            <w:tcW w:w="2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Kodak had available domestic and foreign NOL carry-forwards for income tax purposes of approximately $2,058 million, of which</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$866 million have an indefinite carry-forward period. The remaining $1,192 million expire between the years 2022 and 2038. As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Kodak had unused foreign tax credits and investment tax credits of $358 million and $33 million, respectively, with various expiration dates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through 2035.</w:t>
      </w:r>
    </w:p>
    <w:p>
      <w:pPr>
        <w:spacing w:after="0" w:line="235"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Utilization of NOL carry-forwards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three-year testing period.</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Kodak had deferred tax liabilities of $20 million and $22 million for potential taxes on the undistributed earnings, including foreign withholding taxes, as of December 31, 2021 and 2020, respectively.</w:t>
      </w:r>
    </w:p>
    <w:p>
      <w:pPr>
        <w:spacing w:after="0" w:line="185" w:lineRule="exact"/>
        <w:rPr>
          <w:sz w:val="20"/>
          <w:szCs w:val="20"/>
          <w:color w:val="auto"/>
        </w:rPr>
      </w:pPr>
    </w:p>
    <w:p>
      <w:pPr>
        <w:ind w:right="920"/>
        <w:spacing w:after="0" w:line="271" w:lineRule="auto"/>
        <w:rPr>
          <w:sz w:val="20"/>
          <w:szCs w:val="20"/>
          <w:color w:val="auto"/>
        </w:rPr>
      </w:pPr>
      <w:r>
        <w:rPr>
          <w:rFonts w:ascii="Arial" w:cs="Arial" w:eastAsia="Arial" w:hAnsi="Arial"/>
          <w:sz w:val="17"/>
          <w:szCs w:val="17"/>
          <w:color w:val="auto"/>
        </w:rPr>
        <w:t>Kodak’s valuation allowance as of December 31, 2021 was $934 million. Of this amount, $360 million was attributable to Kodak’s net deferred tax assets outside the U.S. of $351 million, and $574 million related to Kodak’s net deferred tax assets in the U.S. of $554 million, for which Kodak believes it is not more likely than not that the assets will be realized.</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102" w:name="page103"/>
    <w:bookmarkEnd w:id="102"/>
    <w:p>
      <w:pPr>
        <w:ind w:right="820"/>
        <w:spacing w:after="0" w:line="271" w:lineRule="auto"/>
        <w:rPr>
          <w:sz w:val="20"/>
          <w:szCs w:val="20"/>
          <w:color w:val="auto"/>
        </w:rPr>
      </w:pPr>
      <w:r>
        <w:rPr>
          <w:rFonts w:ascii="Arial" w:cs="Arial" w:eastAsia="Arial" w:hAnsi="Arial"/>
          <w:sz w:val="17"/>
          <w:szCs w:val="17"/>
          <w:color w:val="auto"/>
        </w:rPr>
        <w:t>Kodak’s valuation allowance as of December 31, 2020 was $1,112 million. Of this amount, $374 million was attributable to Kodak’s net deferred tax assets outside the U.S. of $364 million, and $738 million related to Kodak’s net deferred tax assets in the U.S. of $717 million, for which Kodak believes it is not more likely than not that the assets will be realized.</w:t>
      </w:r>
    </w:p>
    <w:p>
      <w:pPr>
        <w:spacing w:after="0" w:line="19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Uncertainty in Income Taxes</w:t>
      </w:r>
    </w:p>
    <w:p>
      <w:pPr>
        <w:spacing w:after="0" w:line="117" w:lineRule="exact"/>
        <w:rPr>
          <w:sz w:val="20"/>
          <w:szCs w:val="20"/>
          <w:color w:val="auto"/>
        </w:rPr>
      </w:pPr>
    </w:p>
    <w:p>
      <w:pPr>
        <w:ind w:right="1100"/>
        <w:spacing w:after="0" w:line="263" w:lineRule="auto"/>
        <w:rPr>
          <w:sz w:val="20"/>
          <w:szCs w:val="20"/>
          <w:color w:val="auto"/>
        </w:rPr>
      </w:pPr>
      <w:r>
        <w:rPr>
          <w:rFonts w:ascii="Arial" w:cs="Arial" w:eastAsia="Arial" w:hAnsi="Arial"/>
          <w:sz w:val="17"/>
          <w:szCs w:val="17"/>
          <w:color w:val="auto"/>
        </w:rPr>
        <w:t>A reconciliation of the beginning and ending amount of Kodak’s liability for income taxes associated with unrecognized tax benefits is as follows (in millions):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gridSpan w:val="7"/>
          </w:tcPr>
          <w:p>
            <w:pPr>
              <w:jc w:val="right"/>
              <w:spacing w:after="0"/>
              <w:rPr>
                <w:sz w:val="20"/>
                <w:szCs w:val="20"/>
                <w:color w:val="auto"/>
              </w:rPr>
            </w:pPr>
            <w:r>
              <w:rPr>
                <w:rFonts w:ascii="Arial" w:cs="Arial" w:eastAsia="Arial" w:hAnsi="Arial"/>
                <w:sz w:val="17"/>
                <w:szCs w:val="17"/>
                <w:b w:val="1"/>
                <w:bCs w:val="1"/>
                <w:color w:val="auto"/>
                <w:w w:val="94"/>
              </w:rPr>
              <w:t>Year Ended December 31,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January 1</w:t>
            </w:r>
          </w:p>
        </w:tc>
        <w:tc>
          <w:tcPr>
            <w:tcW w:w="190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7"/>
                <w:szCs w:val="17"/>
                <w:b w:val="1"/>
                <w:bCs w:val="1"/>
                <w:color w:val="auto"/>
              </w:rPr>
              <w:t>Tax positions related to the current year:</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7"/>
                <w:szCs w:val="17"/>
                <w:b w:val="1"/>
                <w:bCs w:val="1"/>
                <w:color w:val="auto"/>
              </w:rPr>
              <w:t>Tax positions related to prior years:</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7"/>
                <w:szCs w:val="17"/>
                <w:color w:val="auto"/>
              </w:rPr>
              <w:t>Reductions</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Settlements with taxing jurisdictions</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7"/>
                <w:szCs w:val="17"/>
                <w:b w:val="1"/>
                <w:bCs w:val="1"/>
                <w:color w:val="auto"/>
              </w:rPr>
              <w:t>Balance as of December 31</w:t>
            </w: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90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Kodak’s policy regarding interest and/or penalties related to income tax matters is to recognize such items as a component of provision for income taxes. Kodak had approximately $11 million and $14 million of interest and penalties associated with uncertain tax benefits accrued as of December 31, 2021 and 2020, respectively.</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 had uncertain tax benefits of approximately $15 million and $22 million as of December 31, 2021 and 2020, respectively,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It is reasonably possible that the liability associated with Kodak’s unrecognized tax benefits will increase or decrease within the next twelve months. These changes may be the result of settling ongoing audits or the expiration of statutes of limitations. Audit outcomes and the timing of audit settlements are subject to significant uncertainty.</w:t>
      </w:r>
    </w:p>
    <w:p>
      <w:pPr>
        <w:spacing w:after="0" w:line="67" w:lineRule="exact"/>
        <w:rPr>
          <w:sz w:val="20"/>
          <w:szCs w:val="20"/>
          <w:color w:val="auto"/>
        </w:rPr>
      </w:pPr>
    </w:p>
    <w:p>
      <w:pPr>
        <w:jc w:val="both"/>
        <w:ind w:right="260"/>
        <w:spacing w:after="0" w:line="271" w:lineRule="auto"/>
        <w:rPr>
          <w:sz w:val="20"/>
          <w:szCs w:val="20"/>
          <w:color w:val="auto"/>
        </w:rPr>
      </w:pPr>
      <w:r>
        <w:rPr>
          <w:rFonts w:ascii="Arial" w:cs="Arial" w:eastAsia="Arial" w:hAnsi="Arial"/>
          <w:sz w:val="17"/>
          <w:szCs w:val="17"/>
          <w:color w:val="auto"/>
        </w:rPr>
        <w:t>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2021 Kodak agreed to terms with a taxing authority outside the U.S. and settled open tax audits for years through 2014. For these years Kodak originally recorded liabilities for unrecognized tax positions (“UTPs”) totaling $3 million (plus interest of approximately $4 million) which were substantially offset by prepaid assets.</w:t>
      </w:r>
    </w:p>
    <w:p>
      <w:pPr>
        <w:spacing w:after="0" w:line="197"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During 2020, Kodak agreed to terms with the IRS and settled the federal audit for calendar years 2013 and 2014. For these years, Kodak originally recorded a federal UTP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197"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During 2019, Kodak reached a settlement outside of the U.S. and settled an audit for calendar years 2005-2008. Kodak originally recorded liabilities for UTPs totaling $3 million (plus interest of approximately $3 million). Kodak paid $2 million in 2019 as result of this settlement and paid the remaining $4 million in April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Kodak is subject to taxation and files income tax returns in the U.S. federal jurisdiction and in many state and foreign jurisdictions. Kodak has substantially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concluded all U.S. federal income tax matters for years through 2017 and state income tax matters for years through 2015 with the respective tax</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authorities. With respect to countries outside the U.S., Kodak has substantially concluded all material foreign income tax matters through 2013 with respective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foreign tax jurisdiction authorities.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RESTRUCTURING COSTS AND OTHER</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incurred in relation to restructuring programs during the three years ended December 31, 2021 were as follows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7"/>
                <w:szCs w:val="17"/>
                <w:b w:val="1"/>
                <w:bCs w:val="1"/>
                <w:color w:val="auto"/>
              </w:rPr>
              <w:t>Severance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Exit Costs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xml:space="preserve">Reserve </w:t>
            </w:r>
            <w:r>
              <w:rPr>
                <w:rFonts w:ascii="Arial" w:cs="Arial" w:eastAsia="Arial" w:hAnsi="Arial"/>
                <w:sz w:val="14"/>
                <w:szCs w:val="14"/>
                <w:b w:val="1"/>
                <w:bCs w:val="1"/>
                <w:color w:val="auto"/>
              </w:rPr>
              <w:t>(1)</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 xml:space="preserve">Reserve </w:t>
            </w:r>
            <w:r>
              <w:rPr>
                <w:rFonts w:ascii="Arial" w:cs="Arial" w:eastAsia="Arial" w:hAnsi="Arial"/>
                <w:sz w:val="14"/>
                <w:szCs w:val="14"/>
                <w:b w:val="1"/>
                <w:bCs w:val="1"/>
                <w:color w:val="auto"/>
              </w:rPr>
              <w:t>(1)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2018</w:t>
            </w:r>
          </w:p>
        </w:tc>
        <w:tc>
          <w:tcPr>
            <w:tcW w:w="1280" w:type="dxa"/>
            <w:vAlign w:val="bottom"/>
            <w:shd w:val="clear" w:color="auto" w:fill="CFF0FC"/>
          </w:tcPr>
          <w:p>
            <w:pPr>
              <w:jc w:val="right"/>
              <w:ind w:right="111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20"/>
                <w:szCs w:val="20"/>
                <w:color w:val="auto"/>
              </w:rPr>
            </w:pPr>
            <w:r>
              <w:rPr>
                <w:rFonts w:ascii="Arial" w:cs="Arial" w:eastAsia="Arial" w:hAnsi="Arial"/>
                <w:sz w:val="17"/>
                <w:szCs w:val="17"/>
                <w:color w:val="auto"/>
              </w:rPr>
              <w:t>Charges</w:t>
            </w:r>
          </w:p>
        </w:tc>
        <w:tc>
          <w:tcPr>
            <w:tcW w:w="1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12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2019</w:t>
            </w:r>
          </w:p>
        </w:tc>
        <w:tc>
          <w:tcPr>
            <w:tcW w:w="128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20"/>
                <w:szCs w:val="20"/>
                <w:color w:val="auto"/>
              </w:rPr>
            </w:pPr>
            <w:r>
              <w:rPr>
                <w:rFonts w:ascii="Arial" w:cs="Arial" w:eastAsia="Arial" w:hAnsi="Arial"/>
                <w:sz w:val="17"/>
                <w:szCs w:val="17"/>
                <w:color w:val="auto"/>
              </w:rPr>
              <w:t>Charges</w:t>
            </w: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12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2020</w:t>
            </w:r>
          </w:p>
        </w:tc>
        <w:tc>
          <w:tcPr>
            <w:tcW w:w="128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20"/>
                <w:szCs w:val="20"/>
                <w:color w:val="auto"/>
              </w:rPr>
            </w:pPr>
            <w:r>
              <w:rPr>
                <w:rFonts w:ascii="Arial" w:cs="Arial" w:eastAsia="Arial" w:hAnsi="Arial"/>
                <w:sz w:val="17"/>
                <w:szCs w:val="17"/>
                <w:color w:val="auto"/>
              </w:rPr>
              <w:t>Charges</w:t>
            </w: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12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2021</w:t>
            </w: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76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jc w:val="right"/>
              <w:ind w:right="111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60" w:hanging="356"/>
        <w:spacing w:after="0" w:line="286" w:lineRule="auto"/>
        <w:tabs>
          <w:tab w:leader="none" w:pos="360" w:val="left"/>
        </w:tabs>
        <w:numPr>
          <w:ilvl w:val="0"/>
          <w:numId w:val="40"/>
        </w:numPr>
        <w:rPr>
          <w:rFonts w:ascii="Arial" w:cs="Arial" w:eastAsia="Arial" w:hAnsi="Arial"/>
          <w:sz w:val="15"/>
          <w:szCs w:val="15"/>
          <w:color w:val="auto"/>
        </w:rPr>
      </w:pPr>
      <w:r>
        <w:rPr>
          <w:rFonts w:ascii="Arial" w:cs="Arial" w:eastAsia="Arial" w:hAnsi="Arial"/>
          <w:sz w:val="17"/>
          <w:szCs w:val="17"/>
          <w:color w:val="auto"/>
        </w:rPr>
        <w:t>The severance and exit costs reserves require the outlay of cash. Any long-lived asset impairments and inventory write-downs would represent non-cash items.</w:t>
      </w:r>
    </w:p>
    <w:p>
      <w:pPr>
        <w:spacing w:after="0" w:line="55" w:lineRule="exact"/>
        <w:rPr>
          <w:rFonts w:ascii="Arial" w:cs="Arial" w:eastAsia="Arial" w:hAnsi="Arial"/>
          <w:sz w:val="15"/>
          <w:szCs w:val="15"/>
          <w:color w:val="auto"/>
        </w:rPr>
      </w:pPr>
    </w:p>
    <w:p>
      <w:pPr>
        <w:ind w:left="360" w:right="20" w:hanging="356"/>
        <w:spacing w:after="0" w:line="286" w:lineRule="auto"/>
        <w:tabs>
          <w:tab w:leader="none" w:pos="360" w:val="left"/>
        </w:tabs>
        <w:numPr>
          <w:ilvl w:val="0"/>
          <w:numId w:val="40"/>
        </w:numPr>
        <w:rPr>
          <w:rFonts w:ascii="Arial" w:cs="Arial" w:eastAsia="Arial" w:hAnsi="Arial"/>
          <w:sz w:val="15"/>
          <w:szCs w:val="15"/>
          <w:color w:val="auto"/>
        </w:rPr>
      </w:pPr>
      <w:r>
        <w:rPr>
          <w:rFonts w:ascii="Arial" w:cs="Arial" w:eastAsia="Arial" w:hAnsi="Arial"/>
          <w:sz w:val="17"/>
          <w:szCs w:val="17"/>
          <w:color w:val="auto"/>
        </w:rPr>
        <w:t>The $2 million in 2021 and the $3 million in both 2020 and 2019 represented severance charges funded from pension plan assets, which were reclassified to Pension and other postretirement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Activity</w:t>
      </w:r>
    </w:p>
    <w:p>
      <w:pPr>
        <w:spacing w:after="0" w:line="253"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Restructuring actions taken in 2019 were initiated to reduce Kodak’s cost structure as part of its commitment to drive sustainable profitability and included various targeted reductions in manufacturing, service, sales, research and development, and other administrative functions.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a result of these actions, for the year ended December 31, 2019 Kodak recorded $16 million of charges which were reported as Restructuring costs and other in the accompanying Consolidated Statement of Operations.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2019 severance costs related to the elimination of approximately 220 positions, including approximately 150 administrative, 65 manufacturing/service, and 5 research and development positions. The geographic composition of these positions included approximately 90 in the U.S. and Canada and 130 throughout the rest of the world.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2020 Activity</w:t>
      </w:r>
    </w:p>
    <w:p>
      <w:pPr>
        <w:spacing w:after="0" w:line="25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Restructuring actions taken in 2020 were initiated to reduce Kodak’s cost structure as part of its commitment to drive sustainable profitability and included various targeted reductions in manufacturing, service, sales and other administrative functions.</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a result of these actions, for the year ended December 31, 2020 Kodak recorded $17 million of charges which were reported as Restructuring costs and other in the accompanying Consolidated Statement of Operations.</w:t>
      </w:r>
    </w:p>
    <w:p>
      <w:pPr>
        <w:spacing w:after="0" w:line="185"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color w:val="auto"/>
        </w:rPr>
        <w:t>The 2020 severance costs related to the elimination of approximately 250 positions, including approximately 160 administrative and 90 manufacturing/service positions. The geographic composition of these positions included approximately 140 in the U.S. and Canada and 110 throughout the rest of the world.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Activity</w:t>
      </w:r>
    </w:p>
    <w:p>
      <w:pPr>
        <w:spacing w:after="0" w:line="25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Restructuring actions taken in 2021 were initiated to reduce Kodak’s cost structure as part of its commitment to drive sustainable profitability and included various targeted reductions in manufacturing, service, sales and other administrative functions.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a result of these actions, for the year ended December 31, 2021 Kodak recorded $6 million of charges which were reported as Restructuring costs and other in the accompanying Consolidated Statement of Operations.</w:t>
      </w:r>
    </w:p>
    <w:p>
      <w:pPr>
        <w:spacing w:after="0" w:line="185"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color w:val="auto"/>
        </w:rPr>
        <w:t>The 2021 severance costs related to the elimination of approximately 130 positions, including approximately 70 administrative and 60 manufacturing/service positions. The geographic composition of these positions included approximately 70 in the U.S. and Canada and 60 throughout the rest of the world.</w:t>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result of these initiatives, the majority of the severance liabilities as of December 31, 2021 will be paid during periods through the end of the second quarter of 2022. The exit cost reserves primarily relate to a liability for which timing of the payment is uncertain.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RETIREMENT PLANS</w:t>
      </w:r>
    </w:p>
    <w:p>
      <w:pPr>
        <w:spacing w:after="0" w:line="1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For U.S. employees hired prior to March 1999, KRIP’s benefits were generally based on a formula recognizing length of service and final average</w:t>
      </w:r>
    </w:p>
    <w:p>
      <w:pPr>
        <w:spacing w:after="0" w:line="2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earnings. KRIP included a separate cash balance formula for all U.S. employees hired after February 1999, as well as employees hired prior to that date who opted into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a specified percentage of their pay, plus interest based on the 30-year Treasury bond rate. The crediting rates are currently either 9% or 10% of pay based on employee classification.</w:t>
      </w:r>
    </w:p>
    <w:p>
      <w:pPr>
        <w:spacing w:after="0" w:line="7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71"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Information on the major funded and unfunded U.S. and Non-U.S. defined benefit pension plans is presented below. The information for the U.S. for all years presented relates to KRIP. The composition of the major Non-U.S. plans may vary from year to year. If the major Non-U.S. plan composition changes, prior year data is conformed to ensure comparability.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Obligations and Funded Status: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date used to determine the pension obligation for all funded and unfunded U.S. and Non-U.S. defined benefit plans is December 31.</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Year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December 31, 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7"/>
                <w:szCs w:val="17"/>
                <w:color w:val="auto"/>
              </w:rPr>
              <w:t>(in millions)</w:t>
            </w: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Non-U.S.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7"/>
                <w:szCs w:val="17"/>
                <w:b w:val="1"/>
                <w:bCs w:val="1"/>
                <w:color w:val="auto"/>
              </w:rPr>
              <w:t>U.S.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Non-U.S.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Change in Benefit Obligation</w:t>
            </w:r>
          </w:p>
        </w:tc>
        <w:tc>
          <w:tcPr>
            <w:tcW w:w="8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Projected benefit obligation at beginning of period</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3,476</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912</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3,475</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Service cost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Interest cost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Benefit payments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Actuarial (gain) loss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Settlements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Special termination benefits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Currency adjustments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7"/>
                <w:szCs w:val="17"/>
                <w:color w:val="auto"/>
              </w:rPr>
              <w:t>Projected benefit obligation at end of period</w:t>
            </w: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360" w:type="dxa"/>
            <w:vAlign w:val="bottom"/>
            <w:vMerge w:val="continue"/>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3,132</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816</w:t>
            </w:r>
          </w:p>
        </w:tc>
        <w:tc>
          <w:tcPr>
            <w:tcW w:w="1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3,476</w:t>
            </w:r>
          </w:p>
        </w:tc>
        <w:tc>
          <w:tcPr>
            <w:tcW w:w="12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3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Change in Plan Assets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Fair value of plan assets at beginning of period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3,707</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Gain on plan assets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Employer contributions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Benefit payments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Settlements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Currency adjustments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Fair value of plan assets at end of period</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60" w:type="dxa"/>
            <w:vAlign w:val="bottom"/>
            <w:vMerge w:val="continue"/>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4,105</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3,707</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6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Over (under) funded status at end of period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6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Accumulated benefit obligation at end of period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 actuarial gain of $86 million for the U.S. was recognized in 2021 driven by an increase in the discount rate ($105 million), partially offset by losses due to changes in mortality and other demographic assumptions. In 2020, an actuarial loss of $299 million was recognized for the U.S. Plan driven primarily by a decrease in the discount rate ($276 million). The Non-U.S. actuarial loss recognized in 2021 was driven primarily by changes in inflation and other demographic assumptions partially offset by an increase in discount rates, whereas the loss in 2020 was driven primarily by changes in discount rates.</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U.S. recognized a gain on plan assets for the years ended December 31, 2021 and 2020 of $716 million and $495 million, respectively. The gain for 2021 reflects higher expected returns for the U.S. private equity and hedge fund portfolios, and the gain for 2020 reflects strong stock and bond market performance as well as realized gains recorded from derivative investments held by the U.S. The total net realized (losses) gains from these derivative investments for 2021 and 2020 was approximately ($23) million and $159 million, respectively. Refer to discussion below on derivative instruments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amount of $121 million for the U.S. for the year ended December 31, 2020 represents lump sum payments from KRIP.</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106" w:name="page107"/>
    <w:bookmarkEnd w:id="106"/>
    <w:p>
      <w:pPr>
        <w:ind w:right="60"/>
        <w:spacing w:after="0" w:line="286" w:lineRule="auto"/>
        <w:rPr>
          <w:sz w:val="20"/>
          <w:szCs w:val="20"/>
          <w:color w:val="auto"/>
        </w:rPr>
      </w:pPr>
      <w:r>
        <w:rPr>
          <w:rFonts w:ascii="Arial" w:cs="Arial" w:eastAsia="Arial" w:hAnsi="Arial"/>
          <w:sz w:val="17"/>
          <w:szCs w:val="17"/>
          <w:color w:val="auto"/>
        </w:rPr>
        <w:t>The weighted-average assumptions used to determine the benefit obligation amounts for all major funded and unfunded U.S. and Non-U.S. defined benefit plans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91"/>
              </w:rPr>
              <w:t>As of December 31,</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36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2020</w:t>
            </w:r>
          </w:p>
        </w:tc>
        <w:tc>
          <w:tcPr>
            <w:tcW w:w="9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2019</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36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w w:val="90"/>
              </w:rPr>
              <w:t>U.S.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Non-U.S.</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U.S.</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Non-U.S.</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U.S.</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Non-U.S.</w:t>
            </w:r>
          </w:p>
        </w:tc>
        <w:tc>
          <w:tcPr>
            <w:tcW w:w="160" w:type="dxa"/>
            <w:vAlign w:val="bottom"/>
            <w:tcBorders>
              <w:bottom w:val="single" w:sz="8" w:color="CFF0FC"/>
            </w:tcBorders>
          </w:tcPr>
          <w:p>
            <w:pPr>
              <w:spacing w:after="0"/>
              <w:rPr>
                <w:sz w:val="18"/>
                <w:szCs w:val="18"/>
                <w:color w:val="auto"/>
              </w:rPr>
            </w:pPr>
          </w:p>
        </w:tc>
      </w:tr>
      <w:tr>
        <w:trPr>
          <w:trHeight w:val="214"/>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2.54%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2.09%</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1.01%</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1.44%</w:t>
            </w:r>
          </w:p>
        </w:tc>
      </w:tr>
      <w:tr>
        <w:trPr>
          <w:trHeight w:val="221"/>
        </w:trPr>
        <w:tc>
          <w:tcPr>
            <w:tcW w:w="4340" w:type="dxa"/>
            <w:vAlign w:val="bottom"/>
            <w:gridSpan w:val="2"/>
          </w:tcPr>
          <w:p>
            <w:pPr>
              <w:spacing w:after="0"/>
              <w:rPr>
                <w:sz w:val="20"/>
                <w:szCs w:val="20"/>
                <w:color w:val="auto"/>
              </w:rPr>
            </w:pPr>
            <w:r>
              <w:rPr>
                <w:rFonts w:ascii="Arial" w:cs="Arial" w:eastAsia="Arial" w:hAnsi="Arial"/>
                <w:sz w:val="17"/>
                <w:szCs w:val="17"/>
                <w:color w:val="auto"/>
              </w:rPr>
              <w:t>Salary increase rate</w:t>
            </w:r>
          </w:p>
        </w:tc>
        <w:tc>
          <w:tcPr>
            <w:tcW w:w="500" w:type="dxa"/>
            <w:vAlign w:val="bottom"/>
          </w:tcPr>
          <w:p>
            <w:pPr>
              <w:jc w:val="right"/>
              <w:spacing w:after="0"/>
              <w:rPr>
                <w:sz w:val="20"/>
                <w:szCs w:val="20"/>
                <w:color w:val="auto"/>
              </w:rPr>
            </w:pPr>
            <w:r>
              <w:rPr>
                <w:rFonts w:ascii="Arial" w:cs="Arial" w:eastAsia="Arial" w:hAnsi="Arial"/>
                <w:sz w:val="17"/>
                <w:szCs w:val="17"/>
                <w:color w:val="auto"/>
                <w:w w:val="95"/>
              </w:rPr>
              <w:t>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1.72%</w:t>
            </w:r>
          </w:p>
        </w:tc>
      </w:tr>
      <w:tr>
        <w:trPr>
          <w:trHeight w:val="221"/>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crediting rate for cash balance plan</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2.00%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40"/>
              <w:spacing w:after="0"/>
              <w:rPr>
                <w:sz w:val="20"/>
                <w:szCs w:val="20"/>
                <w:color w:val="auto"/>
              </w:rPr>
            </w:pPr>
            <w:r>
              <w:rPr>
                <w:rFonts w:ascii="Arial" w:cs="Arial" w:eastAsia="Arial" w:hAnsi="Arial"/>
                <w:sz w:val="17"/>
                <w:szCs w:val="17"/>
                <w:color w:val="auto"/>
              </w:rPr>
              <w:t>NA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NA</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NA</w:t>
            </w:r>
          </w:p>
        </w:tc>
      </w:tr>
    </w:tbl>
    <w:p>
      <w:pPr>
        <w:spacing w:after="0" w:line="22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Amounts recognized in the Consolidated Statement of Financial Position for all major funded and unfunded U.S. and Non-U.S. defined benefit plans are as follows (in millions):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1840" w:type="dxa"/>
            <w:vAlign w:val="bottom"/>
            <w:gridSpan w:val="4"/>
          </w:tcPr>
          <w:p>
            <w:pPr>
              <w:jc w:val="right"/>
              <w:ind w:right="13"/>
              <w:spacing w:after="0"/>
              <w:rPr>
                <w:sz w:val="20"/>
                <w:szCs w:val="20"/>
                <w:color w:val="auto"/>
              </w:rPr>
            </w:pPr>
            <w:r>
              <w:rPr>
                <w:rFonts w:ascii="Arial" w:cs="Arial" w:eastAsia="Arial" w:hAnsi="Arial"/>
                <w:sz w:val="17"/>
                <w:szCs w:val="17"/>
                <w:b w:val="1"/>
                <w:bCs w:val="1"/>
                <w:color w:val="auto"/>
              </w:rPr>
              <w:t>As of December 31,</w:t>
            </w: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7"/>
                <w:szCs w:val="17"/>
                <w:b w:val="1"/>
                <w:bCs w:val="1"/>
                <w:color w:val="auto"/>
              </w:rPr>
              <w:t>2020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U.S.</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Non-U.S.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U.S.</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Non-U.S.</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Pension and other postretirement assets</w:t>
            </w:r>
          </w:p>
        </w:tc>
        <w:tc>
          <w:tcPr>
            <w:tcW w:w="1720" w:type="dxa"/>
            <w:vAlign w:val="bottom"/>
            <w:gridSpan w:val="2"/>
            <w:shd w:val="clear" w:color="auto" w:fill="CFF0FC"/>
          </w:tcPr>
          <w:p>
            <w:pPr>
              <w:jc w:val="right"/>
              <w:ind w:right="5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231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20" w:type="dxa"/>
            <w:vAlign w:val="bottom"/>
          </w:tcPr>
          <w:p>
            <w:pPr>
              <w:ind w:left="220"/>
              <w:spacing w:after="0"/>
              <w:rPr>
                <w:sz w:val="20"/>
                <w:szCs w:val="20"/>
                <w:color w:val="auto"/>
              </w:rPr>
            </w:pPr>
            <w:r>
              <w:rPr>
                <w:rFonts w:ascii="Arial" w:cs="Arial" w:eastAsia="Arial" w:hAnsi="Arial"/>
                <w:sz w:val="17"/>
                <w:szCs w:val="17"/>
                <w:color w:val="auto"/>
              </w:rPr>
              <w:t>Pension and other postretirement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(226)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amount recognized</w:t>
            </w:r>
          </w:p>
        </w:tc>
        <w:tc>
          <w:tcPr>
            <w:tcW w:w="10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20" w:type="dxa"/>
            <w:vAlign w:val="bottom"/>
            <w:vMerge w:val="continue"/>
            <w:shd w:val="clear" w:color="auto" w:fill="CFF0FC"/>
          </w:tcPr>
          <w:p>
            <w:pPr>
              <w:spacing w:after="0"/>
              <w:rPr>
                <w:sz w:val="18"/>
                <w:szCs w:val="18"/>
                <w:color w:val="auto"/>
              </w:rPr>
            </w:pPr>
          </w:p>
        </w:tc>
        <w:tc>
          <w:tcPr>
            <w:tcW w:w="1720" w:type="dxa"/>
            <w:vAlign w:val="bottom"/>
            <w:gridSpan w:val="2"/>
            <w:shd w:val="clear" w:color="auto" w:fill="CFF0FC"/>
          </w:tcPr>
          <w:p>
            <w:pPr>
              <w:jc w:val="right"/>
              <w:ind w:right="5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(190)</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231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 projected benefit obligation in excess of the fair value of plan assets is as follows (in millions):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Arial" w:cs="Arial" w:eastAsia="Arial" w:hAnsi="Arial"/>
                <w:sz w:val="14"/>
                <w:szCs w:val="14"/>
                <w:color w:val="auto"/>
              </w:rPr>
              <w:t>`</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vMerge w:val="restart"/>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1840" w:type="dxa"/>
            <w:vAlign w:val="bottom"/>
            <w:gridSpan w:val="3"/>
          </w:tcPr>
          <w:p>
            <w:pPr>
              <w:jc w:val="right"/>
              <w:ind w:right="51"/>
              <w:spacing w:after="0"/>
              <w:rPr>
                <w:sz w:val="20"/>
                <w:szCs w:val="20"/>
                <w:color w:val="auto"/>
              </w:rPr>
            </w:pPr>
            <w:r>
              <w:rPr>
                <w:rFonts w:ascii="Arial" w:cs="Arial" w:eastAsia="Arial" w:hAnsi="Arial"/>
                <w:sz w:val="17"/>
                <w:szCs w:val="17"/>
                <w:b w:val="1"/>
                <w:bCs w:val="1"/>
                <w:color w:val="auto"/>
              </w:rPr>
              <w:t>As of December 31,</w:t>
            </w:r>
          </w:p>
        </w:tc>
        <w:tc>
          <w:tcPr>
            <w:tcW w:w="660" w:type="dxa"/>
            <w:vAlign w:val="bottom"/>
            <w:gridSpan w:val="3"/>
            <w:vMerge w:val="restart"/>
          </w:tcPr>
          <w:p>
            <w:pPr>
              <w:jc w:val="right"/>
              <w:ind w:right="100"/>
              <w:spacing w:after="0"/>
              <w:rPr>
                <w:sz w:val="20"/>
                <w:szCs w:val="20"/>
                <w:color w:val="auto"/>
              </w:rPr>
            </w:pPr>
            <w:r>
              <w:rPr>
                <w:rFonts w:ascii="Arial" w:cs="Arial" w:eastAsia="Arial" w:hAnsi="Arial"/>
                <w:sz w:val="17"/>
                <w:szCs w:val="17"/>
                <w:b w:val="1"/>
                <w:bCs w:val="1"/>
                <w:color w:val="auto"/>
              </w:rPr>
              <w:t>2020</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Borders>
              <w:bottom w:val="single" w:sz="8" w:color="CFF0FC"/>
            </w:tcBorders>
          </w:tcPr>
          <w:p>
            <w:pPr>
              <w:spacing w:after="0"/>
              <w:rPr>
                <w:sz w:val="18"/>
                <w:szCs w:val="18"/>
                <w:color w:val="auto"/>
              </w:rPr>
            </w:pP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7"/>
              </w:rPr>
              <w:t>Non-U.S.</w:t>
            </w: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Non-U.S.</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7"/>
                <w:szCs w:val="17"/>
                <w:color w:val="auto"/>
              </w:rPr>
              <w:t>Projected benefit obligation</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FF0FC"/>
          </w:tcPr>
          <w:p>
            <w:pPr>
              <w:ind w:left="600"/>
              <w:spacing w:after="0"/>
              <w:rPr>
                <w:sz w:val="20"/>
                <w:szCs w:val="20"/>
                <w:color w:val="auto"/>
              </w:rPr>
            </w:pPr>
            <w:r>
              <w:rPr>
                <w:rFonts w:ascii="Arial" w:cs="Arial" w:eastAsia="Arial" w:hAnsi="Arial"/>
                <w:sz w:val="17"/>
                <w:szCs w:val="17"/>
                <w:color w:val="auto"/>
              </w:rPr>
              <w:t>—   $</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575</w:t>
            </w:r>
          </w:p>
        </w:tc>
        <w:tc>
          <w:tcPr>
            <w:tcW w:w="86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7"/>
                <w:szCs w:val="17"/>
                <w:color w:val="auto"/>
              </w:rPr>
              <w:t>Fair value of plan assets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ind w:left="6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an accumulated benefit obligation in excess of the fair value of plan assets is as follows (in millions):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3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1840" w:type="dxa"/>
            <w:vAlign w:val="bottom"/>
            <w:gridSpan w:val="3"/>
          </w:tcPr>
          <w:p>
            <w:pPr>
              <w:jc w:val="right"/>
              <w:ind w:right="51"/>
              <w:spacing w:after="0"/>
              <w:rPr>
                <w:sz w:val="20"/>
                <w:szCs w:val="20"/>
                <w:color w:val="auto"/>
              </w:rPr>
            </w:pPr>
            <w:r>
              <w:rPr>
                <w:rFonts w:ascii="Arial" w:cs="Arial" w:eastAsia="Arial" w:hAnsi="Arial"/>
                <w:sz w:val="17"/>
                <w:szCs w:val="17"/>
                <w:b w:val="1"/>
                <w:bCs w:val="1"/>
                <w:color w:val="auto"/>
              </w:rPr>
              <w:t>As of December 31,</w:t>
            </w:r>
          </w:p>
        </w:tc>
        <w:tc>
          <w:tcPr>
            <w:tcW w:w="660" w:type="dxa"/>
            <w:vAlign w:val="bottom"/>
            <w:gridSpan w:val="3"/>
            <w:vMerge w:val="restart"/>
          </w:tcPr>
          <w:p>
            <w:pPr>
              <w:jc w:val="right"/>
              <w:ind w:right="100"/>
              <w:spacing w:after="0"/>
              <w:rPr>
                <w:sz w:val="20"/>
                <w:szCs w:val="20"/>
                <w:color w:val="auto"/>
              </w:rPr>
            </w:pPr>
            <w:r>
              <w:rPr>
                <w:rFonts w:ascii="Arial" w:cs="Arial" w:eastAsia="Arial" w:hAnsi="Arial"/>
                <w:sz w:val="17"/>
                <w:szCs w:val="17"/>
                <w:b w:val="1"/>
                <w:bCs w:val="1"/>
                <w:color w:val="auto"/>
              </w:rPr>
              <w:t>2020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2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7"/>
              </w:rPr>
              <w:t>Non-U.S.</w:t>
            </w: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Non-U.S.</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Accumulated benefit obligation</w:t>
            </w:r>
          </w:p>
        </w:tc>
        <w:tc>
          <w:tcPr>
            <w:tcW w:w="2280" w:type="dxa"/>
            <w:vAlign w:val="bottom"/>
            <w:gridSpan w:val="2"/>
            <w:shd w:val="clear" w:color="auto" w:fill="CFF0FC"/>
          </w:tcPr>
          <w:p>
            <w:pPr>
              <w:jc w:val="right"/>
              <w:ind w:right="57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560</w:t>
            </w:r>
          </w:p>
        </w:tc>
        <w:tc>
          <w:tcPr>
            <w:tcW w:w="86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20"/>
                <w:szCs w:val="20"/>
                <w:color w:val="auto"/>
              </w:rPr>
            </w:pPr>
            <w:r>
              <w:rPr>
                <w:rFonts w:ascii="Arial" w:cs="Arial" w:eastAsia="Arial" w:hAnsi="Arial"/>
                <w:sz w:val="17"/>
                <w:szCs w:val="17"/>
                <w:color w:val="auto"/>
              </w:rPr>
              <w:t>Fair value of plan assets</w:t>
            </w: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Amounts recognized in accumulated other comprehensive income (loss) in shareholders’ equity for all major funded and unfunded U.S. and Non-U.S. defined benefit plans consist of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540"/>
              <w:spacing w:after="0"/>
              <w:rPr>
                <w:sz w:val="20"/>
                <w:szCs w:val="20"/>
                <w:color w:val="auto"/>
              </w:rPr>
            </w:pPr>
            <w:r>
              <w:rPr>
                <w:rFonts w:ascii="Arial" w:cs="Arial" w:eastAsia="Arial" w:hAnsi="Arial"/>
                <w:sz w:val="17"/>
                <w:szCs w:val="17"/>
                <w:b w:val="1"/>
                <w:bCs w:val="1"/>
                <w:color w:val="auto"/>
              </w:rPr>
              <w:t>As of December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2020</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80" w:type="dxa"/>
            <w:vAlign w:val="bottom"/>
            <w:tcBorders>
              <w:bottom w:val="single" w:sz="8" w:color="CFF0FC"/>
            </w:tcBorders>
          </w:tcPr>
          <w:p>
            <w:pPr>
              <w:spacing w:after="0"/>
              <w:rPr>
                <w:sz w:val="18"/>
                <w:szCs w:val="18"/>
                <w:color w:val="auto"/>
              </w:rPr>
            </w:pPr>
          </w:p>
        </w:tc>
        <w:tc>
          <w:tcPr>
            <w:tcW w:w="19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U.S.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Non-U.S.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U.S.</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Non-U.S.</w:t>
            </w:r>
          </w:p>
        </w:tc>
        <w:tc>
          <w:tcPr>
            <w:tcW w:w="8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credit</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gridSpan w:val="2"/>
          </w:tcPr>
          <w:p>
            <w:pPr>
              <w:ind w:left="580"/>
              <w:spacing w:after="0"/>
              <w:rPr>
                <w:sz w:val="20"/>
                <w:szCs w:val="20"/>
                <w:color w:val="auto"/>
              </w:rPr>
            </w:pPr>
            <w:r>
              <w:rPr>
                <w:rFonts w:ascii="Arial" w:cs="Arial" w:eastAsia="Arial" w:hAnsi="Arial"/>
                <w:sz w:val="17"/>
                <w:szCs w:val="17"/>
                <w:color w:val="auto"/>
              </w:rPr>
              <w:t>Net actuarial gain (loss)</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(182)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vMerge w:val="restart"/>
            <w:shd w:val="clear" w:color="auto" w:fill="CFF0FC"/>
          </w:tcPr>
          <w:p>
            <w:pPr>
              <w:ind w:left="100"/>
              <w:spacing w:after="0"/>
              <w:rPr>
                <w:sz w:val="20"/>
                <w:szCs w:val="20"/>
                <w:color w:val="auto"/>
              </w:rPr>
            </w:pPr>
            <w:r>
              <w:rPr>
                <w:rFonts w:ascii="Arial" w:cs="Arial" w:eastAsia="Arial" w:hAnsi="Arial"/>
                <w:sz w:val="17"/>
                <w:szCs w:val="17"/>
                <w:color w:val="auto"/>
              </w:rPr>
              <w:t>Total</w:t>
            </w:r>
          </w:p>
        </w:tc>
        <w:tc>
          <w:tcPr>
            <w:tcW w:w="1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280" w:type="dxa"/>
            <w:vAlign w:val="bottom"/>
            <w:vMerge w:val="continue"/>
            <w:shd w:val="clear" w:color="auto" w:fill="CFF0FC"/>
          </w:tcPr>
          <w:p>
            <w:pPr>
              <w:spacing w:after="0"/>
              <w:rPr>
                <w:sz w:val="18"/>
                <w:szCs w:val="18"/>
                <w:color w:val="auto"/>
              </w:rPr>
            </w:pP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7"/>
                <w:szCs w:val="17"/>
                <w:color w:val="auto"/>
              </w:rPr>
              <w:t>107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t>Other changes in major plan assets and benefit obligations recognized in Other comprehensive income (loss) are as follows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3"/>
              </w:rPr>
              <w:t>Year Ended December 31,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2020</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U.S.</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7"/>
              </w:rPr>
              <w:t>Non-U.S.</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U.S.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7"/>
              </w:rPr>
              <w:t>Non-U.S.</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Newly established gain (loss)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7"/>
                <w:szCs w:val="17"/>
                <w:color w:val="auto"/>
              </w:rPr>
              <w:t>Amortization of:</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Prior service credit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300" w:type="dxa"/>
            <w:vAlign w:val="bottom"/>
          </w:tcPr>
          <w:p>
            <w:pPr>
              <w:ind w:left="240"/>
              <w:spacing w:after="0"/>
              <w:rPr>
                <w:sz w:val="20"/>
                <w:szCs w:val="20"/>
                <w:color w:val="auto"/>
              </w:rPr>
            </w:pPr>
            <w:r>
              <w:rPr>
                <w:rFonts w:ascii="Arial" w:cs="Arial" w:eastAsia="Arial" w:hAnsi="Arial"/>
                <w:sz w:val="17"/>
                <w:szCs w:val="17"/>
                <w:color w:val="auto"/>
              </w:rPr>
              <w:t>Net actuarial loss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Curtailment gain recognized in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7"/>
                <w:szCs w:val="17"/>
                <w:color w:val="auto"/>
              </w:rPr>
              <w:t>Net loss recognized in expense due to</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3300" w:type="dxa"/>
            <w:vAlign w:val="bottom"/>
            <w:vMerge w:val="restart"/>
          </w:tcPr>
          <w:p>
            <w:pPr>
              <w:ind w:left="140"/>
              <w:spacing w:after="0"/>
              <w:rPr>
                <w:sz w:val="20"/>
                <w:szCs w:val="20"/>
                <w:color w:val="auto"/>
              </w:rPr>
            </w:pPr>
            <w:r>
              <w:rPr>
                <w:rFonts w:ascii="Arial" w:cs="Arial" w:eastAsia="Arial" w:hAnsi="Arial"/>
                <w:sz w:val="17"/>
                <w:szCs w:val="17"/>
                <w:color w:val="auto"/>
              </w:rPr>
              <w:t>settlement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300" w:type="dxa"/>
            <w:vAlign w:val="bottom"/>
            <w:tcBorders>
              <w:bottom w:val="single" w:sz="8" w:color="CFF0FC"/>
            </w:tcBorders>
            <w:vMerge w:val="continue"/>
          </w:tcPr>
          <w:p>
            <w:pPr>
              <w:spacing w:after="0"/>
              <w:rPr>
                <w:sz w:val="9"/>
                <w:szCs w:val="9"/>
                <w:color w:val="auto"/>
              </w:rPr>
            </w:pPr>
          </w:p>
        </w:tc>
        <w:tc>
          <w:tcPr>
            <w:tcW w:w="5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Total income (loss) recognized in Other</w:t>
            </w: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comprehensive income</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year ended December 31, 2021, the U.S. gain was driven primarily by asset actuarial gains ($549 million) and the projected benefit obligation actuarial gain of $86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Income: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Pension income for all defined benefit plans included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3"/>
              </w:rPr>
              <w:t>Year Ended December 31,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2020</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7"/>
                <w:szCs w:val="17"/>
                <w:b w:val="1"/>
                <w:bCs w:val="1"/>
                <w:color w:val="auto"/>
                <w:w w:val="97"/>
              </w:rPr>
              <w:t>Non-U.S.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U.S.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7"/>
                <w:szCs w:val="17"/>
                <w:b w:val="1"/>
                <w:bCs w:val="1"/>
                <w:color w:val="auto"/>
                <w:w w:val="97"/>
              </w:rPr>
              <w:t>Non-U.S.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14"/>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Major defined benefit plans:</w:t>
            </w:r>
          </w:p>
        </w:tc>
        <w:tc>
          <w:tcPr>
            <w:tcW w:w="4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240"/>
              <w:spacing w:after="0"/>
              <w:rPr>
                <w:sz w:val="20"/>
                <w:szCs w:val="20"/>
                <w:color w:val="auto"/>
              </w:rPr>
            </w:pPr>
            <w:r>
              <w:rPr>
                <w:rFonts w:ascii="Arial" w:cs="Arial" w:eastAsia="Arial" w:hAnsi="Arial"/>
                <w:sz w:val="17"/>
                <w:szCs w:val="17"/>
                <w:color w:val="auto"/>
              </w:rPr>
              <w:t>Service cost</w:t>
            </w:r>
          </w:p>
        </w:tc>
        <w:tc>
          <w:tcPr>
            <w:tcW w:w="1120" w:type="dxa"/>
            <w:vAlign w:val="bottom"/>
            <w:gridSpan w:val="2"/>
          </w:tcPr>
          <w:p>
            <w:pPr>
              <w:jc w:val="right"/>
              <w:ind w:right="49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cost</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240"/>
              <w:spacing w:after="0"/>
              <w:rPr>
                <w:sz w:val="20"/>
                <w:szCs w:val="20"/>
                <w:color w:val="auto"/>
              </w:rPr>
            </w:pPr>
            <w:r>
              <w:rPr>
                <w:rFonts w:ascii="Arial" w:cs="Arial" w:eastAsia="Arial" w:hAnsi="Arial"/>
                <w:sz w:val="17"/>
                <w:szCs w:val="17"/>
                <w:color w:val="auto"/>
              </w:rPr>
              <w:t>Expected return on plan assets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(167)</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(214)</w:t>
            </w: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480"/>
              <w:spacing w:after="0"/>
              <w:rPr>
                <w:sz w:val="20"/>
                <w:szCs w:val="20"/>
                <w:color w:val="auto"/>
              </w:rPr>
            </w:pPr>
            <w:r>
              <w:rPr>
                <w:rFonts w:ascii="Arial" w:cs="Arial" w:eastAsia="Arial" w:hAnsi="Arial"/>
                <w:sz w:val="17"/>
                <w:szCs w:val="17"/>
                <w:color w:val="auto"/>
              </w:rPr>
              <w:t>Prior service credit</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Actuarial loss</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7"/>
                <w:szCs w:val="17"/>
                <w:color w:val="auto"/>
              </w:rPr>
              <w:t>Pension income before special termination</w:t>
            </w:r>
          </w:p>
        </w:tc>
        <w:tc>
          <w:tcPr>
            <w:tcW w:w="4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140"/>
              <w:spacing w:after="0"/>
              <w:rPr>
                <w:sz w:val="20"/>
                <w:szCs w:val="20"/>
                <w:color w:val="auto"/>
              </w:rPr>
            </w:pPr>
            <w:r>
              <w:rPr>
                <w:rFonts w:ascii="Arial" w:cs="Arial" w:eastAsia="Arial" w:hAnsi="Arial"/>
                <w:sz w:val="17"/>
                <w:szCs w:val="17"/>
                <w:color w:val="auto"/>
              </w:rPr>
              <w:t>benefits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Special termination benefits</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400" w:type="dxa"/>
            <w:vAlign w:val="bottom"/>
          </w:tcPr>
          <w:p>
            <w:pPr>
              <w:ind w:left="240"/>
              <w:spacing w:after="0"/>
              <w:rPr>
                <w:sz w:val="20"/>
                <w:szCs w:val="20"/>
                <w:color w:val="auto"/>
              </w:rPr>
            </w:pPr>
            <w:r>
              <w:rPr>
                <w:rFonts w:ascii="Arial" w:cs="Arial" w:eastAsia="Arial" w:hAnsi="Arial"/>
                <w:sz w:val="17"/>
                <w:szCs w:val="17"/>
                <w:color w:val="auto"/>
              </w:rPr>
              <w:t>Curtailment gains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Settlement losses</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400" w:type="dxa"/>
            <w:vAlign w:val="bottom"/>
          </w:tcPr>
          <w:p>
            <w:pPr>
              <w:ind w:left="240"/>
              <w:spacing w:after="0"/>
              <w:rPr>
                <w:sz w:val="20"/>
                <w:szCs w:val="20"/>
                <w:color w:val="auto"/>
              </w:rPr>
            </w:pPr>
            <w:r>
              <w:rPr>
                <w:rFonts w:ascii="Arial" w:cs="Arial" w:eastAsia="Arial" w:hAnsi="Arial"/>
                <w:sz w:val="17"/>
                <w:szCs w:val="17"/>
                <w:color w:val="auto"/>
              </w:rPr>
              <w:t>Net pension income for major</w:t>
            </w:r>
          </w:p>
        </w:tc>
        <w:tc>
          <w:tcPr>
            <w:tcW w:w="4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380"/>
              <w:spacing w:after="0"/>
              <w:rPr>
                <w:sz w:val="20"/>
                <w:szCs w:val="20"/>
                <w:color w:val="auto"/>
              </w:rPr>
            </w:pPr>
            <w:r>
              <w:rPr>
                <w:rFonts w:ascii="Arial" w:cs="Arial" w:eastAsia="Arial" w:hAnsi="Arial"/>
                <w:sz w:val="17"/>
                <w:szCs w:val="17"/>
                <w:color w:val="auto"/>
              </w:rPr>
              <w:t>defined benefit plans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Other plans including unfunded plans</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7"/>
                <w:szCs w:val="17"/>
                <w:color w:val="auto"/>
              </w:rPr>
              <w:t>Net pension (income), expense</w:t>
            </w: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ind w:right="49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$2 million curtailment gain for the year ended December 31, 2019 was incurred as a result of the sale of FPD. In addition, the amounts shown in Other Plans for the year ended December 31, 2019 include $5 million of settlement gains due to the transfer of non-major, non-U.S. pension liabilities as a result of the sale of FPD. These amounts are included in Earnings from discontinued operations, net of income taxes in the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$9 million settlement loss for the year ended December 31, 2020 was incurred as a result of lump sum payments from KRIP.</w:t>
      </w:r>
    </w:p>
    <w:p>
      <w:pPr>
        <w:spacing w:after="0" w:line="247"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The special termination benefits for each of the years ended December 31, 2021, 2020 and 2019 were incurred as a result of Kodak's restructuring actions and, therefore, have been included in Restructuring costs and other in the Consolidated Statement of Operations for those periods.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8" w:name="page109"/>
    <w:bookmarkEnd w:id="108"/>
    <w:p>
      <w:pPr>
        <w:ind w:right="260"/>
        <w:spacing w:after="0" w:line="286" w:lineRule="auto"/>
        <w:rPr>
          <w:sz w:val="20"/>
          <w:szCs w:val="20"/>
          <w:color w:val="auto"/>
        </w:rPr>
      </w:pPr>
      <w:r>
        <w:rPr>
          <w:rFonts w:ascii="Arial" w:cs="Arial" w:eastAsia="Arial" w:hAnsi="Arial"/>
          <w:sz w:val="17"/>
          <w:szCs w:val="17"/>
          <w:color w:val="auto"/>
        </w:rPr>
        <w:t>The weighted-average assumptions used to determine net pension (income) expense for all the major funded and unfunded U.S. and Non-U.S. defined benefit plans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460"/>
              <w:spacing w:after="0"/>
              <w:rPr>
                <w:sz w:val="20"/>
                <w:szCs w:val="20"/>
                <w:color w:val="auto"/>
              </w:rPr>
            </w:pPr>
            <w:r>
              <w:rPr>
                <w:rFonts w:ascii="Arial" w:cs="Arial" w:eastAsia="Arial" w:hAnsi="Arial"/>
                <w:sz w:val="17"/>
                <w:szCs w:val="17"/>
                <w:b w:val="1"/>
                <w:bCs w:val="1"/>
                <w:color w:val="auto"/>
                <w:w w:val="99"/>
              </w:rPr>
              <w:t>Year Ended December 31,</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36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2020</w:t>
            </w:r>
          </w:p>
        </w:tc>
        <w:tc>
          <w:tcPr>
            <w:tcW w:w="9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2019</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36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w w:val="90"/>
              </w:rPr>
              <w:t>U.S.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Non-U.S.</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U.S.</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Non-U.S.</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U.S.</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Non-U.S.</w:t>
            </w:r>
          </w:p>
        </w:tc>
        <w:tc>
          <w:tcPr>
            <w:tcW w:w="160" w:type="dxa"/>
            <w:vAlign w:val="bottom"/>
            <w:tcBorders>
              <w:bottom w:val="single" w:sz="8" w:color="CFF0FC"/>
            </w:tcBorders>
          </w:tcPr>
          <w:p>
            <w:pPr>
              <w:spacing w:after="0"/>
              <w:rPr>
                <w:sz w:val="18"/>
                <w:szCs w:val="18"/>
                <w:color w:val="auto"/>
              </w:rPr>
            </w:pPr>
          </w:p>
        </w:tc>
      </w:tr>
      <w:tr>
        <w:trPr>
          <w:trHeight w:val="214"/>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Effective rate for service cost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2.11%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1.48%</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4.03%</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2.47%</w:t>
            </w:r>
          </w:p>
        </w:tc>
      </w:tr>
      <w:tr>
        <w:trPr>
          <w:trHeight w:val="221"/>
        </w:trPr>
        <w:tc>
          <w:tcPr>
            <w:tcW w:w="4340" w:type="dxa"/>
            <w:vAlign w:val="bottom"/>
            <w:gridSpan w:val="2"/>
          </w:tcPr>
          <w:p>
            <w:pPr>
              <w:spacing w:after="0"/>
              <w:rPr>
                <w:sz w:val="20"/>
                <w:szCs w:val="20"/>
                <w:color w:val="auto"/>
              </w:rPr>
            </w:pPr>
            <w:r>
              <w:rPr>
                <w:rFonts w:ascii="Arial" w:cs="Arial" w:eastAsia="Arial" w:hAnsi="Arial"/>
                <w:sz w:val="17"/>
                <w:szCs w:val="17"/>
                <w:color w:val="auto"/>
              </w:rPr>
              <w:t>Effective rate for interest cost</w:t>
            </w:r>
          </w:p>
        </w:tc>
        <w:tc>
          <w:tcPr>
            <w:tcW w:w="500" w:type="dxa"/>
            <w:vAlign w:val="bottom"/>
          </w:tcPr>
          <w:p>
            <w:pPr>
              <w:jc w:val="right"/>
              <w:spacing w:after="0"/>
              <w:rPr>
                <w:sz w:val="20"/>
                <w:szCs w:val="20"/>
                <w:color w:val="auto"/>
              </w:rPr>
            </w:pPr>
            <w:r>
              <w:rPr>
                <w:rFonts w:ascii="Arial" w:cs="Arial" w:eastAsia="Arial" w:hAnsi="Arial"/>
                <w:sz w:val="17"/>
                <w:szCs w:val="17"/>
                <w:color w:val="auto"/>
                <w:w w:val="95"/>
              </w:rPr>
              <w:t>1.42%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2.58%</w:t>
            </w: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3.75%</w:t>
            </w: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1.89%</w:t>
            </w:r>
          </w:p>
        </w:tc>
      </w:tr>
      <w:tr>
        <w:trPr>
          <w:trHeight w:val="221"/>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3.50%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1.72%</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2.06%</w:t>
            </w:r>
          </w:p>
        </w:tc>
      </w:tr>
      <w:tr>
        <w:trPr>
          <w:trHeight w:val="209"/>
        </w:trPr>
        <w:tc>
          <w:tcPr>
            <w:tcW w:w="4340" w:type="dxa"/>
            <w:vAlign w:val="bottom"/>
            <w:gridSpan w:val="2"/>
          </w:tcPr>
          <w:p>
            <w:pPr>
              <w:spacing w:after="0"/>
              <w:rPr>
                <w:sz w:val="20"/>
                <w:szCs w:val="20"/>
                <w:color w:val="auto"/>
              </w:rPr>
            </w:pPr>
            <w:r>
              <w:rPr>
                <w:rFonts w:ascii="Arial" w:cs="Arial" w:eastAsia="Arial" w:hAnsi="Arial"/>
                <w:sz w:val="17"/>
                <w:szCs w:val="17"/>
                <w:color w:val="auto"/>
              </w:rPr>
              <w:t>Expected long-term rate of return on</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4340" w:type="dxa"/>
            <w:vAlign w:val="bottom"/>
            <w:gridSpan w:val="2"/>
          </w:tcPr>
          <w:p>
            <w:pPr>
              <w:ind w:left="140"/>
              <w:spacing w:after="0"/>
              <w:rPr>
                <w:sz w:val="20"/>
                <w:szCs w:val="20"/>
                <w:color w:val="auto"/>
              </w:rPr>
            </w:pPr>
            <w:r>
              <w:rPr>
                <w:rFonts w:ascii="Arial" w:cs="Arial" w:eastAsia="Arial" w:hAnsi="Arial"/>
                <w:sz w:val="17"/>
                <w:szCs w:val="17"/>
                <w:color w:val="auto"/>
              </w:rPr>
              <w:t>plan assets</w:t>
            </w:r>
          </w:p>
        </w:tc>
        <w:tc>
          <w:tcPr>
            <w:tcW w:w="500" w:type="dxa"/>
            <w:vAlign w:val="bottom"/>
          </w:tcPr>
          <w:p>
            <w:pPr>
              <w:jc w:val="right"/>
              <w:spacing w:after="0"/>
              <w:rPr>
                <w:sz w:val="20"/>
                <w:szCs w:val="20"/>
                <w:color w:val="auto"/>
              </w:rPr>
            </w:pPr>
            <w:r>
              <w:rPr>
                <w:rFonts w:ascii="Arial" w:cs="Arial" w:eastAsia="Arial" w:hAnsi="Arial"/>
                <w:sz w:val="17"/>
                <w:szCs w:val="17"/>
                <w:color w:val="auto"/>
                <w:w w:val="95"/>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3.27%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6.50%</w:t>
            </w: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3.46%</w:t>
            </w:r>
          </w:p>
        </w:tc>
      </w:tr>
      <w:tr>
        <w:trPr>
          <w:trHeight w:val="221"/>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crediting rate for cash balance plan</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1.75%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40"/>
              <w:spacing w:after="0"/>
              <w:rPr>
                <w:sz w:val="20"/>
                <w:szCs w:val="20"/>
                <w:color w:val="auto"/>
              </w:rPr>
            </w:pPr>
            <w:r>
              <w:rPr>
                <w:rFonts w:ascii="Arial" w:cs="Arial" w:eastAsia="Arial" w:hAnsi="Arial"/>
                <w:sz w:val="17"/>
                <w:szCs w:val="17"/>
                <w:color w:val="auto"/>
              </w:rPr>
              <w:t>NA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NA</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NA</w:t>
            </w:r>
          </w:p>
        </w:tc>
      </w:tr>
    </w:tbl>
    <w:p>
      <w:pPr>
        <w:spacing w:after="0" w:line="22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expected return on plan assets (“EROA”) is a long-term rate of return which is based on a combination of formal asset and liability studies that include forward-looking return expectations given the current asset allocation.</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Investment Strategy</w:t>
      </w:r>
    </w:p>
    <w:p>
      <w:pPr>
        <w:spacing w:after="0" w:line="25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debt, real estate, private equity, hedge funds and other assets and instruments. In addition, the U.S. Plan uses derivative investments primarily to hedge liability interest rate risk to U.S. government bonds. Other investment objectives include maintaining broad diversification between and within asset classes, investment managers and managing asset volatility relative to plan liabilities.</w:t>
      </w:r>
    </w:p>
    <w:p>
      <w:pPr>
        <w:spacing w:after="0" w:line="204" w:lineRule="exact"/>
        <w:rPr>
          <w:sz w:val="20"/>
          <w:szCs w:val="20"/>
          <w:color w:val="auto"/>
        </w:rPr>
      </w:pPr>
    </w:p>
    <w:p>
      <w:pPr>
        <w:jc w:val="both"/>
        <w:ind w:right="460"/>
        <w:spacing w:after="0" w:line="271" w:lineRule="auto"/>
        <w:rPr>
          <w:sz w:val="20"/>
          <w:szCs w:val="20"/>
          <w:color w:val="auto"/>
        </w:rPr>
      </w:pPr>
      <w:r>
        <w:rPr>
          <w:rFonts w:ascii="Arial" w:cs="Arial" w:eastAsia="Arial" w:hAnsi="Arial"/>
          <w:sz w:val="17"/>
          <w:szCs w:val="17"/>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9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Risk Management</w:t>
      </w:r>
    </w:p>
    <w:p>
      <w:pPr>
        <w:spacing w:after="0" w:line="25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individual fund and single investment manager. As of December 31, 2021 there were no significant concentrations (defined as greater than 10% of plan assets) of risk in Kodak’s defined benefit plan assets. As of December 31, 2020, there was an investment manager of a hedge fund and a fund included in the global balanced asset allocations funds asset class that managed 12% of U.S. Plan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The Company’s weighted-average asset allocations for its major U.S. defined benefit pension plan by asset category, are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5200" w:type="dxa"/>
            <w:vAlign w:val="bottom"/>
          </w:tcPr>
          <w:p>
            <w:pPr>
              <w:spacing w:after="0"/>
              <w:rPr>
                <w:sz w:val="19"/>
                <w:szCs w:val="19"/>
                <w:color w:val="auto"/>
              </w:rPr>
            </w:pPr>
          </w:p>
        </w:tc>
        <w:tc>
          <w:tcPr>
            <w:tcW w:w="206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As of December 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920" w:type="dxa"/>
            <w:vAlign w:val="bottom"/>
            <w:gridSpan w:val="2"/>
          </w:tcPr>
          <w:p>
            <w:pPr>
              <w:ind w:left="5540"/>
              <w:spacing w:after="0"/>
              <w:rPr>
                <w:sz w:val="20"/>
                <w:szCs w:val="20"/>
                <w:color w:val="auto"/>
              </w:rPr>
            </w:pPr>
            <w:r>
              <w:rPr>
                <w:rFonts w:ascii="Arial" w:cs="Arial" w:eastAsia="Arial" w:hAnsi="Arial"/>
                <w:sz w:val="17"/>
                <w:szCs w:val="17"/>
                <w:b w:val="1"/>
                <w:bCs w:val="1"/>
                <w:color w:val="auto"/>
                <w:w w:val="95"/>
              </w:rPr>
              <w:t>2021</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2021 Target</w:t>
            </w:r>
          </w:p>
        </w:tc>
      </w:tr>
      <w:tr>
        <w:trPr>
          <w:trHeight w:val="214"/>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2-8%</w:t>
            </w:r>
          </w:p>
        </w:tc>
        <w:tc>
          <w:tcPr>
            <w:tcW w:w="80" w:type="dxa"/>
            <w:vAlign w:val="bottom"/>
          </w:tcPr>
          <w:p>
            <w:pPr>
              <w:spacing w:after="0"/>
              <w:rPr>
                <w:sz w:val="19"/>
                <w:szCs w:val="19"/>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12%</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9-15%</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80" w:type="dxa"/>
            <w:vAlign w:val="bottom"/>
          </w:tcPr>
          <w:p>
            <w:pPr>
              <w:spacing w:after="0"/>
              <w:rPr>
                <w:sz w:val="19"/>
                <w:szCs w:val="19"/>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0-10%</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5-11%</w:t>
            </w:r>
          </w:p>
        </w:tc>
        <w:tc>
          <w:tcPr>
            <w:tcW w:w="80" w:type="dxa"/>
            <w:vAlign w:val="bottom"/>
          </w:tcPr>
          <w:p>
            <w:pPr>
              <w:spacing w:after="0"/>
              <w:rPr>
                <w:sz w:val="19"/>
                <w:szCs w:val="19"/>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Private equity</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26%</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21%</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15-21%</w:t>
            </w:r>
          </w:p>
        </w:tc>
        <w:tc>
          <w:tcPr>
            <w:tcW w:w="80" w:type="dxa"/>
            <w:vAlign w:val="bottom"/>
            <w:shd w:val="clear" w:color="auto" w:fill="CFF0FC"/>
          </w:tcPr>
          <w:p>
            <w:pPr>
              <w:spacing w:after="0"/>
              <w:rPr>
                <w:sz w:val="19"/>
                <w:szCs w:val="19"/>
                <w:color w:val="auto"/>
              </w:rPr>
            </w:pPr>
          </w:p>
        </w:tc>
      </w:tr>
      <w:tr>
        <w:trPr>
          <w:trHeight w:val="221"/>
        </w:trPr>
        <w:tc>
          <w:tcPr>
            <w:tcW w:w="5200" w:type="dxa"/>
            <w:vAlign w:val="bottom"/>
          </w:tcPr>
          <w:p>
            <w:pPr>
              <w:spacing w:after="0"/>
              <w:rPr>
                <w:sz w:val="20"/>
                <w:szCs w:val="20"/>
                <w:color w:val="auto"/>
              </w:rPr>
            </w:pPr>
            <w:r>
              <w:rPr>
                <w:rFonts w:ascii="Arial" w:cs="Arial" w:eastAsia="Arial" w:hAnsi="Arial"/>
                <w:sz w:val="17"/>
                <w:szCs w:val="17"/>
                <w:color w:val="auto"/>
              </w:rPr>
              <w:t xml:space="preserve">Hedge funds </w:t>
            </w:r>
            <w:r>
              <w:rPr>
                <w:rFonts w:ascii="Arial" w:cs="Arial" w:eastAsia="Arial" w:hAnsi="Arial"/>
                <w:sz w:val="14"/>
                <w:szCs w:val="14"/>
                <w:color w:val="auto"/>
              </w:rPr>
              <w:t>(1)</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49-61%</w:t>
            </w:r>
          </w:p>
        </w:tc>
        <w:tc>
          <w:tcPr>
            <w:tcW w:w="80" w:type="dxa"/>
            <w:vAlign w:val="bottom"/>
          </w:tcPr>
          <w:p>
            <w:pPr>
              <w:spacing w:after="0"/>
              <w:rPr>
                <w:sz w:val="19"/>
                <w:szCs w:val="19"/>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4"/>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480" w:firstLine="1124"/>
        <w:spacing w:after="0" w:line="547" w:lineRule="auto"/>
        <w:tabs>
          <w:tab w:leader="none" w:pos="1485" w:val="left"/>
        </w:tabs>
        <w:numPr>
          <w:ilvl w:val="0"/>
          <w:numId w:val="41"/>
        </w:numPr>
        <w:rPr>
          <w:rFonts w:ascii="Arial" w:cs="Arial" w:eastAsia="Arial" w:hAnsi="Arial"/>
          <w:sz w:val="15"/>
          <w:szCs w:val="15"/>
          <w:color w:val="auto"/>
        </w:rPr>
      </w:pPr>
      <w:r>
        <w:rPr>
          <w:rFonts w:ascii="Arial" w:cs="Arial" w:eastAsia="Arial" w:hAnsi="Arial"/>
          <w:sz w:val="17"/>
          <w:szCs w:val="17"/>
          <w:color w:val="auto"/>
        </w:rPr>
        <w:t>The 2021 target for hedge funds includes a policy allocation to U.S. government bonds that is obtained via treasury futures contracts. Kodak’s weighted-average asset allocations for its major Non-U.S. defined benefit pension plans by asset category, are as follows:</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5200" w:type="dxa"/>
            <w:vAlign w:val="bottom"/>
          </w:tcPr>
          <w:p>
            <w:pPr>
              <w:spacing w:after="0"/>
              <w:rPr>
                <w:sz w:val="19"/>
                <w:szCs w:val="19"/>
                <w:color w:val="auto"/>
              </w:rPr>
            </w:pPr>
          </w:p>
        </w:tc>
        <w:tc>
          <w:tcPr>
            <w:tcW w:w="206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As of December 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920" w:type="dxa"/>
            <w:vAlign w:val="bottom"/>
            <w:gridSpan w:val="2"/>
          </w:tcPr>
          <w:p>
            <w:pPr>
              <w:ind w:left="5540"/>
              <w:spacing w:after="0"/>
              <w:rPr>
                <w:sz w:val="20"/>
                <w:szCs w:val="20"/>
                <w:color w:val="auto"/>
              </w:rPr>
            </w:pPr>
            <w:r>
              <w:rPr>
                <w:rFonts w:ascii="Arial" w:cs="Arial" w:eastAsia="Arial" w:hAnsi="Arial"/>
                <w:sz w:val="17"/>
                <w:szCs w:val="17"/>
                <w:b w:val="1"/>
                <w:bCs w:val="1"/>
                <w:color w:val="auto"/>
                <w:w w:val="95"/>
              </w:rPr>
              <w:t>2021</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2021 Target</w:t>
            </w:r>
          </w:p>
        </w:tc>
      </w:tr>
      <w:tr>
        <w:trPr>
          <w:trHeight w:val="214"/>
        </w:trPr>
        <w:tc>
          <w:tcPr>
            <w:tcW w:w="5200" w:type="dxa"/>
            <w:vAlign w:val="bottom"/>
          </w:tcPr>
          <w:p>
            <w:pPr>
              <w:spacing w:after="0"/>
              <w:rPr>
                <w:sz w:val="20"/>
                <w:szCs w:val="20"/>
                <w:color w:val="auto"/>
              </w:rPr>
            </w:pPr>
            <w:r>
              <w:rPr>
                <w:rFonts w:ascii="Arial" w:cs="Arial" w:eastAsia="Arial" w:hAnsi="Arial"/>
                <w:sz w:val="17"/>
                <w:szCs w:val="17"/>
                <w:b w:val="1"/>
                <w:bCs w:val="1"/>
                <w:color w:val="auto"/>
              </w:rPr>
              <w:t>Asset Category</w:t>
            </w: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0-10%</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10-20%</w:t>
            </w:r>
          </w:p>
        </w:tc>
        <w:tc>
          <w:tcPr>
            <w:tcW w:w="80" w:type="dxa"/>
            <w:vAlign w:val="bottom"/>
          </w:tcPr>
          <w:p>
            <w:pPr>
              <w:spacing w:after="0"/>
              <w:rPr>
                <w:sz w:val="19"/>
                <w:szCs w:val="19"/>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0-5%</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0-5%</w:t>
            </w:r>
          </w:p>
        </w:tc>
        <w:tc>
          <w:tcPr>
            <w:tcW w:w="80" w:type="dxa"/>
            <w:vAlign w:val="bottom"/>
          </w:tcPr>
          <w:p>
            <w:pPr>
              <w:spacing w:after="0"/>
              <w:rPr>
                <w:sz w:val="19"/>
                <w:szCs w:val="19"/>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0%</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7"/>
                <w:szCs w:val="17"/>
                <w:color w:val="auto"/>
              </w:rPr>
              <w:t>Hedge Funds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0-10%</w:t>
            </w:r>
          </w:p>
        </w:tc>
        <w:tc>
          <w:tcPr>
            <w:tcW w:w="80" w:type="dxa"/>
            <w:vAlign w:val="bottom"/>
          </w:tcPr>
          <w:p>
            <w:pPr>
              <w:spacing w:after="0"/>
              <w:rPr>
                <w:sz w:val="19"/>
                <w:szCs w:val="19"/>
                <w:color w:val="auto"/>
              </w:rPr>
            </w:pPr>
          </w:p>
        </w:tc>
      </w:tr>
      <w:tr>
        <w:trPr>
          <w:trHeight w:val="221"/>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Private equity</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w:t>
            </w:r>
          </w:p>
        </w:tc>
        <w:tc>
          <w:tcPr>
            <w:tcW w:w="1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0-10%</w:t>
            </w:r>
          </w:p>
        </w:tc>
        <w:tc>
          <w:tcPr>
            <w:tcW w:w="80" w:type="dxa"/>
            <w:vAlign w:val="bottom"/>
            <w:shd w:val="clear" w:color="auto" w:fill="CFF0FC"/>
          </w:tcPr>
          <w:p>
            <w:pPr>
              <w:spacing w:after="0"/>
              <w:rPr>
                <w:sz w:val="19"/>
                <w:szCs w:val="19"/>
                <w:color w:val="auto"/>
              </w:rPr>
            </w:pPr>
          </w:p>
        </w:tc>
      </w:tr>
      <w:tr>
        <w:trPr>
          <w:trHeight w:val="221"/>
        </w:trPr>
        <w:tc>
          <w:tcPr>
            <w:tcW w:w="5200" w:type="dxa"/>
            <w:vAlign w:val="bottom"/>
          </w:tcPr>
          <w:p>
            <w:pPr>
              <w:spacing w:after="0"/>
              <w:rPr>
                <w:sz w:val="20"/>
                <w:szCs w:val="20"/>
                <w:color w:val="auto"/>
              </w:rPr>
            </w:pPr>
            <w:r>
              <w:rPr>
                <w:rFonts w:ascii="Arial" w:cs="Arial" w:eastAsia="Arial" w:hAnsi="Arial"/>
                <w:sz w:val="17"/>
                <w:szCs w:val="17"/>
                <w:color w:val="auto"/>
              </w:rPr>
              <w:t>Insurance contracts</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25-75%</w:t>
            </w:r>
          </w:p>
        </w:tc>
        <w:tc>
          <w:tcPr>
            <w:tcW w:w="80" w:type="dxa"/>
            <w:vAlign w:val="bottom"/>
          </w:tcPr>
          <w:p>
            <w:pPr>
              <w:spacing w:after="0"/>
              <w:rPr>
                <w:sz w:val="19"/>
                <w:szCs w:val="19"/>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4"/>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Investments</w:t>
      </w:r>
    </w:p>
    <w:p>
      <w:pPr>
        <w:spacing w:after="0" w:line="3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U.S. defined benefit pension plan derivative instruments consist of direct investments in exchange traded futures contracts. Government bond exposure is obtained via U.S. government bond futures. Foreign currency futures contracts are used to partially hedge foreign currency risk.</w:t>
      </w:r>
    </w:p>
    <w:p>
      <w:pPr>
        <w:spacing w:after="0" w:line="19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of December 31, 2021 and 2020, the notional amount for exchange traded futures contracts approximated $1.0 billion and $1.7 billion, respectively. Realized gains and losses from these derivative investments are included in the gain on plan assets balance. The total fair value of these derivative instruments at December 31, 2021 and 2020 was $10 million and ($4) million, respectively, which represents the unrealized gains and losses on these contracts and is included in the derivative line items in the table of plan assets below. The U.S. defined benefit pension plan is required to maintain cash on deposit to collateralize its obligations under its futures contracts. As of December 31, 2021 and 2020, approximately $ 17 million and $40 million in cash, respectively, was on deposit to fulfill these requirements and is included in the cash and cash equivalents asset class in the table below.</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U.S. Plan invests in a diversified portfolio of hedge funds that may utilize derivative instruments to execute their investment strategy. Any gains or losses, as well as changes in the fair value of derivative investments held by the hedge fund are included in the hedge fund’s net asset value.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Fair Value Measurements</w:t>
      </w:r>
    </w:p>
    <w:p>
      <w:pPr>
        <w:spacing w:after="0" w:line="25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(“NAV”) per share expedient. Kodak’s assessment of the significance of a particular input to the fair value measurement requires judgment and may affect the valuation of fair value of assets and their placement within the fair value hierarchy levels.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Kodak’s U.S. defined benefit pension plan assets at December 31, 2021 and 2020 by asset class are presented in the tables below:</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Plan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6"/>
              </w:rPr>
              <w:t>U.S.</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3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b w:val="1"/>
                <w:bCs w:val="1"/>
                <w:color w:val="auto"/>
                <w:w w:val="93"/>
              </w:rPr>
              <w:t>in 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b w:val="1"/>
                <w:bCs w:val="1"/>
                <w:color w:val="auto"/>
                <w:w w:val="98"/>
              </w:rPr>
              <w:t>Markets for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3"/>
              <w:spacing w:after="0"/>
              <w:rPr>
                <w:sz w:val="20"/>
                <w:szCs w:val="20"/>
                <w:color w:val="auto"/>
              </w:rPr>
            </w:pPr>
            <w:r>
              <w:rPr>
                <w:rFonts w:ascii="Arial" w:cs="Arial" w:eastAsia="Arial" w:hAnsi="Arial"/>
                <w:sz w:val="17"/>
                <w:szCs w:val="17"/>
                <w:b w:val="1"/>
                <w:bCs w:val="1"/>
                <w:color w:val="auto"/>
                <w:w w:val="92"/>
              </w:rPr>
              <w:t>Observable</w:t>
            </w: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Unobservable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Identical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b w:val="1"/>
                <w:bCs w:val="1"/>
                <w:color w:val="auto"/>
                <w:w w:val="92"/>
              </w:rPr>
              <w:t>Measured at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(Level 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NAV</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FF0FC"/>
          </w:tcPr>
          <w:p>
            <w:pPr>
              <w:spacing w:after="0"/>
              <w:rPr>
                <w:sz w:val="18"/>
                <w:szCs w:val="18"/>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Global equity securities funds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440</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Real estate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Hedge funds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1,807</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1,082</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gains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9"/>
                <w:szCs w:val="19"/>
                <w:color w:val="auto"/>
              </w:rPr>
            </w:pPr>
          </w:p>
        </w:tc>
      </w:tr>
      <w:tr>
        <w:trPr>
          <w:trHeight w:val="214"/>
        </w:trPr>
        <w:tc>
          <w:tcPr>
            <w:tcW w:w="4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212</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446</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3,447</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4,105</w:t>
            </w:r>
          </w:p>
        </w:tc>
        <w:tc>
          <w:tcPr>
            <w:tcW w:w="1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0"/>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w w:val="77"/>
              </w:rPr>
              <w:t>111</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4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8"/>
        </w:trPr>
        <w:tc>
          <w:tcPr>
            <w:tcW w:w="4320" w:type="dxa"/>
            <w:vAlign w:val="bottom"/>
          </w:tcPr>
          <w:p>
            <w:pPr>
              <w:spacing w:after="0"/>
              <w:rPr>
                <w:sz w:val="20"/>
                <w:szCs w:val="20"/>
                <w:color w:val="auto"/>
              </w:rPr>
            </w:pPr>
            <w:r>
              <w:rPr>
                <w:rFonts w:ascii="Arial" w:cs="Arial" w:eastAsia="Arial" w:hAnsi="Arial"/>
                <w:sz w:val="17"/>
                <w:szCs w:val="17"/>
                <w:b w:val="1"/>
                <w:bCs w:val="1"/>
                <w:color w:val="auto"/>
              </w:rPr>
              <w:t>U.S. Plan</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7"/>
                <w:szCs w:val="17"/>
                <w:b w:val="1"/>
                <w:bCs w:val="1"/>
                <w:color w:val="auto"/>
              </w:rPr>
              <w:t>December 31, 2020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center"/>
              <w:ind w:right="33"/>
              <w:spacing w:after="0"/>
              <w:rPr>
                <w:sz w:val="20"/>
                <w:szCs w:val="20"/>
                <w:color w:val="auto"/>
              </w:rPr>
            </w:pPr>
            <w:r>
              <w:rPr>
                <w:rFonts w:ascii="Arial" w:cs="Arial" w:eastAsia="Arial" w:hAnsi="Arial"/>
                <w:sz w:val="17"/>
                <w:szCs w:val="17"/>
                <w:b w:val="1"/>
                <w:bCs w:val="1"/>
                <w:color w:val="auto"/>
                <w:w w:val="96"/>
              </w:rPr>
              <w:t>U.S.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Quoted Prices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in Active</w:t>
            </w: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8"/>
              </w:rPr>
              <w:t>Markets for</w:t>
            </w:r>
          </w:p>
        </w:tc>
        <w:tc>
          <w:tcPr>
            <w:tcW w:w="120" w:type="dxa"/>
            <w:vAlign w:val="bottom"/>
          </w:tcPr>
          <w:p>
            <w:pPr>
              <w:spacing w:after="0"/>
              <w:rPr>
                <w:sz w:val="18"/>
                <w:szCs w:val="18"/>
                <w:color w:val="auto"/>
              </w:rPr>
            </w:pPr>
          </w:p>
        </w:tc>
        <w:tc>
          <w:tcPr>
            <w:tcW w:w="1040" w:type="dxa"/>
            <w:vAlign w:val="bottom"/>
          </w:tcPr>
          <w:p>
            <w:pPr>
              <w:jc w:val="center"/>
              <w:ind w:right="53"/>
              <w:spacing w:after="0"/>
              <w:rPr>
                <w:sz w:val="20"/>
                <w:szCs w:val="20"/>
                <w:color w:val="auto"/>
              </w:rPr>
            </w:pPr>
            <w:r>
              <w:rPr>
                <w:rFonts w:ascii="Arial" w:cs="Arial" w:eastAsia="Arial" w:hAnsi="Arial"/>
                <w:sz w:val="17"/>
                <w:szCs w:val="17"/>
                <w:b w:val="1"/>
                <w:bCs w:val="1"/>
                <w:color w:val="auto"/>
                <w:w w:val="92"/>
              </w:rPr>
              <w:t>Observable</w:t>
            </w: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Unobservable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8"/>
              </w:rPr>
              <w:t>Identical Assets</w:t>
            </w: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b w:val="1"/>
                <w:bCs w:val="1"/>
                <w:color w:val="auto"/>
                <w:w w:val="92"/>
              </w:rPr>
              <w:t>Measured at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(Level 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NAV</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Global equity securities funds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Real estate</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Hedge funds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gains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Derivatives with unrealized losses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3,058</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Assets not utilizing the NAV per share expedient are valued as follows:</w:t>
      </w:r>
    </w:p>
    <w:p>
      <w:pPr>
        <w:spacing w:after="0" w:line="247" w:lineRule="exact"/>
        <w:rPr>
          <w:sz w:val="20"/>
          <w:szCs w:val="20"/>
          <w:color w:val="auto"/>
        </w:rPr>
      </w:pPr>
    </w:p>
    <w:p>
      <w:pPr>
        <w:ind w:left="740" w:right="460" w:hanging="371"/>
        <w:spacing w:after="0" w:line="286" w:lineRule="auto"/>
        <w:tabs>
          <w:tab w:leader="none" w:pos="740" w:val="left"/>
        </w:tabs>
        <w:numPr>
          <w:ilvl w:val="0"/>
          <w:numId w:val="42"/>
        </w:numPr>
        <w:rPr>
          <w:rFonts w:ascii="Arial" w:cs="Arial" w:eastAsia="Arial" w:hAnsi="Arial"/>
          <w:sz w:val="15"/>
          <w:szCs w:val="15"/>
          <w:color w:val="auto"/>
        </w:rPr>
      </w:pPr>
      <w:r>
        <w:rPr>
          <w:rFonts w:ascii="Arial" w:cs="Arial" w:eastAsia="Arial" w:hAnsi="Arial"/>
          <w:sz w:val="17"/>
          <w:szCs w:val="17"/>
          <w:color w:val="auto"/>
        </w:rPr>
        <w:t>Cash and cash equivalents are primarily held in short term investment funds and are used for benefit and fee payments, as well as for margin and liquidity requirements associated with the U.S. Plan’s derivative instrument contracts.</w:t>
      </w:r>
    </w:p>
    <w:p>
      <w:pPr>
        <w:spacing w:after="0" w:line="159" w:lineRule="exact"/>
        <w:rPr>
          <w:rFonts w:ascii="Arial" w:cs="Arial" w:eastAsia="Arial" w:hAnsi="Arial"/>
          <w:sz w:val="15"/>
          <w:szCs w:val="15"/>
          <w:color w:val="auto"/>
        </w:rPr>
      </w:pPr>
    </w:p>
    <w:p>
      <w:pPr>
        <w:ind w:left="740" w:hanging="371"/>
        <w:spacing w:after="0"/>
        <w:tabs>
          <w:tab w:leader="none" w:pos="740" w:val="left"/>
        </w:tabs>
        <w:numPr>
          <w:ilvl w:val="0"/>
          <w:numId w:val="42"/>
        </w:numPr>
        <w:rPr>
          <w:rFonts w:ascii="Arial" w:cs="Arial" w:eastAsia="Arial" w:hAnsi="Arial"/>
          <w:sz w:val="13"/>
          <w:szCs w:val="13"/>
          <w:color w:val="auto"/>
        </w:rPr>
      </w:pPr>
      <w:r>
        <w:rPr>
          <w:rFonts w:ascii="Arial" w:cs="Arial" w:eastAsia="Arial" w:hAnsi="Arial"/>
          <w:sz w:val="15"/>
          <w:szCs w:val="15"/>
          <w:color w:val="auto"/>
        </w:rPr>
        <w:t>Debt securities are traded on an active market and are valued using a market approach based on the closing price on the last business day of the year.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Valued at NAV</w:t>
      </w:r>
    </w:p>
    <w:p>
      <w:pPr>
        <w:spacing w:after="0" w:line="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7"/>
          <w:szCs w:val="17"/>
          <w:color w:val="auto"/>
        </w:rPr>
        <w:t>Kodak performs an investment-by-investment analysis to determine if the investment meets the requirements to be measured at NAV. For investments with lagged pricing, Kodak uses the latest available net asset values and considers expected return and other relevant material events for the year-end valuation of these investments.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12" w:name="page113"/>
    <w:bookmarkEnd w:id="112"/>
    <w:p>
      <w:pPr>
        <w:jc w:val="center"/>
        <w:ind w:right="340"/>
        <w:spacing w:after="0"/>
        <w:rPr>
          <w:sz w:val="20"/>
          <w:szCs w:val="20"/>
          <w:color w:val="auto"/>
        </w:rPr>
      </w:pPr>
      <w:r>
        <w:rPr>
          <w:rFonts w:ascii="Arial" w:cs="Arial" w:eastAsia="Arial" w:hAnsi="Arial"/>
          <w:sz w:val="15"/>
          <w:szCs w:val="15"/>
          <w:color w:val="auto"/>
        </w:rPr>
        <w:t>The total fair value, unfunded commitments and redemption provisions for the U.S defined benefit pension plan’s investments valued at NAV are as follows: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 Valued at NAV at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Unfunded</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3"/>
              </w:rPr>
              <w:t>Redemption</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Redemption Notice</w:t>
            </w:r>
          </w:p>
        </w:tc>
      </w:tr>
      <w:tr>
        <w:trPr>
          <w:trHeight w:val="227"/>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Fair Value</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93"/>
              </w:rPr>
              <w:t>Commitments</w:t>
            </w:r>
          </w:p>
        </w:tc>
        <w:tc>
          <w:tcPr>
            <w:tcW w:w="2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Frequency</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Period</w:t>
            </w: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Global equity securities fund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5"/>
              </w:rPr>
              <w:t>Monthly, Quarterly</w:t>
            </w:r>
          </w:p>
        </w:tc>
        <w:tc>
          <w:tcPr>
            <w:tcW w:w="14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6-90 days</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Real estate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N/A</w:t>
            </w:r>
          </w:p>
        </w:tc>
        <w:tc>
          <w:tcPr>
            <w:tcW w:w="148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rPr>
              <w:t>Monthly</w:t>
            </w:r>
          </w:p>
        </w:tc>
        <w:tc>
          <w:tcPr>
            <w:tcW w:w="14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6-15 days</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Private equity</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262</w:t>
            </w:r>
          </w:p>
        </w:tc>
        <w:tc>
          <w:tcPr>
            <w:tcW w:w="26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N/A</w:t>
            </w:r>
          </w:p>
        </w:tc>
        <w:tc>
          <w:tcPr>
            <w:tcW w:w="148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09"/>
        </w:trPr>
        <w:tc>
          <w:tcPr>
            <w:tcW w:w="4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Bi-Monthly,</w:t>
            </w:r>
          </w:p>
        </w:tc>
        <w:tc>
          <w:tcPr>
            <w:tcW w:w="1480" w:type="dxa"/>
            <w:vAlign w:val="bottom"/>
            <w:shd w:val="clear" w:color="auto" w:fill="CFF0FC"/>
          </w:tcPr>
          <w:p>
            <w:pPr>
              <w:spacing w:after="0"/>
              <w:rPr>
                <w:sz w:val="18"/>
                <w:szCs w:val="18"/>
                <w:color w:val="auto"/>
              </w:rPr>
            </w:pPr>
          </w:p>
        </w:tc>
      </w:tr>
      <w:tr>
        <w:trPr>
          <w:trHeight w:val="208"/>
        </w:trPr>
        <w:tc>
          <w:tcPr>
            <w:tcW w:w="4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4"/>
              </w:rPr>
              <w:t>Monthly, Quarterly,</w:t>
            </w:r>
          </w:p>
        </w:tc>
        <w:tc>
          <w:tcPr>
            <w:tcW w:w="1480" w:type="dxa"/>
            <w:vAlign w:val="bottom"/>
            <w:shd w:val="clear" w:color="auto" w:fill="CFF0FC"/>
          </w:tcPr>
          <w:p>
            <w:pPr>
              <w:spacing w:after="0"/>
              <w:rPr>
                <w:sz w:val="18"/>
                <w:szCs w:val="18"/>
                <w:color w:val="auto"/>
              </w:rPr>
            </w:pPr>
          </w:p>
        </w:tc>
      </w:tr>
      <w:tr>
        <w:trPr>
          <w:trHeight w:val="208"/>
        </w:trPr>
        <w:tc>
          <w:tcPr>
            <w:tcW w:w="4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4"/>
              </w:rPr>
              <w:t>Semi-Annual, and</w:t>
            </w:r>
          </w:p>
        </w:tc>
        <w:tc>
          <w:tcPr>
            <w:tcW w:w="1480" w:type="dxa"/>
            <w:vAlign w:val="bottom"/>
            <w:shd w:val="clear" w:color="auto" w:fill="CFF0FC"/>
          </w:tcPr>
          <w:p>
            <w:pPr>
              <w:spacing w:after="0"/>
              <w:rPr>
                <w:sz w:val="18"/>
                <w:szCs w:val="18"/>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Hedge Funds</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Annual</w:t>
            </w:r>
          </w:p>
        </w:tc>
        <w:tc>
          <w:tcPr>
            <w:tcW w:w="14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5-365 days</w:t>
            </w: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3,447</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 Valued at NAV at December 31,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Unfunded</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3"/>
              </w:rPr>
              <w:t>Redemption</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Redemption Notice</w:t>
            </w:r>
          </w:p>
        </w:tc>
      </w:tr>
      <w:tr>
        <w:trPr>
          <w:trHeight w:val="227"/>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Fair Value</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93"/>
              </w:rPr>
              <w:t>Commitments</w:t>
            </w:r>
          </w:p>
        </w:tc>
        <w:tc>
          <w:tcPr>
            <w:tcW w:w="2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Frequency</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Period</w:t>
            </w: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Global equity securities fund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5"/>
              </w:rPr>
              <w:t>Monthly, Quarterly</w:t>
            </w:r>
          </w:p>
        </w:tc>
        <w:tc>
          <w:tcPr>
            <w:tcW w:w="14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6-90 days</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Real estate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N/A</w:t>
            </w:r>
          </w:p>
        </w:tc>
        <w:tc>
          <w:tcPr>
            <w:tcW w:w="148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rPr>
              <w:t>Monthly</w:t>
            </w:r>
          </w:p>
        </w:tc>
        <w:tc>
          <w:tcPr>
            <w:tcW w:w="14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6-15 days</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Private equity</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268</w:t>
            </w:r>
          </w:p>
        </w:tc>
        <w:tc>
          <w:tcPr>
            <w:tcW w:w="26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N/A</w:t>
            </w:r>
          </w:p>
        </w:tc>
        <w:tc>
          <w:tcPr>
            <w:tcW w:w="148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09"/>
        </w:trPr>
        <w:tc>
          <w:tcPr>
            <w:tcW w:w="4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Bi-Monthly,</w:t>
            </w:r>
          </w:p>
        </w:tc>
        <w:tc>
          <w:tcPr>
            <w:tcW w:w="1480" w:type="dxa"/>
            <w:vAlign w:val="bottom"/>
            <w:shd w:val="clear" w:color="auto" w:fill="CFF0FC"/>
          </w:tcPr>
          <w:p>
            <w:pPr>
              <w:spacing w:after="0"/>
              <w:rPr>
                <w:sz w:val="18"/>
                <w:szCs w:val="18"/>
                <w:color w:val="auto"/>
              </w:rPr>
            </w:pPr>
          </w:p>
        </w:tc>
      </w:tr>
      <w:tr>
        <w:trPr>
          <w:trHeight w:val="208"/>
        </w:trPr>
        <w:tc>
          <w:tcPr>
            <w:tcW w:w="4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4"/>
              </w:rPr>
              <w:t>Monthly, Quarterly,</w:t>
            </w:r>
          </w:p>
        </w:tc>
        <w:tc>
          <w:tcPr>
            <w:tcW w:w="1480" w:type="dxa"/>
            <w:vAlign w:val="bottom"/>
            <w:shd w:val="clear" w:color="auto" w:fill="CFF0FC"/>
          </w:tcPr>
          <w:p>
            <w:pPr>
              <w:spacing w:after="0"/>
              <w:rPr>
                <w:sz w:val="18"/>
                <w:szCs w:val="18"/>
                <w:color w:val="auto"/>
              </w:rPr>
            </w:pPr>
          </w:p>
        </w:tc>
      </w:tr>
      <w:tr>
        <w:trPr>
          <w:trHeight w:val="208"/>
        </w:trPr>
        <w:tc>
          <w:tcPr>
            <w:tcW w:w="4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4"/>
              </w:rPr>
              <w:t>Semi-Annual, and</w:t>
            </w:r>
          </w:p>
        </w:tc>
        <w:tc>
          <w:tcPr>
            <w:tcW w:w="1480" w:type="dxa"/>
            <w:vAlign w:val="bottom"/>
            <w:shd w:val="clear" w:color="auto" w:fill="CFF0FC"/>
          </w:tcPr>
          <w:p>
            <w:pPr>
              <w:spacing w:after="0"/>
              <w:rPr>
                <w:sz w:val="18"/>
                <w:szCs w:val="18"/>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Hedge Funds</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Annual</w:t>
            </w:r>
          </w:p>
        </w:tc>
        <w:tc>
          <w:tcPr>
            <w:tcW w:w="14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5-365 days</w:t>
            </w: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3,058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268</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0</wp:posOffset>
            </wp:positionV>
            <wp:extent cx="187706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77060" cy="24765"/>
                    </a:xfrm>
                    <a:prstGeom prst="rect">
                      <a:avLst/>
                    </a:prstGeom>
                    <a:noFill/>
                  </pic:spPr>
                </pic:pic>
              </a:graphicData>
            </a:graphic>
          </wp:anchor>
        </w:drawing>
      </w:r>
    </w:p>
    <w:p>
      <w:pPr>
        <w:spacing w:after="0" w:line="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Global Equity Securities Funds hold a broad diversified portfolio of U.S. equity, developed international equity, and emerging markets equity securities. These investments are primarily valued by the fund administrator based on a market or income valuation methodology depending on the specific type of security or instrument held.</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Real estate investments primarily include investments in limited partnerships that invest in office, industrial, retail and apartment properties. Investments are primarily valued by the fund manager based on independent appraisals, discounted cash flow models, cost and comparable market transactions. The term of each fund is typically 10 or more years and the fund’s investors do not have an option to redeem their interest in the fund but receive distributions through the liquidation of the underlying investments.</w:t>
      </w:r>
    </w:p>
    <w:p>
      <w:pPr>
        <w:spacing w:after="0" w:line="20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Global Balanced Asset Allocation Fund investments are commingled funds that hold a diversified portfolio of passive market exposures, including equities, debt, currencies and commodities that uses an equal risk parity allocation strategy. These investments are primarily valued by the fund manager based on a market or income valuation methodology depending on the specific type of security or instrument held.</w:t>
      </w:r>
    </w:p>
    <w:p>
      <w:pPr>
        <w:spacing w:after="0" w:line="19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Private equity investments are primarily comprised of direct limited partnerships and fund-of-fund investments that invest in distressed investments, venture capital, leveraged buyouts and special situations. Private equity investments are valued by the fund manager primarily based on independent appraisals, discounted cash flow models, cost, and comparable market transactions. The term of each fund is typically 10 or more years and the fund’s investors do not have an option to redeem their interest in the fund. The investors in the fund receive distributions through the liquidation of the underlying investments in the fund.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3" w:name="page114"/>
    <w:bookmarkEnd w:id="113"/>
    <w:p>
      <w:pPr>
        <w:ind w:right="180"/>
        <w:spacing w:after="0" w:line="283" w:lineRule="auto"/>
        <w:rPr>
          <w:sz w:val="20"/>
          <w:szCs w:val="20"/>
          <w:color w:val="auto"/>
        </w:rPr>
      </w:pPr>
      <w:r>
        <w:rPr>
          <w:rFonts w:ascii="Arial" w:cs="Arial" w:eastAsia="Arial" w:hAnsi="Arial"/>
          <w:sz w:val="16"/>
          <w:szCs w:val="16"/>
          <w:color w:val="auto"/>
        </w:rPr>
        <w:t>The U.S. Plan invests in a portfolio of hedge funds to supplement the return generated by its exchange traded futures contracts as well as in a separate portfolio of hedge funds where the objective is to seek a higher absolute return. Hedge fund investments are made through direct investments in individual hedge funds. The hedge fund investments substantially consist of a diversified portfolio of hedge funds that use equity, debt, commodity, currency strategies and derivative instruments. The U.S. defined benefit pension plan evaluates several factors for investing in hedge funds including investment strategy, return, risk, liquidity, correlation to other funds and the number of funds to achieve a diversified portfolio of hedge funds.</w:t>
      </w:r>
    </w:p>
    <w:p>
      <w:pPr>
        <w:spacing w:after="0" w:line="19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Hedge funds are typically valued by each fund’s third-party fund administrator based upon the valuation of the underlying securities and instruments, primarily by applying a market or income valuation methodology as appropriate depending on the specific type of security or instrument held. The U.S. defined benefit pension plan maintains cash liquidity reserves that serve as variation margin for the U. S. Treasury futures contracts directly held by the U. S. Plan to hedge it’s liability duration. Approximately $87 million and $89 million of cash liquidity reserves associated with hedge funds as of December 31, 2021 and 2020, respectively, are included in the cash and cash equivalents asset class in the table above.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summarize Kodak’s U.S. defined benefit pension plan investments in hedge funds by type for those investments valued at NAV:</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Plan: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Redemption</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3"/>
              </w:rPr>
              <w:t>Redemption</w:t>
            </w:r>
          </w:p>
        </w:tc>
        <w:tc>
          <w:tcPr>
            <w:tcW w:w="0" w:type="dxa"/>
            <w:vAlign w:val="bottom"/>
          </w:tcPr>
          <w:p>
            <w:pPr>
              <w:spacing w:after="0"/>
              <w:rPr>
                <w:sz w:val="1"/>
                <w:szCs w:val="1"/>
                <w:color w:val="auto"/>
              </w:rPr>
            </w:pPr>
          </w:p>
        </w:tc>
      </w:tr>
      <w:tr>
        <w:trPr>
          <w:trHeight w:val="227"/>
        </w:trPr>
        <w:tc>
          <w:tcPr>
            <w:tcW w:w="4480" w:type="dxa"/>
            <w:vAlign w:val="bottom"/>
            <w:gridSpan w:val="2"/>
          </w:tcPr>
          <w:p>
            <w:pPr>
              <w:ind w:left="114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Net Asset Value</w:t>
            </w:r>
          </w:p>
        </w:tc>
        <w:tc>
          <w:tcPr>
            <w:tcW w:w="22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Frequency</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1"/>
              </w:rPr>
              <w:t>Notice Period</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3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9"/>
              </w:rPr>
              <w:t>Monthly,</w:t>
            </w:r>
          </w:p>
        </w:tc>
        <w:tc>
          <w:tcPr>
            <w:tcW w:w="14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Multi-strategy hedge funds</w:t>
            </w:r>
          </w:p>
        </w:tc>
        <w:tc>
          <w:tcPr>
            <w:tcW w:w="1720" w:type="dxa"/>
            <w:vAlign w:val="bottom"/>
            <w:gridSpan w:val="2"/>
            <w:shd w:val="clear" w:color="auto" w:fill="CFF0FC"/>
          </w:tcPr>
          <w:p>
            <w:pPr>
              <w:jc w:val="right"/>
              <w:ind w:right="31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653</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15-90 days</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Bi-monthly,</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gridSpan w:val="2"/>
          </w:tcPr>
          <w:p>
            <w:pPr>
              <w:ind w:left="1140"/>
              <w:spacing w:after="0"/>
              <w:rPr>
                <w:sz w:val="20"/>
                <w:szCs w:val="20"/>
                <w:color w:val="auto"/>
              </w:rPr>
            </w:pPr>
            <w:r>
              <w:rPr>
                <w:rFonts w:ascii="Arial" w:cs="Arial" w:eastAsia="Arial" w:hAnsi="Arial"/>
                <w:sz w:val="17"/>
                <w:szCs w:val="17"/>
                <w:color w:val="auto"/>
              </w:rPr>
              <w:t>Relative value hedge funds</w:t>
            </w: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354</w:t>
            </w:r>
          </w:p>
        </w:tc>
        <w:tc>
          <w:tcPr>
            <w:tcW w:w="22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6-365 days</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Bi-monthly,</w:t>
            </w: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Directional hedge funds</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5-30 days</w:t>
            </w:r>
          </w:p>
        </w:tc>
        <w:tc>
          <w:tcPr>
            <w:tcW w:w="0" w:type="dxa"/>
            <w:vAlign w:val="bottom"/>
          </w:tcPr>
          <w:p>
            <w:pPr>
              <w:spacing w:after="0"/>
              <w:rPr>
                <w:sz w:val="1"/>
                <w:szCs w:val="1"/>
                <w:color w:val="auto"/>
              </w:rPr>
            </w:pPr>
          </w:p>
        </w:tc>
      </w:tr>
      <w:tr>
        <w:trPr>
          <w:trHeight w:val="221"/>
        </w:trPr>
        <w:tc>
          <w:tcPr>
            <w:tcW w:w="4480" w:type="dxa"/>
            <w:vAlign w:val="bottom"/>
            <w:gridSpan w:val="2"/>
          </w:tcPr>
          <w:p>
            <w:pPr>
              <w:ind w:left="1140"/>
              <w:spacing w:after="0"/>
              <w:rPr>
                <w:sz w:val="20"/>
                <w:szCs w:val="20"/>
                <w:color w:val="auto"/>
              </w:rPr>
            </w:pPr>
            <w:r>
              <w:rPr>
                <w:rFonts w:ascii="Arial" w:cs="Arial" w:eastAsia="Arial" w:hAnsi="Arial"/>
                <w:sz w:val="17"/>
                <w:szCs w:val="17"/>
                <w:color w:val="auto"/>
              </w:rPr>
              <w:t>Equity long/short hedge funds</w:t>
            </w: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225</w:t>
            </w:r>
          </w:p>
        </w:tc>
        <w:tc>
          <w:tcPr>
            <w:tcW w:w="22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45-90 days</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Sector specialist hedge funds</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7"/>
              </w:rPr>
              <w:t>90 days</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Quarterly,</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gridSpan w:val="2"/>
          </w:tcPr>
          <w:p>
            <w:pPr>
              <w:ind w:left="1140"/>
              <w:spacing w:after="0"/>
              <w:rPr>
                <w:sz w:val="20"/>
                <w:szCs w:val="20"/>
                <w:color w:val="auto"/>
              </w:rPr>
            </w:pPr>
            <w:r>
              <w:rPr>
                <w:rFonts w:ascii="Arial" w:cs="Arial" w:eastAsia="Arial" w:hAnsi="Arial"/>
                <w:sz w:val="17"/>
                <w:szCs w:val="17"/>
                <w:color w:val="auto"/>
              </w:rPr>
              <w:t>Long-biased hedge funds</w:t>
            </w: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138</w:t>
            </w:r>
          </w:p>
        </w:tc>
        <w:tc>
          <w:tcPr>
            <w:tcW w:w="22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Annually</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60-75 days</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Event driven hedge funds</w:t>
            </w:r>
          </w:p>
        </w:tc>
        <w:tc>
          <w:tcPr>
            <w:tcW w:w="12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7"/>
              </w:rPr>
              <w:t>90 days</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20" w:type="dxa"/>
            <w:vAlign w:val="bottom"/>
            <w:gridSpan w:val="2"/>
          </w:tcPr>
          <w:p>
            <w:pPr>
              <w:jc w:val="right"/>
              <w:ind w:right="31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1,801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December 31, 2020</w:t>
            </w:r>
          </w:p>
        </w:tc>
        <w:tc>
          <w:tcPr>
            <w:tcW w:w="1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8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Redemption</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3"/>
              </w:rPr>
              <w:t>Redemption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60" w:type="dxa"/>
            <w:vAlign w:val="bottom"/>
            <w:gridSpan w:val="2"/>
          </w:tcPr>
          <w:p>
            <w:pPr>
              <w:ind w:left="114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Net Asset Value</w:t>
            </w:r>
          </w:p>
        </w:tc>
        <w:tc>
          <w:tcPr>
            <w:tcW w:w="22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Frequency</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1"/>
              </w:rPr>
              <w:t>Notice Period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Multi-strategy hedge funds</w:t>
            </w:r>
          </w:p>
        </w:tc>
        <w:tc>
          <w:tcPr>
            <w:tcW w:w="13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3220" w:type="dxa"/>
            <w:vAlign w:val="bottom"/>
            <w:vMerge w:val="continue"/>
            <w:shd w:val="clear" w:color="auto" w:fill="CFF0FC"/>
          </w:tcPr>
          <w:p>
            <w:pPr>
              <w:spacing w:after="0"/>
              <w:rPr>
                <w:sz w:val="18"/>
                <w:szCs w:val="18"/>
                <w:color w:val="auto"/>
              </w:rPr>
            </w:pPr>
          </w:p>
        </w:tc>
        <w:tc>
          <w:tcPr>
            <w:tcW w:w="1840" w:type="dxa"/>
            <w:vAlign w:val="bottom"/>
            <w:gridSpan w:val="2"/>
            <w:shd w:val="clear" w:color="auto" w:fill="CFF0FC"/>
          </w:tcPr>
          <w:p>
            <w:pPr>
              <w:jc w:val="right"/>
              <w:ind w:right="31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530</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6"/>
              </w:rPr>
              <w:t>Monthly, Quarterly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15-90 days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Bi-monthly,</w:t>
            </w: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gridSpan w:val="2"/>
          </w:tcPr>
          <w:p>
            <w:pPr>
              <w:ind w:left="1140"/>
              <w:spacing w:after="0"/>
              <w:rPr>
                <w:sz w:val="20"/>
                <w:szCs w:val="20"/>
                <w:color w:val="auto"/>
              </w:rPr>
            </w:pPr>
            <w:r>
              <w:rPr>
                <w:rFonts w:ascii="Arial" w:cs="Arial" w:eastAsia="Arial" w:hAnsi="Arial"/>
                <w:sz w:val="17"/>
                <w:szCs w:val="17"/>
                <w:color w:val="auto"/>
              </w:rPr>
              <w:t>Relative value hedge funds</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312</w:t>
            </w:r>
          </w:p>
        </w:tc>
        <w:tc>
          <w:tcPr>
            <w:tcW w:w="22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6-365 days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Bi-monthly,</w:t>
            </w:r>
          </w:p>
        </w:tc>
        <w:tc>
          <w:tcPr>
            <w:tcW w:w="13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Directional hedge funds</w:t>
            </w:r>
          </w:p>
        </w:tc>
        <w:tc>
          <w:tcPr>
            <w:tcW w:w="1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5-30 days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gridSpan w:val="2"/>
          </w:tcPr>
          <w:p>
            <w:pPr>
              <w:ind w:left="1140"/>
              <w:spacing w:after="0"/>
              <w:rPr>
                <w:sz w:val="20"/>
                <w:szCs w:val="20"/>
                <w:color w:val="auto"/>
              </w:rPr>
            </w:pPr>
            <w:r>
              <w:rPr>
                <w:rFonts w:ascii="Arial" w:cs="Arial" w:eastAsia="Arial" w:hAnsi="Arial"/>
                <w:sz w:val="17"/>
                <w:szCs w:val="17"/>
                <w:color w:val="auto"/>
              </w:rPr>
              <w:t>Equity long/short hedge funds</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207</w:t>
            </w:r>
          </w:p>
        </w:tc>
        <w:tc>
          <w:tcPr>
            <w:tcW w:w="22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45-90 days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3"/>
              </w:rPr>
              <w:t>Quarterly,</w:t>
            </w:r>
          </w:p>
        </w:tc>
        <w:tc>
          <w:tcPr>
            <w:tcW w:w="13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Long-biased hedge funds</w:t>
            </w:r>
          </w:p>
        </w:tc>
        <w:tc>
          <w:tcPr>
            <w:tcW w:w="1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Annually</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60-75 days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gridSpan w:val="2"/>
          </w:tcPr>
          <w:p>
            <w:pPr>
              <w:ind w:left="1140"/>
              <w:spacing w:after="0"/>
              <w:rPr>
                <w:sz w:val="20"/>
                <w:szCs w:val="20"/>
                <w:color w:val="auto"/>
              </w:rPr>
            </w:pPr>
            <w:r>
              <w:rPr>
                <w:rFonts w:ascii="Arial" w:cs="Arial" w:eastAsia="Arial" w:hAnsi="Arial"/>
                <w:sz w:val="17"/>
                <w:szCs w:val="17"/>
                <w:color w:val="auto"/>
              </w:rPr>
              <w:t>Event driven hedge funds</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Quarterly</w:t>
            </w:r>
          </w:p>
        </w:tc>
        <w:tc>
          <w:tcPr>
            <w:tcW w:w="1380" w:type="dxa"/>
            <w:vAlign w:val="bottom"/>
          </w:tcPr>
          <w:p>
            <w:pPr>
              <w:jc w:val="center"/>
              <w:spacing w:after="0"/>
              <w:rPr>
                <w:sz w:val="20"/>
                <w:szCs w:val="20"/>
                <w:color w:val="auto"/>
              </w:rPr>
            </w:pPr>
            <w:r>
              <w:rPr>
                <w:rFonts w:ascii="Arial" w:cs="Arial" w:eastAsia="Arial" w:hAnsi="Arial"/>
                <w:sz w:val="17"/>
                <w:szCs w:val="17"/>
                <w:color w:val="auto"/>
                <w:w w:val="87"/>
              </w:rPr>
              <w:t>90 days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1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1,485</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40" w:type="dxa"/>
            <w:vAlign w:val="bottom"/>
            <w:gridSpan w:val="2"/>
          </w:tcPr>
          <w:p>
            <w:pPr>
              <w:jc w:val="right"/>
              <w:ind w:right="353"/>
              <w:spacing w:after="0"/>
              <w:rPr>
                <w:sz w:val="20"/>
                <w:szCs w:val="20"/>
                <w:color w:val="auto"/>
              </w:rPr>
            </w:pPr>
            <w:r>
              <w:rPr>
                <w:rFonts w:ascii="Arial" w:cs="Arial" w:eastAsia="Arial" w:hAnsi="Arial"/>
                <w:sz w:val="17"/>
                <w:szCs w:val="17"/>
                <w:color w:val="auto"/>
              </w:rPr>
              <w:t>114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4" w:name="page115"/>
    <w:bookmarkEnd w:id="114"/>
    <w:p>
      <w:pPr>
        <w:ind w:right="320"/>
        <w:spacing w:after="0" w:line="323" w:lineRule="auto"/>
        <w:rPr>
          <w:sz w:val="20"/>
          <w:szCs w:val="20"/>
          <w:color w:val="auto"/>
        </w:rPr>
      </w:pPr>
      <w:r>
        <w:rPr>
          <w:rFonts w:ascii="Arial" w:cs="Arial" w:eastAsia="Arial" w:hAnsi="Arial"/>
          <w:sz w:val="15"/>
          <w:szCs w:val="15"/>
          <w:color w:val="auto"/>
        </w:rPr>
        <w:t>Hedge funds typically have the right to restrict redemption requests beyond Kodak’s control. In these cases, redemptions may extend beyond the general redemption terms outlined in the table above. Certain hedge fund investments have no redemption rights and will become liquid only upon sale by the hedge fund managers. As of both December 31, 2021 and 2020, these investments represented approximately 5% of the hedge funds investments valued at NAV.</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5"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Approximately 27% of total U.S. defined benefit pension plan assets as of December 31, 2021 are invested in real estate funds, private equity funds and other investments where the Company receives distributions through the liquidation of the underlying investments. Liquidity of U.S. defined benefit pension plan assets is managed to minimize the likelihood that these investments would need to be sold to cover benefit payments, derivative losses, or any other short-term need.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total unfunded commitments, if and when they are called over the term of each investment, are expected to be funded by the available liquidity in the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defined benefit pension plan consistent with historical experience.</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Kodak’s major Non-U.S. defined benefit pension plans assets at December 31, 2021 and 2020 by asset class are presented in the tables below: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Non-U.S.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3"/>
              </w:rPr>
              <w:t>Non - U.S.</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3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b w:val="1"/>
                <w:bCs w:val="1"/>
                <w:color w:val="auto"/>
                <w:w w:val="93"/>
              </w:rPr>
              <w:t>in 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b w:val="1"/>
                <w:bCs w:val="1"/>
                <w:color w:val="auto"/>
                <w:w w:val="98"/>
              </w:rPr>
              <w:t>Markets for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3"/>
              <w:spacing w:after="0"/>
              <w:rPr>
                <w:sz w:val="20"/>
                <w:szCs w:val="20"/>
                <w:color w:val="auto"/>
              </w:rPr>
            </w:pPr>
            <w:r>
              <w:rPr>
                <w:rFonts w:ascii="Arial" w:cs="Arial" w:eastAsia="Arial" w:hAnsi="Arial"/>
                <w:sz w:val="17"/>
                <w:szCs w:val="17"/>
                <w:b w:val="1"/>
                <w:bCs w:val="1"/>
                <w:color w:val="auto"/>
                <w:w w:val="92"/>
              </w:rPr>
              <w:t>Observable</w:t>
            </w: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Unobservable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Identical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7"/>
                <w:szCs w:val="17"/>
                <w:b w:val="1"/>
                <w:bCs w:val="1"/>
                <w:color w:val="auto"/>
              </w:rPr>
              <w:t>Measured at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(Level 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NAV</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93"/>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7"/>
                <w:szCs w:val="17"/>
                <w:color w:val="auto"/>
                <w:w w:val="94"/>
              </w:rPr>
              <w:t>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84"/>
              </w:rPr>
              <w:t>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Hedge Funds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7"/>
                <w:szCs w:val="17"/>
                <w:color w:val="auto"/>
                <w:w w:val="84"/>
              </w:rPr>
              <w:t>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84"/>
              </w:rPr>
              <w:t>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Insurance contracts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4"/>
              </w:rPr>
              <w:t>40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120" w:type="dxa"/>
            <w:vAlign w:val="bottom"/>
            <w:tcBorders>
              <w:bottom w:val="single" w:sz="8" w:color="CFF0FC"/>
            </w:tcBorders>
          </w:tcPr>
          <w:p>
            <w:pPr>
              <w:spacing w:after="0"/>
              <w:rPr>
                <w:sz w:val="19"/>
                <w:szCs w:val="19"/>
                <w:color w:val="auto"/>
              </w:rPr>
            </w:pPr>
          </w:p>
        </w:tc>
      </w:tr>
      <w:tr>
        <w:trPr>
          <w:trHeight w:val="214"/>
        </w:trPr>
        <w:tc>
          <w:tcPr>
            <w:tcW w:w="4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7"/>
                <w:szCs w:val="17"/>
                <w:color w:val="auto"/>
                <w:w w:val="94"/>
              </w:rPr>
              <w:t>96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84"/>
              </w:rPr>
              <w:t>86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w:t>
            </w:r>
          </w:p>
        </w:tc>
        <w:tc>
          <w:tcPr>
            <w:tcW w:w="120" w:type="dxa"/>
            <w:vAlign w:val="bottom"/>
            <w:shd w:val="clear" w:color="auto" w:fill="CFF0FC"/>
          </w:tcPr>
          <w:p>
            <w:pPr>
              <w:spacing w:after="0"/>
              <w:rPr>
                <w:sz w:val="18"/>
                <w:szCs w:val="18"/>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396"/>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115</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4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Major Non-U.S.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3"/>
              </w:rPr>
              <w:t>Non - U.S.</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320" w:type="dxa"/>
            <w:vAlign w:val="bottom"/>
          </w:tcPr>
          <w:p>
            <w:pPr>
              <w:spacing w:after="0"/>
              <w:rPr>
                <w:sz w:val="17"/>
                <w:szCs w:val="17"/>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Quoted Prices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in Active</w:t>
            </w: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8"/>
              </w:rPr>
              <w:t>Markets for</w:t>
            </w:r>
          </w:p>
        </w:tc>
        <w:tc>
          <w:tcPr>
            <w:tcW w:w="120" w:type="dxa"/>
            <w:vAlign w:val="bottom"/>
          </w:tcPr>
          <w:p>
            <w:pPr>
              <w:spacing w:after="0"/>
              <w:rPr>
                <w:sz w:val="18"/>
                <w:szCs w:val="18"/>
                <w:color w:val="auto"/>
              </w:rPr>
            </w:pPr>
          </w:p>
        </w:tc>
        <w:tc>
          <w:tcPr>
            <w:tcW w:w="1040" w:type="dxa"/>
            <w:vAlign w:val="bottom"/>
          </w:tcPr>
          <w:p>
            <w:pPr>
              <w:jc w:val="center"/>
              <w:ind w:right="53"/>
              <w:spacing w:after="0"/>
              <w:rPr>
                <w:sz w:val="20"/>
                <w:szCs w:val="20"/>
                <w:color w:val="auto"/>
              </w:rPr>
            </w:pPr>
            <w:r>
              <w:rPr>
                <w:rFonts w:ascii="Arial" w:cs="Arial" w:eastAsia="Arial" w:hAnsi="Arial"/>
                <w:sz w:val="17"/>
                <w:szCs w:val="17"/>
                <w:b w:val="1"/>
                <w:bCs w:val="1"/>
                <w:color w:val="auto"/>
                <w:w w:val="92"/>
              </w:rPr>
              <w:t>Observable</w:t>
            </w: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Unobservable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8"/>
              </w:rPr>
              <w:t>Identical Assets</w:t>
            </w: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Inputs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b w:val="1"/>
                <w:bCs w:val="1"/>
                <w:color w:val="auto"/>
                <w:w w:val="92"/>
              </w:rPr>
              <w:t>Measured at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(Level 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(Level 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NAV</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8"/>
                <w:szCs w:val="18"/>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Hedge funds</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9"/>
                <w:szCs w:val="19"/>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FF0FC"/>
          </w:tcPr>
          <w:p>
            <w:pPr>
              <w:spacing w:after="0"/>
              <w:rPr>
                <w:sz w:val="19"/>
                <w:szCs w:val="19"/>
                <w:color w:val="auto"/>
              </w:rPr>
            </w:pPr>
          </w:p>
        </w:tc>
      </w:tr>
      <w:tr>
        <w:trPr>
          <w:trHeight w:val="221"/>
        </w:trPr>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Insurance contracts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120" w:type="dxa"/>
            <w:vAlign w:val="bottom"/>
            <w:tcBorders>
              <w:bottom w:val="single" w:sz="8" w:color="CFF0FC"/>
            </w:tcBorders>
          </w:tcPr>
          <w:p>
            <w:pPr>
              <w:spacing w:after="0"/>
              <w:rPr>
                <w:sz w:val="19"/>
                <w:szCs w:val="19"/>
                <w:color w:val="auto"/>
              </w:rPr>
            </w:pPr>
          </w:p>
        </w:tc>
      </w:tr>
      <w:tr>
        <w:trPr>
          <w:trHeight w:val="214"/>
        </w:trPr>
        <w:tc>
          <w:tcPr>
            <w:tcW w:w="4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696</w:t>
            </w:r>
          </w:p>
        </w:tc>
        <w:tc>
          <w:tcPr>
            <w:tcW w:w="120" w:type="dxa"/>
            <w:vAlign w:val="bottom"/>
            <w:shd w:val="clear" w:color="auto" w:fill="CFF0FC"/>
          </w:tcPr>
          <w:p>
            <w:pPr>
              <w:spacing w:after="0"/>
              <w:rPr>
                <w:sz w:val="18"/>
                <w:szCs w:val="18"/>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Hedge fund investments are comprised of a diversified portfolio of hedge funds using equity, debt, commodity and currency instruments.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196"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color w:val="auto"/>
        </w:rPr>
        <w:t>Investments in real estate and private equity funds the investors do not have an option to redeem their interest in the fund. The investors in the fund receive distributions through the liquidation of the underlying investments in the fund. There are no material unfunded commitments as of December 31, 2021 and 2020.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Of the December 31, 2021 and 2020 investments shown in the major Non-U.S. plans table above, there are no material derivative exposures.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The following is a reconciliation of the beginning and ending balances of level 3 assets of Kodak’s major U.S. and non-U.S. defined benefit pension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7"/>
                <w:szCs w:val="17"/>
                <w:b w:val="1"/>
                <w:bCs w:val="1"/>
                <w:color w:val="auto"/>
                <w:w w:val="90"/>
              </w:rPr>
              <w:t>U.S.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ind w:left="40"/>
              <w:spacing w:after="0"/>
              <w:rPr>
                <w:sz w:val="20"/>
                <w:szCs w:val="20"/>
                <w:color w:val="auto"/>
              </w:rPr>
            </w:pPr>
            <w:r>
              <w:rPr>
                <w:rFonts w:ascii="Arial" w:cs="Arial" w:eastAsia="Arial" w:hAnsi="Arial"/>
                <w:sz w:val="17"/>
                <w:szCs w:val="17"/>
                <w:b w:val="1"/>
                <w:bCs w:val="1"/>
                <w:color w:val="auto"/>
              </w:rPr>
              <w:t>Net Realized and Unrealized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Gains</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Relating to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Relating to</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Assets Sold</w:t>
            </w: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Purchases,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Assets Still</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During the</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Sales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at</w:t>
            </w: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4"/>
                <w:szCs w:val="14"/>
                <w:color w:val="auto"/>
              </w:rPr>
              <w:t>(in millions)</w:t>
            </w:r>
          </w:p>
        </w:tc>
        <w:tc>
          <w:tcPr>
            <w:tcW w:w="2580" w:type="dxa"/>
            <w:vAlign w:val="bottom"/>
            <w:gridSpan w:val="3"/>
          </w:tcPr>
          <w:p>
            <w:pPr>
              <w:ind w:left="1400"/>
              <w:spacing w:after="0"/>
              <w:rPr>
                <w:sz w:val="20"/>
                <w:szCs w:val="20"/>
                <w:color w:val="auto"/>
              </w:rPr>
            </w:pPr>
            <w:r>
              <w:rPr>
                <w:rFonts w:ascii="Arial" w:cs="Arial" w:eastAsia="Arial" w:hAnsi="Arial"/>
                <w:sz w:val="17"/>
                <w:szCs w:val="17"/>
                <w:b w:val="1"/>
                <w:bCs w:val="1"/>
                <w:color w:val="auto"/>
                <w:w w:val="91"/>
              </w:rPr>
              <w:t>January 1, 2021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Held</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Period</w:t>
            </w:r>
          </w:p>
        </w:tc>
        <w:tc>
          <w:tcPr>
            <w:tcW w:w="10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Settlements</w:t>
            </w:r>
          </w:p>
        </w:tc>
        <w:tc>
          <w:tcPr>
            <w:tcW w:w="1600" w:type="dxa"/>
            <w:vAlign w:val="bottom"/>
            <w:gridSpan w:val="4"/>
          </w:tcPr>
          <w:p>
            <w:pPr>
              <w:ind w:left="100"/>
              <w:spacing w:after="0"/>
              <w:rPr>
                <w:sz w:val="20"/>
                <w:szCs w:val="20"/>
                <w:color w:val="auto"/>
              </w:rPr>
            </w:pPr>
            <w:r>
              <w:rPr>
                <w:rFonts w:ascii="Arial" w:cs="Arial" w:eastAsia="Arial" w:hAnsi="Arial"/>
                <w:sz w:val="17"/>
                <w:szCs w:val="17"/>
                <w:b w:val="1"/>
                <w:bCs w:val="1"/>
                <w:color w:val="auto"/>
                <w:w w:val="96"/>
              </w:rPr>
              <w:t>December 31, 2021</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Private Equity</w:t>
            </w: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tcPr>
          <w:p>
            <w:pPr>
              <w:spacing w:after="0"/>
              <w:rPr>
                <w:sz w:val="18"/>
                <w:szCs w:val="18"/>
                <w:color w:val="auto"/>
              </w:rPr>
            </w:pPr>
          </w:p>
        </w:tc>
        <w:tc>
          <w:tcPr>
            <w:tcW w:w="15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40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7"/>
                <w:szCs w:val="17"/>
                <w:b w:val="1"/>
                <w:bCs w:val="1"/>
                <w:color w:val="auto"/>
                <w:w w:val="90"/>
              </w:rPr>
              <w:t>U.S.</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ind w:left="40"/>
              <w:spacing w:after="0"/>
              <w:rPr>
                <w:sz w:val="20"/>
                <w:szCs w:val="20"/>
                <w:color w:val="auto"/>
              </w:rPr>
            </w:pPr>
            <w:r>
              <w:rPr>
                <w:rFonts w:ascii="Arial" w:cs="Arial" w:eastAsia="Arial" w:hAnsi="Arial"/>
                <w:sz w:val="17"/>
                <w:szCs w:val="17"/>
                <w:b w:val="1"/>
                <w:bCs w:val="1"/>
                <w:color w:val="auto"/>
              </w:rPr>
              <w:t>Net Realized and Unrealized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Gains</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Relating to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Relating to</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Assets Sold</w:t>
            </w: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Purchases,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Assets Still</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During the</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Sales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at</w:t>
            </w: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4"/>
                <w:szCs w:val="14"/>
                <w:color w:val="auto"/>
              </w:rPr>
              <w:t>(in millions)</w:t>
            </w:r>
          </w:p>
        </w:tc>
        <w:tc>
          <w:tcPr>
            <w:tcW w:w="2580" w:type="dxa"/>
            <w:vAlign w:val="bottom"/>
            <w:gridSpan w:val="3"/>
          </w:tcPr>
          <w:p>
            <w:pPr>
              <w:ind w:left="1400"/>
              <w:spacing w:after="0"/>
              <w:rPr>
                <w:sz w:val="20"/>
                <w:szCs w:val="20"/>
                <w:color w:val="auto"/>
              </w:rPr>
            </w:pPr>
            <w:r>
              <w:rPr>
                <w:rFonts w:ascii="Arial" w:cs="Arial" w:eastAsia="Arial" w:hAnsi="Arial"/>
                <w:sz w:val="17"/>
                <w:szCs w:val="17"/>
                <w:b w:val="1"/>
                <w:bCs w:val="1"/>
                <w:color w:val="auto"/>
                <w:w w:val="91"/>
              </w:rPr>
              <w:t>January 1, 2020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Held</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Period</w:t>
            </w:r>
          </w:p>
        </w:tc>
        <w:tc>
          <w:tcPr>
            <w:tcW w:w="10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Settlements</w:t>
            </w:r>
          </w:p>
        </w:tc>
        <w:tc>
          <w:tcPr>
            <w:tcW w:w="1600" w:type="dxa"/>
            <w:vAlign w:val="bottom"/>
            <w:gridSpan w:val="4"/>
          </w:tcPr>
          <w:p>
            <w:pPr>
              <w:ind w:left="100"/>
              <w:spacing w:after="0"/>
              <w:rPr>
                <w:sz w:val="20"/>
                <w:szCs w:val="20"/>
                <w:color w:val="auto"/>
              </w:rPr>
            </w:pPr>
            <w:r>
              <w:rPr>
                <w:rFonts w:ascii="Arial" w:cs="Arial" w:eastAsia="Arial" w:hAnsi="Arial"/>
                <w:sz w:val="17"/>
                <w:szCs w:val="17"/>
                <w:b w:val="1"/>
                <w:bCs w:val="1"/>
                <w:color w:val="auto"/>
                <w:w w:val="96"/>
              </w:rPr>
              <w:t>December 31, 2020</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Private Equity</w:t>
            </w: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tcPr>
          <w:p>
            <w:pPr>
              <w:spacing w:after="0"/>
              <w:rPr>
                <w:sz w:val="18"/>
                <w:szCs w:val="18"/>
                <w:color w:val="auto"/>
              </w:rPr>
            </w:pPr>
          </w:p>
        </w:tc>
        <w:tc>
          <w:tcPr>
            <w:tcW w:w="15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40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7"/>
                <w:szCs w:val="17"/>
                <w:b w:val="1"/>
                <w:bCs w:val="1"/>
                <w:color w:val="auto"/>
                <w:w w:val="90"/>
              </w:rPr>
              <w:t>U.S.</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ind w:left="40"/>
              <w:spacing w:after="0"/>
              <w:rPr>
                <w:sz w:val="20"/>
                <w:szCs w:val="20"/>
                <w:color w:val="auto"/>
              </w:rPr>
            </w:pPr>
            <w:r>
              <w:rPr>
                <w:rFonts w:ascii="Arial" w:cs="Arial" w:eastAsia="Arial" w:hAnsi="Arial"/>
                <w:sz w:val="17"/>
                <w:szCs w:val="17"/>
                <w:b w:val="1"/>
                <w:bCs w:val="1"/>
                <w:color w:val="auto"/>
              </w:rPr>
              <w:t>Net Realized and Unrealized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Gains</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Relating to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Relating to</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Assets Sold</w:t>
            </w: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Purchases,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Assets Still</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During the</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Sales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at</w:t>
            </w: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4"/>
                <w:szCs w:val="14"/>
                <w:color w:val="auto"/>
              </w:rPr>
              <w:t>(in millions)</w:t>
            </w:r>
          </w:p>
        </w:tc>
        <w:tc>
          <w:tcPr>
            <w:tcW w:w="2580" w:type="dxa"/>
            <w:vAlign w:val="bottom"/>
            <w:gridSpan w:val="3"/>
          </w:tcPr>
          <w:p>
            <w:pPr>
              <w:ind w:left="1400"/>
              <w:spacing w:after="0"/>
              <w:rPr>
                <w:sz w:val="20"/>
                <w:szCs w:val="20"/>
                <w:color w:val="auto"/>
              </w:rPr>
            </w:pPr>
            <w:r>
              <w:rPr>
                <w:rFonts w:ascii="Arial" w:cs="Arial" w:eastAsia="Arial" w:hAnsi="Arial"/>
                <w:sz w:val="17"/>
                <w:szCs w:val="17"/>
                <w:b w:val="1"/>
                <w:bCs w:val="1"/>
                <w:color w:val="auto"/>
                <w:w w:val="91"/>
              </w:rPr>
              <w:t>January 1, 2019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Held</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Period</w:t>
            </w:r>
          </w:p>
        </w:tc>
        <w:tc>
          <w:tcPr>
            <w:tcW w:w="10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Settlements</w:t>
            </w:r>
          </w:p>
        </w:tc>
        <w:tc>
          <w:tcPr>
            <w:tcW w:w="1600" w:type="dxa"/>
            <w:vAlign w:val="bottom"/>
            <w:gridSpan w:val="4"/>
          </w:tcPr>
          <w:p>
            <w:pPr>
              <w:ind w:left="100"/>
              <w:spacing w:after="0"/>
              <w:rPr>
                <w:sz w:val="20"/>
                <w:szCs w:val="20"/>
                <w:color w:val="auto"/>
              </w:rPr>
            </w:pPr>
            <w:r>
              <w:rPr>
                <w:rFonts w:ascii="Arial" w:cs="Arial" w:eastAsia="Arial" w:hAnsi="Arial"/>
                <w:sz w:val="17"/>
                <w:szCs w:val="17"/>
                <w:b w:val="1"/>
                <w:bCs w:val="1"/>
                <w:color w:val="auto"/>
                <w:w w:val="96"/>
              </w:rPr>
              <w:t>December 31, 2019</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Private Equity</w:t>
            </w: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tcPr>
          <w:p>
            <w:pPr>
              <w:spacing w:after="0"/>
              <w:rPr>
                <w:sz w:val="18"/>
                <w:szCs w:val="18"/>
                <w:color w:val="auto"/>
              </w:rPr>
            </w:pPr>
          </w:p>
        </w:tc>
        <w:tc>
          <w:tcPr>
            <w:tcW w:w="15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7"/>
                <w:szCs w:val="17"/>
                <w:b w:val="1"/>
                <w:bCs w:val="1"/>
                <w:color w:val="auto"/>
                <w:w w:val="95"/>
              </w:rPr>
              <w:t>Non - U.S.</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ind w:left="40"/>
              <w:spacing w:after="0"/>
              <w:rPr>
                <w:sz w:val="20"/>
                <w:szCs w:val="20"/>
                <w:color w:val="auto"/>
              </w:rPr>
            </w:pPr>
            <w:r>
              <w:rPr>
                <w:rFonts w:ascii="Arial" w:cs="Arial" w:eastAsia="Arial" w:hAnsi="Arial"/>
                <w:sz w:val="17"/>
                <w:szCs w:val="17"/>
                <w:b w:val="1"/>
                <w:bCs w:val="1"/>
                <w:color w:val="auto"/>
              </w:rPr>
              <w:t>Net Realized and Unrealized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Gains</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Relating to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Relating to</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Assets Sold</w:t>
            </w: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Purchases,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2580" w:type="dxa"/>
            <w:vAlign w:val="bottom"/>
            <w:gridSpan w:val="3"/>
          </w:tcPr>
          <w:p>
            <w:pPr>
              <w:ind w:left="1400"/>
              <w:spacing w:after="0"/>
              <w:rPr>
                <w:sz w:val="20"/>
                <w:szCs w:val="20"/>
                <w:color w:val="auto"/>
              </w:rPr>
            </w:pPr>
            <w:r>
              <w:rPr>
                <w:rFonts w:ascii="Arial" w:cs="Arial" w:eastAsia="Arial" w:hAnsi="Arial"/>
                <w:sz w:val="17"/>
                <w:szCs w:val="17"/>
                <w:b w:val="1"/>
                <w:bCs w:val="1"/>
                <w:color w:val="auto"/>
                <w:w w:val="91"/>
              </w:rPr>
              <w:t>January 1, 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Assets Still</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During the</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Sales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at</w:t>
            </w:r>
          </w:p>
        </w:tc>
        <w:tc>
          <w:tcPr>
            <w:tcW w:w="0" w:type="dxa"/>
            <w:vAlign w:val="bottom"/>
          </w:tcPr>
          <w:p>
            <w:pPr>
              <w:spacing w:after="0"/>
              <w:rPr>
                <w:sz w:val="1"/>
                <w:szCs w:val="1"/>
                <w:color w:val="auto"/>
              </w:rPr>
            </w:pPr>
          </w:p>
        </w:tc>
      </w:tr>
      <w:tr>
        <w:trPr>
          <w:trHeight w:val="221"/>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74"/>
              <w:spacing w:after="0"/>
              <w:rPr>
                <w:sz w:val="20"/>
                <w:szCs w:val="20"/>
                <w:color w:val="auto"/>
              </w:rPr>
            </w:pPr>
            <w:r>
              <w:rPr>
                <w:rFonts w:ascii="Arial" w:cs="Arial" w:eastAsia="Arial" w:hAnsi="Arial"/>
                <w:sz w:val="15"/>
                <w:szCs w:val="15"/>
                <w:b w:val="1"/>
                <w:bCs w:val="1"/>
                <w:color w:val="auto"/>
                <w:w w:val="87"/>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93"/>
              <w:spacing w:after="0"/>
              <w:rPr>
                <w:sz w:val="20"/>
                <w:szCs w:val="20"/>
                <w:color w:val="auto"/>
              </w:rPr>
            </w:pPr>
            <w:r>
              <w:rPr>
                <w:rFonts w:ascii="Arial" w:cs="Arial" w:eastAsia="Arial" w:hAnsi="Arial"/>
                <w:sz w:val="17"/>
                <w:szCs w:val="17"/>
                <w:b w:val="1"/>
                <w:bCs w:val="1"/>
                <w:color w:val="auto"/>
                <w:w w:val="97"/>
              </w:rPr>
              <w:t>Held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Period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3"/>
              <w:spacing w:after="0"/>
              <w:rPr>
                <w:sz w:val="20"/>
                <w:szCs w:val="20"/>
                <w:color w:val="auto"/>
              </w:rPr>
            </w:pPr>
            <w:r>
              <w:rPr>
                <w:rFonts w:ascii="Arial" w:cs="Arial" w:eastAsia="Arial" w:hAnsi="Arial"/>
                <w:sz w:val="17"/>
                <w:szCs w:val="17"/>
                <w:b w:val="1"/>
                <w:bCs w:val="1"/>
                <w:color w:val="auto"/>
                <w:w w:val="87"/>
              </w:rPr>
              <w:t>Settlements</w:t>
            </w:r>
          </w:p>
        </w:tc>
        <w:tc>
          <w:tcPr>
            <w:tcW w:w="140" w:type="dxa"/>
            <w:vAlign w:val="bottom"/>
          </w:tcPr>
          <w:p>
            <w:pPr>
              <w:spacing w:after="0"/>
              <w:rPr>
                <w:sz w:val="19"/>
                <w:szCs w:val="19"/>
                <w:color w:val="auto"/>
              </w:rPr>
            </w:pPr>
          </w:p>
        </w:tc>
        <w:tc>
          <w:tcPr>
            <w:tcW w:w="1600" w:type="dxa"/>
            <w:vAlign w:val="bottom"/>
            <w:gridSpan w:val="4"/>
          </w:tcPr>
          <w:p>
            <w:pPr>
              <w:ind w:left="100"/>
              <w:spacing w:after="0"/>
              <w:rPr>
                <w:sz w:val="20"/>
                <w:szCs w:val="20"/>
                <w:color w:val="auto"/>
              </w:rPr>
            </w:pPr>
            <w:r>
              <w:rPr>
                <w:rFonts w:ascii="Arial" w:cs="Arial" w:eastAsia="Arial" w:hAnsi="Arial"/>
                <w:sz w:val="17"/>
                <w:szCs w:val="17"/>
                <w:b w:val="1"/>
                <w:bCs w:val="1"/>
                <w:color w:val="auto"/>
                <w:w w:val="96"/>
              </w:rPr>
              <w:t>December 31, 2021</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Insurance Contracts</w:t>
            </w: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80" w:type="dxa"/>
            <w:vAlign w:val="bottom"/>
            <w:vMerge w:val="continue"/>
          </w:tcPr>
          <w:p>
            <w:pPr>
              <w:spacing w:after="0"/>
              <w:rPr>
                <w:sz w:val="18"/>
                <w:szCs w:val="18"/>
                <w:color w:val="auto"/>
              </w:rPr>
            </w:pPr>
          </w:p>
        </w:tc>
        <w:tc>
          <w:tcPr>
            <w:tcW w:w="15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291</w:t>
            </w:r>
          </w:p>
        </w:tc>
        <w:tc>
          <w:tcPr>
            <w:tcW w:w="40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7"/>
                <w:szCs w:val="17"/>
                <w:b w:val="1"/>
                <w:bCs w:val="1"/>
                <w:color w:val="auto"/>
                <w:w w:val="95"/>
              </w:rPr>
              <w:t>Non - U.S.</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ind w:left="40"/>
              <w:spacing w:after="0"/>
              <w:rPr>
                <w:sz w:val="20"/>
                <w:szCs w:val="20"/>
                <w:color w:val="auto"/>
              </w:rPr>
            </w:pPr>
            <w:r>
              <w:rPr>
                <w:rFonts w:ascii="Arial" w:cs="Arial" w:eastAsia="Arial" w:hAnsi="Arial"/>
                <w:sz w:val="17"/>
                <w:szCs w:val="17"/>
                <w:b w:val="1"/>
                <w:bCs w:val="1"/>
                <w:color w:val="auto"/>
              </w:rPr>
              <w:t>Net Realized and Unrealized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Gains</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Relating to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Relating to</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Assets Sold</w:t>
            </w: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Purchases,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Assets Still</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During the</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Sales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at</w:t>
            </w:r>
          </w:p>
        </w:tc>
        <w:tc>
          <w:tcPr>
            <w:tcW w:w="0" w:type="dxa"/>
            <w:vAlign w:val="bottom"/>
          </w:tcPr>
          <w:p>
            <w:pPr>
              <w:spacing w:after="0"/>
              <w:rPr>
                <w:sz w:val="1"/>
                <w:szCs w:val="1"/>
                <w:color w:val="auto"/>
              </w:rPr>
            </w:pPr>
          </w:p>
        </w:tc>
      </w:tr>
      <w:tr>
        <w:trPr>
          <w:trHeight w:val="227"/>
        </w:trPr>
        <w:tc>
          <w:tcPr>
            <w:tcW w:w="2780" w:type="dxa"/>
            <w:vAlign w:val="bottom"/>
          </w:tcPr>
          <w:p>
            <w:pPr>
              <w:spacing w:after="0"/>
              <w:rPr>
                <w:sz w:val="19"/>
                <w:szCs w:val="19"/>
                <w:color w:val="auto"/>
              </w:rPr>
            </w:pPr>
          </w:p>
        </w:tc>
        <w:tc>
          <w:tcPr>
            <w:tcW w:w="2580" w:type="dxa"/>
            <w:vAlign w:val="bottom"/>
            <w:gridSpan w:val="3"/>
          </w:tcPr>
          <w:p>
            <w:pPr>
              <w:ind w:left="1400"/>
              <w:spacing w:after="0"/>
              <w:rPr>
                <w:sz w:val="20"/>
                <w:szCs w:val="20"/>
                <w:color w:val="auto"/>
              </w:rPr>
            </w:pPr>
            <w:r>
              <w:rPr>
                <w:rFonts w:ascii="Arial" w:cs="Arial" w:eastAsia="Arial" w:hAnsi="Arial"/>
                <w:sz w:val="17"/>
                <w:szCs w:val="17"/>
                <w:b w:val="1"/>
                <w:bCs w:val="1"/>
                <w:color w:val="auto"/>
                <w:w w:val="91"/>
              </w:rPr>
              <w:t>January 1, 2020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Held</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Period</w:t>
            </w:r>
          </w:p>
        </w:tc>
        <w:tc>
          <w:tcPr>
            <w:tcW w:w="10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Settlements</w:t>
            </w:r>
          </w:p>
        </w:tc>
        <w:tc>
          <w:tcPr>
            <w:tcW w:w="1600" w:type="dxa"/>
            <w:vAlign w:val="bottom"/>
            <w:gridSpan w:val="4"/>
          </w:tcPr>
          <w:p>
            <w:pPr>
              <w:ind w:left="100"/>
              <w:spacing w:after="0"/>
              <w:rPr>
                <w:sz w:val="20"/>
                <w:szCs w:val="20"/>
                <w:color w:val="auto"/>
              </w:rPr>
            </w:pPr>
            <w:r>
              <w:rPr>
                <w:rFonts w:ascii="Arial" w:cs="Arial" w:eastAsia="Arial" w:hAnsi="Arial"/>
                <w:sz w:val="17"/>
                <w:szCs w:val="17"/>
                <w:b w:val="1"/>
                <w:bCs w:val="1"/>
                <w:color w:val="auto"/>
                <w:w w:val="96"/>
              </w:rPr>
              <w:t>December 31, 2020</w:t>
            </w:r>
          </w:p>
        </w:tc>
        <w:tc>
          <w:tcPr>
            <w:tcW w:w="0" w:type="dxa"/>
            <w:vAlign w:val="bottom"/>
          </w:tcPr>
          <w:p>
            <w:pPr>
              <w:spacing w:after="0"/>
              <w:rPr>
                <w:sz w:val="1"/>
                <w:szCs w:val="1"/>
                <w:color w:val="auto"/>
              </w:rPr>
            </w:pPr>
          </w:p>
        </w:tc>
      </w:tr>
      <w:tr>
        <w:trPr>
          <w:trHeight w:val="214"/>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Insurance Contracts</w:t>
            </w:r>
          </w:p>
        </w:tc>
        <w:tc>
          <w:tcPr>
            <w:tcW w:w="1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273</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7"/>
                <w:szCs w:val="17"/>
                <w:color w:val="auto"/>
                <w:w w:val="93"/>
              </w:rPr>
              <w:t>—</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8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273</w:t>
            </w:r>
          </w:p>
        </w:tc>
        <w:tc>
          <w:tcPr>
            <w:tcW w:w="40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gridSpan w:val="2"/>
          </w:tcPr>
          <w:p>
            <w:pPr>
              <w:jc w:val="center"/>
              <w:ind w:left="53"/>
              <w:spacing w:after="0"/>
              <w:rPr>
                <w:sz w:val="20"/>
                <w:szCs w:val="20"/>
                <w:color w:val="auto"/>
              </w:rPr>
            </w:pPr>
            <w:r>
              <w:rPr>
                <w:rFonts w:ascii="Arial" w:cs="Arial" w:eastAsia="Arial" w:hAnsi="Arial"/>
                <w:sz w:val="17"/>
                <w:szCs w:val="17"/>
                <w:color w:val="auto"/>
                <w:w w:val="91"/>
              </w:rPr>
              <w:t>117</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7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7" w:name="page118"/>
    <w:bookmarkEnd w:id="117"/>
    <w:p>
      <w:pPr>
        <w:ind w:left="740" w:hanging="371"/>
        <w:spacing w:after="0"/>
        <w:tabs>
          <w:tab w:leader="none" w:pos="740" w:val="left"/>
        </w:tabs>
        <w:numPr>
          <w:ilvl w:val="0"/>
          <w:numId w:val="43"/>
        </w:numPr>
        <w:rPr>
          <w:rFonts w:ascii="Arial" w:cs="Arial" w:eastAsia="Arial" w:hAnsi="Arial"/>
          <w:sz w:val="15"/>
          <w:szCs w:val="15"/>
          <w:color w:val="auto"/>
        </w:rPr>
      </w:pPr>
      <w:r>
        <w:rPr>
          <w:rFonts w:ascii="Arial" w:cs="Arial" w:eastAsia="Arial" w:hAnsi="Arial"/>
          <w:sz w:val="17"/>
          <w:szCs w:val="17"/>
          <w:color w:val="auto"/>
        </w:rPr>
        <w:t>During 2020 the Company reclassified certain investments from Level 2 to Level 3.</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pension benefit payments, which reflect expected future service, are expected to be paid (in millions):</w:t>
      </w:r>
    </w:p>
    <w:p>
      <w:pPr>
        <w:spacing w:after="0" w:line="215" w:lineRule="exact"/>
        <w:rPr>
          <w:sz w:val="20"/>
          <w:szCs w:val="20"/>
          <w:color w:val="auto"/>
        </w:rPr>
      </w:pPr>
    </w:p>
    <w:tbl>
      <w:tblPr>
        <w:tblLayout w:type="fixed"/>
        <w:tblInd w:w="2260" w:type="dxa"/>
        <w:tblCellMar>
          <w:top w:w="0" w:type="dxa"/>
          <w:left w:w="0" w:type="dxa"/>
          <w:bottom w:w="0" w:type="dxa"/>
          <w:right w:w="0" w:type="dxa"/>
        </w:tblCellMar>
      </w:tblPr>
      <w:tr>
        <w:trPr>
          <w:trHeight w:val="227"/>
        </w:trPr>
        <w:tc>
          <w:tcPr>
            <w:tcW w:w="37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U.S.</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Non-U.S.</w:t>
            </w:r>
          </w:p>
        </w:tc>
      </w:tr>
      <w:tr>
        <w:trPr>
          <w:trHeight w:val="214"/>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900" w:type="dxa"/>
            <w:vAlign w:val="bottom"/>
            <w:shd w:val="clear" w:color="auto" w:fill="CFF0FC"/>
          </w:tcPr>
          <w:p>
            <w:pPr>
              <w:jc w:val="right"/>
              <w:ind w:right="71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r>
      <w:tr>
        <w:trPr>
          <w:trHeight w:val="221"/>
        </w:trPr>
        <w:tc>
          <w:tcPr>
            <w:tcW w:w="3700" w:type="dxa"/>
            <w:vAlign w:val="bottom"/>
          </w:tcPr>
          <w:p>
            <w:pPr>
              <w:spacing w:after="0"/>
              <w:rPr>
                <w:sz w:val="20"/>
                <w:szCs w:val="20"/>
                <w:color w:val="auto"/>
              </w:rPr>
            </w:pPr>
            <w:r>
              <w:rPr>
                <w:rFonts w:ascii="Arial" w:cs="Arial" w:eastAsia="Arial" w:hAnsi="Arial"/>
                <w:sz w:val="17"/>
                <w:szCs w:val="17"/>
                <w:color w:val="auto"/>
              </w:rPr>
              <w:t>2023</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1"/>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r>
      <w:tr>
        <w:trPr>
          <w:trHeight w:val="221"/>
        </w:trPr>
        <w:tc>
          <w:tcPr>
            <w:tcW w:w="3700" w:type="dxa"/>
            <w:vAlign w:val="bottom"/>
          </w:tcPr>
          <w:p>
            <w:pPr>
              <w:spacing w:after="0"/>
              <w:rPr>
                <w:sz w:val="20"/>
                <w:szCs w:val="20"/>
                <w:color w:val="auto"/>
              </w:rPr>
            </w:pPr>
            <w:r>
              <w:rPr>
                <w:rFonts w:ascii="Arial" w:cs="Arial" w:eastAsia="Arial" w:hAnsi="Arial"/>
                <w:sz w:val="17"/>
                <w:szCs w:val="17"/>
                <w:color w:val="auto"/>
              </w:rPr>
              <w:t>2025</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1"/>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2026</w:t>
            </w: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r>
      <w:tr>
        <w:trPr>
          <w:trHeight w:val="221"/>
        </w:trPr>
        <w:tc>
          <w:tcPr>
            <w:tcW w:w="3700" w:type="dxa"/>
            <w:vAlign w:val="bottom"/>
          </w:tcPr>
          <w:p>
            <w:pPr>
              <w:spacing w:after="0"/>
              <w:rPr>
                <w:sz w:val="20"/>
                <w:szCs w:val="20"/>
                <w:color w:val="auto"/>
              </w:rPr>
            </w:pPr>
            <w:r>
              <w:rPr>
                <w:rFonts w:ascii="Arial" w:cs="Arial" w:eastAsia="Arial" w:hAnsi="Arial"/>
                <w:sz w:val="17"/>
                <w:szCs w:val="17"/>
                <w:color w:val="auto"/>
              </w:rPr>
              <w:t>2027 - 2031</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994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202</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OTHER POSTRETIREMENT BENEFITS</w:t>
      </w:r>
    </w:p>
    <w:p>
      <w:pPr>
        <w:spacing w:after="0" w:line="253"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In Canada, Kodak provides medical, dental, life insurance, and survivor income benefits to eligible retirees. In the U.K., Kodak provides medical benefits to eligible retirees. The other postretirement benefit plans in Canada and the U.K. are closed to new participants. Information on the Canada and U.K. other postretirement benefit plans is presented below.</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net benefit obligation for Kodak's other postretirement benefit plans is December 31.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00" w:type="dxa"/>
            <w:vAlign w:val="bottom"/>
            <w:gridSpan w:val="2"/>
          </w:tcPr>
          <w:p>
            <w:pPr>
              <w:spacing w:after="0"/>
              <w:rPr>
                <w:sz w:val="20"/>
                <w:szCs w:val="20"/>
                <w:color w:val="auto"/>
              </w:rPr>
            </w:pPr>
            <w:r>
              <w:rPr>
                <w:rFonts w:ascii="Arial" w:cs="Arial" w:eastAsia="Arial" w:hAnsi="Arial"/>
                <w:sz w:val="17"/>
                <w:szCs w:val="17"/>
                <w:color w:val="auto"/>
              </w:rPr>
              <w:t>Changes in Kodak’s benefit obligation and funded status were as follows (in millions):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Net benefit obligation at beginning of period</w:t>
            </w:r>
          </w:p>
        </w:tc>
        <w:tc>
          <w:tcPr>
            <w:tcW w:w="960" w:type="dxa"/>
            <w:vAlign w:val="bottom"/>
            <w:gridSpan w:val="2"/>
            <w:shd w:val="clear" w:color="auto" w:fill="CFF0FC"/>
          </w:tcPr>
          <w:p>
            <w:pPr>
              <w:jc w:val="right"/>
              <w:ind w:right="613"/>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Interest cost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Plan participants’ contributions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Actuarial loss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Benefit payments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Net benefit obligation at end of period</w:t>
            </w:r>
          </w:p>
        </w:tc>
        <w:tc>
          <w:tcPr>
            <w:tcW w:w="18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700" w:type="dxa"/>
            <w:vAlign w:val="bottom"/>
          </w:tcPr>
          <w:p>
            <w:pPr>
              <w:spacing w:after="0"/>
              <w:rPr>
                <w:sz w:val="17"/>
                <w:szCs w:val="17"/>
                <w:color w:val="auto"/>
              </w:rPr>
            </w:pPr>
          </w:p>
        </w:tc>
        <w:tc>
          <w:tcPr>
            <w:tcW w:w="5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Underfunded status at end of period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(63)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6900" w:type="dxa"/>
            <w:vAlign w:val="bottom"/>
            <w:gridSpan w:val="2"/>
          </w:tcPr>
          <w:p>
            <w:pPr>
              <w:spacing w:after="0"/>
              <w:rPr>
                <w:sz w:val="20"/>
                <w:szCs w:val="20"/>
                <w:color w:val="auto"/>
              </w:rPr>
            </w:pPr>
            <w:r>
              <w:rPr>
                <w:rFonts w:ascii="Arial" w:cs="Arial" w:eastAsia="Arial" w:hAnsi="Arial"/>
                <w:sz w:val="17"/>
                <w:szCs w:val="17"/>
                <w:color w:val="auto"/>
                <w:w w:val="96"/>
              </w:rPr>
              <w:t>Amounts recognized in the Consolidated Statement of Financial Position consist of (in millions):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ind w:right="173"/>
              <w:spacing w:after="0"/>
              <w:rPr>
                <w:sz w:val="20"/>
                <w:szCs w:val="20"/>
                <w:color w:val="auto"/>
              </w:rPr>
            </w:pPr>
            <w:r>
              <w:rPr>
                <w:rFonts w:ascii="Arial" w:cs="Arial" w:eastAsia="Arial" w:hAnsi="Arial"/>
                <w:sz w:val="17"/>
                <w:szCs w:val="17"/>
                <w:b w:val="1"/>
                <w:bCs w:val="1"/>
                <w:color w:val="auto"/>
              </w:rPr>
              <w:t>As of 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960" w:type="dxa"/>
            <w:vAlign w:val="bottom"/>
            <w:gridSpan w:val="2"/>
            <w:shd w:val="clear" w:color="auto" w:fill="CFF0FC"/>
          </w:tcPr>
          <w:p>
            <w:pPr>
              <w:jc w:val="right"/>
              <w:ind w:right="613"/>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98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Pension and other postretirement liabilities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(60)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3"/>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(56)</w:t>
            </w:r>
          </w:p>
        </w:tc>
        <w:tc>
          <w:tcPr>
            <w:tcW w:w="98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2"/>
              </w:rPr>
              <w:t>(63)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7"/>
                <w:szCs w:val="17"/>
                <w:color w:val="auto"/>
              </w:rPr>
              <w:t>Amounts recognized in Accumulated other comprehensive loss consist of (in millions):</w:t>
            </w: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9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ind w:right="173"/>
              <w:spacing w:after="0"/>
              <w:rPr>
                <w:sz w:val="20"/>
                <w:szCs w:val="20"/>
                <w:color w:val="auto"/>
              </w:rPr>
            </w:pPr>
            <w:r>
              <w:rPr>
                <w:rFonts w:ascii="Arial" w:cs="Arial" w:eastAsia="Arial" w:hAnsi="Arial"/>
                <w:sz w:val="17"/>
                <w:szCs w:val="17"/>
                <w:b w:val="1"/>
                <w:bCs w:val="1"/>
                <w:color w:val="auto"/>
              </w:rPr>
              <w:t>As of 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Net actuarial gain</w:t>
            </w:r>
          </w:p>
        </w:tc>
        <w:tc>
          <w:tcPr>
            <w:tcW w:w="960" w:type="dxa"/>
            <w:vAlign w:val="bottom"/>
            <w:gridSpan w:val="2"/>
            <w:shd w:val="clear" w:color="auto" w:fill="CFF0FC"/>
          </w:tcPr>
          <w:p>
            <w:pPr>
              <w:jc w:val="right"/>
              <w:ind w:right="613"/>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1"/>
        </w:trPr>
        <w:tc>
          <w:tcPr>
            <w:tcW w:w="6900" w:type="dxa"/>
            <w:vAlign w:val="bottom"/>
            <w:gridSpan w:val="2"/>
          </w:tcPr>
          <w:p>
            <w:pPr>
              <w:ind w:left="5500"/>
              <w:spacing w:after="0"/>
              <w:rPr>
                <w:sz w:val="20"/>
                <w:szCs w:val="20"/>
                <w:color w:val="auto"/>
              </w:rPr>
            </w:pPr>
            <w:r>
              <w:rPr>
                <w:rFonts w:ascii="Arial" w:cs="Arial" w:eastAsia="Arial" w:hAnsi="Arial"/>
                <w:sz w:val="17"/>
                <w:szCs w:val="17"/>
                <w:color w:val="auto"/>
              </w:rPr>
              <w:t>118</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Changes in benefit obligations recognized in Other comprehensive loss (income) consist of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1"/>
          </w:tcPr>
          <w:p>
            <w:pPr>
              <w:ind w:left="22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gridSpan w:val="2"/>
          </w:tcPr>
          <w:p>
            <w:pPr>
              <w:spacing w:after="0"/>
              <w:rPr>
                <w:sz w:val="19"/>
                <w:szCs w:val="19"/>
                <w:color w:val="auto"/>
              </w:rPr>
            </w:pPr>
          </w:p>
        </w:tc>
        <w:tc>
          <w:tcPr>
            <w:tcW w:w="1100" w:type="dxa"/>
            <w:vAlign w:val="bottom"/>
            <w:tcBorders>
              <w:bottom w:val="single" w:sz="8" w:color="auto"/>
            </w:tcBorders>
            <w:gridSpan w:val="6"/>
          </w:tcPr>
          <w:p>
            <w:pPr>
              <w:ind w:left="360"/>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gridSpan w:val="2"/>
          </w:tcPr>
          <w:p>
            <w:pPr>
              <w:spacing w:after="0"/>
              <w:rPr>
                <w:sz w:val="19"/>
                <w:szCs w:val="19"/>
                <w:color w:val="auto"/>
              </w:rPr>
            </w:pPr>
          </w:p>
        </w:tc>
        <w:tc>
          <w:tcPr>
            <w:tcW w:w="102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Newly established (gain) loss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gridSpan w:val="4"/>
            <w:shd w:val="clear" w:color="auto" w:fill="CFF0FC"/>
          </w:tcPr>
          <w:p>
            <w:pPr>
              <w:jc w:val="center"/>
              <w:ind w:left="193"/>
              <w:spacing w:after="0"/>
              <w:rPr>
                <w:sz w:val="20"/>
                <w:szCs w:val="20"/>
                <w:color w:val="auto"/>
              </w:rPr>
            </w:pPr>
            <w:r>
              <w:rPr>
                <w:rFonts w:ascii="Arial" w:cs="Arial" w:eastAsia="Arial" w:hAnsi="Arial"/>
                <w:sz w:val="17"/>
                <w:szCs w:val="17"/>
                <w:color w:val="auto"/>
              </w:rPr>
              <w:t>(6)</w:t>
            </w:r>
          </w:p>
        </w:tc>
        <w:tc>
          <w:tcPr>
            <w:tcW w:w="340" w:type="dxa"/>
            <w:vAlign w:val="bottom"/>
            <w:gridSpan w:val="3"/>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3"/>
              <w:spacing w:after="0"/>
              <w:rPr>
                <w:sz w:val="20"/>
                <w:szCs w:val="20"/>
                <w:color w:val="auto"/>
              </w:rPr>
            </w:pPr>
            <w:r>
              <w:rPr>
                <w:rFonts w:ascii="Arial" w:cs="Arial" w:eastAsia="Arial" w:hAnsi="Arial"/>
                <w:sz w:val="17"/>
                <w:szCs w:val="17"/>
                <w:color w:val="auto"/>
                <w:w w:val="84"/>
              </w:rPr>
              <w:t>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2"/>
            <w:vMerge w:val="restart"/>
          </w:tcPr>
          <w:p>
            <w:pPr>
              <w:ind w:left="560"/>
              <w:spacing w:after="0"/>
              <w:rPr>
                <w:sz w:val="20"/>
                <w:szCs w:val="20"/>
                <w:color w:val="auto"/>
              </w:rPr>
            </w:pPr>
            <w:r>
              <w:rPr>
                <w:rFonts w:ascii="Arial" w:cs="Arial" w:eastAsia="Arial" w:hAnsi="Arial"/>
                <w:sz w:val="17"/>
                <w:szCs w:val="17"/>
                <w:color w:val="auto"/>
              </w:rPr>
              <w:t>Total gain recognized in Other comprehensive income</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7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jc w:val="center"/>
              <w:ind w:left="193"/>
              <w:spacing w:after="0"/>
              <w:rPr>
                <w:sz w:val="20"/>
                <w:szCs w:val="20"/>
                <w:color w:val="auto"/>
              </w:rPr>
            </w:pPr>
            <w:r>
              <w:rPr>
                <w:rFonts w:ascii="Arial" w:cs="Arial" w:eastAsia="Arial" w:hAnsi="Arial"/>
                <w:sz w:val="17"/>
                <w:szCs w:val="17"/>
                <w:color w:val="auto"/>
              </w:rPr>
              <w:t>(6)</w:t>
            </w:r>
          </w:p>
        </w:tc>
        <w:tc>
          <w:tcPr>
            <w:tcW w:w="340" w:type="dxa"/>
            <w:vAlign w:val="bottom"/>
            <w:gridSpan w:val="3"/>
          </w:tcPr>
          <w:p>
            <w:pPr>
              <w:jc w:val="right"/>
              <w:ind w:right="9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left="213"/>
              <w:spacing w:after="0"/>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7"/>
                <w:szCs w:val="17"/>
                <w:color w:val="auto"/>
              </w:rPr>
              <w:t>Other postretirement benefit cost included:</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3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21"/>
          </w:tcPr>
          <w:p>
            <w:pPr>
              <w:jc w:val="center"/>
              <w:ind w:right="740"/>
              <w:spacing w:after="0"/>
              <w:rPr>
                <w:sz w:val="20"/>
                <w:szCs w:val="20"/>
                <w:color w:val="auto"/>
              </w:rPr>
            </w:pPr>
            <w:r>
              <w:rPr>
                <w:rFonts w:ascii="Arial" w:cs="Arial" w:eastAsia="Arial" w:hAnsi="Arial"/>
                <w:sz w:val="17"/>
                <w:szCs w:val="17"/>
                <w:b w:val="1"/>
                <w:bCs w:val="1"/>
                <w:color w:val="auto"/>
                <w:w w:val="92"/>
              </w:rPr>
              <w:t>Year Ended December 31,</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7"/>
          </w:tcPr>
          <w:p>
            <w:pPr>
              <w:jc w:val="right"/>
              <w:ind w:right="15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Components of net postretirement benefit cost:</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00" w:type="dxa"/>
            <w:vAlign w:val="bottom"/>
            <w:gridSpan w:val="3"/>
          </w:tcPr>
          <w:p>
            <w:pPr>
              <w:ind w:left="1140"/>
              <w:spacing w:after="0"/>
              <w:rPr>
                <w:sz w:val="20"/>
                <w:szCs w:val="20"/>
                <w:color w:val="auto"/>
              </w:rPr>
            </w:pPr>
            <w:r>
              <w:rPr>
                <w:rFonts w:ascii="Arial" w:cs="Arial" w:eastAsia="Arial" w:hAnsi="Arial"/>
                <w:sz w:val="17"/>
                <w:szCs w:val="17"/>
                <w:color w:val="auto"/>
              </w:rPr>
              <w:t>Service cost</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cost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5"/>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00" w:type="dxa"/>
            <w:vAlign w:val="bottom"/>
            <w:gridSpan w:val="3"/>
          </w:tcPr>
          <w:p>
            <w:pPr>
              <w:ind w:left="1140"/>
              <w:spacing w:after="0"/>
              <w:rPr>
                <w:sz w:val="20"/>
                <w:szCs w:val="20"/>
                <w:color w:val="auto"/>
              </w:rPr>
            </w:pPr>
            <w:r>
              <w:rPr>
                <w:rFonts w:ascii="Arial" w:cs="Arial" w:eastAsia="Arial" w:hAnsi="Arial"/>
                <w:sz w:val="17"/>
                <w:szCs w:val="17"/>
                <w:color w:val="auto"/>
              </w:rPr>
              <w:t>Amortization of:</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16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Actuarial gain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6"/>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6300" w:type="dxa"/>
            <w:vAlign w:val="bottom"/>
            <w:gridSpan w:val="3"/>
          </w:tcPr>
          <w:p>
            <w:pPr>
              <w:ind w:left="1140"/>
              <w:spacing w:after="0"/>
              <w:rPr>
                <w:sz w:val="20"/>
                <w:szCs w:val="20"/>
                <w:color w:val="auto"/>
              </w:rPr>
            </w:pPr>
            <w:r>
              <w:rPr>
                <w:rFonts w:ascii="Arial" w:cs="Arial" w:eastAsia="Arial" w:hAnsi="Arial"/>
                <w:sz w:val="17"/>
                <w:szCs w:val="17"/>
                <w:color w:val="auto"/>
              </w:rPr>
              <w:t>Other postretirement benefit cost from continuing</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7"/>
                <w:szCs w:val="17"/>
                <w:color w:val="auto"/>
              </w:rPr>
              <w:t>operations</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680" w:type="dxa"/>
            <w:vAlign w:val="bottom"/>
            <w:gridSpan w:val="11"/>
          </w:tcPr>
          <w:p>
            <w:pPr>
              <w:spacing w:after="0"/>
              <w:rPr>
                <w:sz w:val="20"/>
                <w:szCs w:val="20"/>
                <w:color w:val="auto"/>
              </w:rPr>
            </w:pPr>
            <w:r>
              <w:rPr>
                <w:rFonts w:ascii="Arial" w:cs="Arial" w:eastAsia="Arial" w:hAnsi="Arial"/>
                <w:sz w:val="17"/>
                <w:szCs w:val="17"/>
                <w:color w:val="auto"/>
              </w:rPr>
              <w:t>The weighted-average assumptions used to determine the net benefit obligations were as follows: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12"/>
          </w:tcPr>
          <w:p>
            <w:pPr>
              <w:ind w:left="140"/>
              <w:spacing w:after="0"/>
              <w:rPr>
                <w:sz w:val="20"/>
                <w:szCs w:val="20"/>
                <w:color w:val="auto"/>
              </w:rPr>
            </w:pPr>
            <w:r>
              <w:rPr>
                <w:rFonts w:ascii="Arial" w:cs="Arial" w:eastAsia="Arial" w:hAnsi="Arial"/>
                <w:sz w:val="17"/>
                <w:szCs w:val="17"/>
                <w:b w:val="1"/>
                <w:bCs w:val="1"/>
                <w:color w:val="auto"/>
                <w:w w:val="91"/>
              </w:rPr>
              <w:t>As of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gridSpan w:val="5"/>
          </w:tcPr>
          <w:p>
            <w:pPr>
              <w:ind w:left="340"/>
              <w:spacing w:after="0"/>
              <w:rPr>
                <w:sz w:val="20"/>
                <w:szCs w:val="20"/>
                <w:color w:val="auto"/>
              </w:rPr>
            </w:pPr>
            <w:r>
              <w:rPr>
                <w:rFonts w:ascii="Arial" w:cs="Arial" w:eastAsia="Arial" w:hAnsi="Arial"/>
                <w:sz w:val="17"/>
                <w:szCs w:val="17"/>
                <w:b w:val="1"/>
                <w:bCs w:val="1"/>
                <w:color w:val="auto"/>
                <w:w w:val="89"/>
              </w:rPr>
              <w:t>2021</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w w:val="91"/>
              </w:rPr>
              <w:t>2.79%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5"/>
              </w:rPr>
              <w:t>2.21%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160" w:type="dxa"/>
            <w:vAlign w:val="bottom"/>
            <w:gridSpan w:val="2"/>
          </w:tcPr>
          <w:p>
            <w:pPr>
              <w:ind w:left="560"/>
              <w:spacing w:after="0"/>
              <w:rPr>
                <w:sz w:val="20"/>
                <w:szCs w:val="20"/>
                <w:color w:val="auto"/>
              </w:rPr>
            </w:pPr>
            <w:r>
              <w:rPr>
                <w:rFonts w:ascii="Arial" w:cs="Arial" w:eastAsia="Arial" w:hAnsi="Arial"/>
                <w:sz w:val="17"/>
                <w:szCs w:val="17"/>
                <w:color w:val="auto"/>
              </w:rPr>
              <w:t>Salary increase rate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7"/>
                <w:szCs w:val="17"/>
                <w:color w:val="auto"/>
                <w:w w:val="91"/>
              </w:rPr>
              <w:t>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w w:val="95"/>
              </w:rPr>
              <w:t>1.80%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7680" w:type="dxa"/>
            <w:vAlign w:val="bottom"/>
            <w:gridSpan w:val="11"/>
          </w:tcPr>
          <w:p>
            <w:pPr>
              <w:spacing w:after="0"/>
              <w:rPr>
                <w:sz w:val="20"/>
                <w:szCs w:val="20"/>
                <w:color w:val="auto"/>
              </w:rPr>
            </w:pPr>
            <w:r>
              <w:rPr>
                <w:rFonts w:ascii="Arial" w:cs="Arial" w:eastAsia="Arial" w:hAnsi="Arial"/>
                <w:sz w:val="17"/>
                <w:szCs w:val="17"/>
                <w:color w:val="auto"/>
                <w:w w:val="96"/>
              </w:rPr>
              <w:t>The weighted-average assumptions used to determine the net postretirement benefit cost were as follows: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21"/>
          </w:tcPr>
          <w:p>
            <w:pPr>
              <w:jc w:val="center"/>
              <w:ind w:right="980"/>
              <w:spacing w:after="0"/>
              <w:rPr>
                <w:sz w:val="20"/>
                <w:szCs w:val="20"/>
                <w:color w:val="auto"/>
              </w:rPr>
            </w:pPr>
            <w:r>
              <w:rPr>
                <w:rFonts w:ascii="Arial" w:cs="Arial" w:eastAsia="Arial" w:hAnsi="Arial"/>
                <w:sz w:val="17"/>
                <w:szCs w:val="17"/>
                <w:b w:val="1"/>
                <w:bCs w:val="1"/>
                <w:color w:val="auto"/>
                <w:w w:val="92"/>
              </w:rPr>
              <w:t>Year Ended December 31,</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46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2021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center"/>
              <w:ind w:left="153"/>
              <w:spacing w:after="0"/>
              <w:rPr>
                <w:sz w:val="20"/>
                <w:szCs w:val="20"/>
                <w:color w:val="auto"/>
              </w:rPr>
            </w:pPr>
            <w:r>
              <w:rPr>
                <w:rFonts w:ascii="Arial" w:cs="Arial" w:eastAsia="Arial" w:hAnsi="Arial"/>
                <w:sz w:val="17"/>
                <w:szCs w:val="17"/>
                <w:b w:val="1"/>
                <w:bCs w:val="1"/>
                <w:color w:val="auto"/>
                <w:w w:val="89"/>
              </w:rPr>
              <w:t>2020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7"/>
                <w:szCs w:val="17"/>
                <w:b w:val="1"/>
                <w:bCs w:val="1"/>
                <w:color w:val="auto"/>
                <w:w w:val="89"/>
              </w:rPr>
              <w:t>2019</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Effective rate for interest cost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5"/>
            <w:shd w:val="clear" w:color="auto" w:fill="CFF0FC"/>
          </w:tcPr>
          <w:p>
            <w:pPr>
              <w:jc w:val="right"/>
              <w:ind w:right="140"/>
              <w:spacing w:after="0"/>
              <w:rPr>
                <w:sz w:val="20"/>
                <w:szCs w:val="20"/>
                <w:color w:val="auto"/>
              </w:rPr>
            </w:pPr>
            <w:r>
              <w:rPr>
                <w:rFonts w:ascii="Arial" w:cs="Arial" w:eastAsia="Arial" w:hAnsi="Arial"/>
                <w:sz w:val="17"/>
                <w:szCs w:val="17"/>
                <w:color w:val="auto"/>
                <w:w w:val="95"/>
              </w:rPr>
              <w:t>2.67%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6"/>
            <w:shd w:val="clear" w:color="auto" w:fill="CFF0FC"/>
          </w:tcPr>
          <w:p>
            <w:pPr>
              <w:jc w:val="right"/>
              <w:ind w:right="2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21"/>
        </w:trPr>
        <w:tc>
          <w:tcPr>
            <w:tcW w:w="6300" w:type="dxa"/>
            <w:vAlign w:val="bottom"/>
            <w:gridSpan w:val="3"/>
          </w:tcPr>
          <w:p>
            <w:pPr>
              <w:ind w:left="1140"/>
              <w:spacing w:after="0"/>
              <w:rPr>
                <w:sz w:val="20"/>
                <w:szCs w:val="20"/>
                <w:color w:val="auto"/>
              </w:rPr>
            </w:pPr>
            <w:r>
              <w:rPr>
                <w:rFonts w:ascii="Arial" w:cs="Arial" w:eastAsia="Arial" w:hAnsi="Arial"/>
                <w:sz w:val="17"/>
                <w:szCs w:val="17"/>
                <w:color w:val="auto"/>
              </w:rPr>
              <w:t>Salary increase rate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ind w:right="140"/>
              <w:spacing w:after="0"/>
              <w:rPr>
                <w:sz w:val="20"/>
                <w:szCs w:val="20"/>
                <w:color w:val="auto"/>
              </w:rPr>
            </w:pPr>
            <w:r>
              <w:rPr>
                <w:rFonts w:ascii="Arial" w:cs="Arial" w:eastAsia="Arial" w:hAnsi="Arial"/>
                <w:sz w:val="17"/>
                <w:szCs w:val="17"/>
                <w:color w:val="auto"/>
                <w:w w:val="95"/>
              </w:rPr>
              <w:t>1.80%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assumed healthcare cost trend rates used to compute the other postretirement amounts were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60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14"/>
        </w:trPr>
        <w:tc>
          <w:tcPr>
            <w:tcW w:w="6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Healthcare cost trend</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5.33%</w:t>
            </w:r>
          </w:p>
        </w:tc>
      </w:tr>
      <w:tr>
        <w:trPr>
          <w:trHeight w:val="209"/>
        </w:trPr>
        <w:tc>
          <w:tcPr>
            <w:tcW w:w="6860" w:type="dxa"/>
            <w:vAlign w:val="bottom"/>
            <w:gridSpan w:val="2"/>
          </w:tcPr>
          <w:p>
            <w:pPr>
              <w:spacing w:after="0"/>
              <w:rPr>
                <w:sz w:val="20"/>
                <w:szCs w:val="20"/>
                <w:color w:val="auto"/>
              </w:rPr>
            </w:pPr>
            <w:r>
              <w:rPr>
                <w:rFonts w:ascii="Arial" w:cs="Arial" w:eastAsia="Arial" w:hAnsi="Arial"/>
                <w:sz w:val="17"/>
                <w:szCs w:val="17"/>
                <w:color w:val="auto"/>
              </w:rPr>
              <w:t>Rate to which the cost trend rate is assumed to decline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6860" w:type="dxa"/>
            <w:vAlign w:val="bottom"/>
            <w:gridSpan w:val="2"/>
          </w:tcPr>
          <w:p>
            <w:pPr>
              <w:ind w:left="120"/>
              <w:spacing w:after="0"/>
              <w:rPr>
                <w:sz w:val="20"/>
                <w:szCs w:val="20"/>
                <w:color w:val="auto"/>
              </w:rPr>
            </w:pPr>
            <w:r>
              <w:rPr>
                <w:rFonts w:ascii="Arial" w:cs="Arial" w:eastAsia="Arial" w:hAnsi="Arial"/>
                <w:sz w:val="17"/>
                <w:szCs w:val="17"/>
                <w:color w:val="auto"/>
              </w:rPr>
              <w:t>(the ultimate trend rate)</w:t>
            </w:r>
          </w:p>
        </w:tc>
        <w:tc>
          <w:tcPr>
            <w:tcW w:w="580" w:type="dxa"/>
            <w:vAlign w:val="bottom"/>
          </w:tcPr>
          <w:p>
            <w:pPr>
              <w:jc w:val="right"/>
              <w:spacing w:after="0"/>
              <w:rPr>
                <w:sz w:val="20"/>
                <w:szCs w:val="20"/>
                <w:color w:val="auto"/>
              </w:rPr>
            </w:pPr>
            <w:r>
              <w:rPr>
                <w:rFonts w:ascii="Arial" w:cs="Arial" w:eastAsia="Arial" w:hAnsi="Arial"/>
                <w:sz w:val="17"/>
                <w:szCs w:val="17"/>
                <w:color w:val="auto"/>
              </w:rPr>
              <w:t>3.38%</w:t>
            </w: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3.14%</w:t>
            </w:r>
          </w:p>
        </w:tc>
      </w:tr>
      <w:tr>
        <w:trPr>
          <w:trHeight w:val="221"/>
        </w:trPr>
        <w:tc>
          <w:tcPr>
            <w:tcW w:w="6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Year that the rate reaches the ultimate trend rate</w:t>
            </w: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2040</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2039</w:t>
            </w:r>
          </w:p>
        </w:tc>
        <w:tc>
          <w:tcPr>
            <w:tcW w:w="18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other postretirement benefits, which reflect expected future service, are expected to be paid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354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2023</w:t>
            </w:r>
          </w:p>
        </w:tc>
        <w:tc>
          <w:tcPr>
            <w:tcW w:w="35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c>
          <w:tcPr>
            <w:tcW w:w="280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2025</w:t>
            </w:r>
          </w:p>
        </w:tc>
        <w:tc>
          <w:tcPr>
            <w:tcW w:w="35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c>
          <w:tcPr>
            <w:tcW w:w="280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7"/>
                <w:szCs w:val="17"/>
                <w:color w:val="auto"/>
              </w:rPr>
              <w:t>2026</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2027-2031</w:t>
            </w:r>
          </w:p>
        </w:tc>
        <w:tc>
          <w:tcPr>
            <w:tcW w:w="35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15</w:t>
            </w:r>
          </w:p>
        </w:tc>
        <w:tc>
          <w:tcPr>
            <w:tcW w:w="2800" w:type="dxa"/>
            <w:vAlign w:val="bottom"/>
          </w:tcPr>
          <w:p>
            <w:pPr>
              <w:spacing w:after="0"/>
              <w:rPr>
                <w:sz w:val="19"/>
                <w:szCs w:val="19"/>
                <w:color w:val="auto"/>
              </w:rPr>
            </w:pPr>
          </w:p>
        </w:tc>
      </w:tr>
      <w:tr>
        <w:trPr>
          <w:trHeight w:val="886"/>
        </w:trPr>
        <w:tc>
          <w:tcPr>
            <w:tcW w:w="2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40" w:type="dxa"/>
            <w:vAlign w:val="bottom"/>
          </w:tcPr>
          <w:p>
            <w:pPr>
              <w:jc w:val="right"/>
              <w:ind w:right="2233"/>
              <w:spacing w:after="0"/>
              <w:rPr>
                <w:sz w:val="20"/>
                <w:szCs w:val="20"/>
                <w:color w:val="auto"/>
              </w:rPr>
            </w:pPr>
            <w:r>
              <w:rPr>
                <w:rFonts w:ascii="Arial" w:cs="Arial" w:eastAsia="Arial" w:hAnsi="Arial"/>
                <w:sz w:val="17"/>
                <w:szCs w:val="17"/>
                <w:color w:val="auto"/>
              </w:rPr>
              <w:t>119</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0"/>
        </w:trPr>
        <w:tc>
          <w:tcPr>
            <w:tcW w:w="28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color w:val="auto"/>
        </w:rPr>
        <w:t>NOTE 21: EARNINGS PER SHARE</w:t>
      </w:r>
    </w:p>
    <w:p>
      <w:pPr>
        <w:spacing w:after="0" w:line="25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1"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A reconciliation of the amounts used to calculate basic and diluted earnings per share for the years ended December 31, 2021, 2020 and 2019 follows (in millions):</w:t>
      </w:r>
    </w:p>
    <w:p>
      <w:pPr>
        <w:spacing w:after="0" w:line="192" w:lineRule="exact"/>
        <w:rPr>
          <w:sz w:val="20"/>
          <w:szCs w:val="20"/>
          <w:color w:val="auto"/>
        </w:rPr>
      </w:pPr>
    </w:p>
    <w:p>
      <w:pPr>
        <w:ind w:left="750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02"/>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Income (loss) from continuing operations attributable to</w:t>
            </w:r>
          </w:p>
        </w:tc>
        <w:tc>
          <w:tcPr>
            <w:tcW w:w="7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1"/>
        </w:trPr>
        <w:tc>
          <w:tcPr>
            <w:tcW w:w="50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Eastman Kodak Company</w:t>
            </w:r>
          </w:p>
        </w:tc>
        <w:tc>
          <w:tcPr>
            <w:tcW w:w="920" w:type="dxa"/>
            <w:vAlign w:val="bottom"/>
            <w:gridSpan w:val="2"/>
            <w:shd w:val="clear" w:color="auto" w:fill="CFF0FC"/>
          </w:tcPr>
          <w:p>
            <w:pPr>
              <w:jc w:val="right"/>
              <w:ind w:right="2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(544)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(91)</w:t>
            </w: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Less: Preferred Stock cash and accrued dividends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Less: Preferred Stock in-kind dividends</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Less: Preferred Stock deemed dividends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Plus: Expiration of Series A embedded derivative</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Less: Earnings attributable to Series C Preferred shareholders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Income (loss) from continuing operations available to</w:t>
            </w:r>
          </w:p>
        </w:tc>
        <w:tc>
          <w:tcPr>
            <w:tcW w:w="7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1"/>
        </w:trPr>
        <w:tc>
          <w:tcPr>
            <w:tcW w:w="50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common shareholders - basic and diluted</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(564)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(111)</w:t>
            </w: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214"/>
        </w:trPr>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 attributable to Eastman Kodak Company</w:t>
            </w:r>
          </w:p>
        </w:tc>
        <w:tc>
          <w:tcPr>
            <w:tcW w:w="920" w:type="dxa"/>
            <w:vAlign w:val="bottom"/>
            <w:gridSpan w:val="2"/>
            <w:shd w:val="clear" w:color="auto" w:fill="CFF0FC"/>
          </w:tcPr>
          <w:p>
            <w:pPr>
              <w:jc w:val="right"/>
              <w:ind w:right="2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(541)</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FF0FC"/>
          </w:tcPr>
          <w:p>
            <w:pPr>
              <w:spacing w:after="0"/>
              <w:rPr>
                <w:sz w:val="19"/>
                <w:szCs w:val="19"/>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Less: Preferred Stock cash and accrued dividends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Less: Preferred Stock in-kind dividends</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Less: Preferred Stock deemed dividends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Plus: Expiration of Series A embedded derivative</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Less: Earnings attributable to Series C Preferred shareholders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 available to common shareholders - basic</w:t>
            </w:r>
          </w:p>
        </w:tc>
        <w:tc>
          <w:tcPr>
            <w:tcW w:w="7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1"/>
        </w:trPr>
        <w:tc>
          <w:tcPr>
            <w:tcW w:w="50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diluted</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(561)</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214"/>
        </w:trPr>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common shares outstanding - basic</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78.4</w:t>
            </w:r>
          </w:p>
        </w:tc>
        <w:tc>
          <w:tcPr>
            <w:tcW w:w="8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57.4</w:t>
            </w:r>
          </w:p>
        </w:tc>
        <w:tc>
          <w:tcPr>
            <w:tcW w:w="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w:t>
            </w:r>
          </w:p>
        </w:tc>
        <w:tc>
          <w:tcPr>
            <w:tcW w:w="80" w:type="dxa"/>
            <w:vAlign w:val="bottom"/>
            <w:shd w:val="clear" w:color="auto" w:fill="CFF0FC"/>
          </w:tcPr>
          <w:p>
            <w:pPr>
              <w:spacing w:after="0"/>
              <w:rPr>
                <w:sz w:val="19"/>
                <w:szCs w:val="19"/>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Unvested restricted stock units</w:t>
            </w:r>
          </w:p>
        </w:tc>
        <w:tc>
          <w:tcPr>
            <w:tcW w:w="7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F"/>
          </w:tcPr>
          <w:p>
            <w:pPr>
              <w:spacing w:after="0"/>
              <w:rPr>
                <w:sz w:val="19"/>
                <w:szCs w:val="19"/>
                <w:color w:val="auto"/>
              </w:rPr>
            </w:pPr>
          </w:p>
        </w:tc>
        <w:tc>
          <w:tcPr>
            <w:tcW w:w="760" w:type="dxa"/>
            <w:vAlign w:val="bottom"/>
            <w:gridSpan w:val="2"/>
            <w:shd w:val="clear" w:color="auto" w:fill="CFF0FF"/>
          </w:tcPr>
          <w:p>
            <w:pPr>
              <w:jc w:val="right"/>
              <w:ind w:right="2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FF0FF"/>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F"/>
          </w:tcPr>
          <w:p>
            <w:pPr>
              <w:spacing w:after="0"/>
              <w:rPr>
                <w:sz w:val="19"/>
                <w:szCs w:val="19"/>
                <w:color w:val="auto"/>
              </w:rPr>
            </w:pPr>
          </w:p>
        </w:tc>
        <w:tc>
          <w:tcPr>
            <w:tcW w:w="840" w:type="dxa"/>
            <w:vAlign w:val="bottom"/>
            <w:gridSpan w:val="3"/>
            <w:shd w:val="clear" w:color="auto" w:fill="CFF0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F"/>
          </w:tcPr>
          <w:p>
            <w:pPr>
              <w:spacing w:after="0"/>
              <w:rPr>
                <w:sz w:val="19"/>
                <w:szCs w:val="19"/>
                <w:color w:val="auto"/>
              </w:rPr>
            </w:pPr>
          </w:p>
        </w:tc>
        <w:tc>
          <w:tcPr>
            <w:tcW w:w="820" w:type="dxa"/>
            <w:vAlign w:val="bottom"/>
            <w:gridSpan w:val="2"/>
            <w:shd w:val="clear" w:color="auto" w:fill="CFF0FF"/>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Stock options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Weighted-average common shares outstanding - diluted</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80.5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57.4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The computation of diluted earnings per share for the year ended December 31, 2021 excluded the impact of (1) the assumed conversion of $25 million of 2021 Convertible Notes, (2) the assumed conversion of 1.0 million shares of Series B Preferred Stock, (3) the assumed conversion of 1.0 million shares of Series C Preferred Stock, (4) the assumed exercise of 2.9 million outstanding employee stock options because they would have been anti-dilutive.</w:t>
      </w:r>
    </w:p>
    <w:p>
      <w:pPr>
        <w:spacing w:after="0" w:line="18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As a result of the loss from continuing operations available to common shareholders for the years ended December 31, 2020 and 2019, Kodak calculated diluted earnings per share using weighted-average basic shares outstanding. If Kodak reported earnings from continuing operations available to common shareholders for the years ended December 31, 2020 and 2019, the calculation of diluted earnings per share would have included the assumed conversion of 0.6 million unvested restricted stock units for both periods and 0.7 million stock options for the year ended December 31, 2020.</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computation of diluted earnings per share for the years ended December 31, 2020 and 2019 excluded the impact of (1) the assumed conversion of 2.0 million shares of Series A Preferred Stock, and (2) the assumed conversion of 4.0 million and 6.8 million outstanding employee stock options, respectively, because they would have been anti-dilutive. The computation of diluted earnings per share for the year ended December 31, 2019 also excluded the assumed conversion of $100 million of 2019 Convertible Notes because the effects would have been anti-dilutive.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NOTE 22: STOCK-BASED COMPENSATION</w:t>
      </w:r>
    </w:p>
    <w:p>
      <w:pPr>
        <w:spacing w:after="0" w:line="253"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Kodak’s stock incentive plan is the 2013 Omnibus Incentive Plan (the “2013 Plan”). The 2013 Plan is administered by the Compensation, Nominating and Governance Committee of the Board of Directors.</w:t>
      </w:r>
    </w:p>
    <w:p>
      <w:pPr>
        <w:spacing w:after="0" w:line="185"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Compensation, Nominating and Governance Committee. Awards are subject to settlement in newly-issued shares of common stock. Unless sooner terminated by the Compensation, Nominating and Governance Committee, no awards may be granted under the 2013 Plan after May 20, 2030.</w:t>
      </w:r>
    </w:p>
    <w:p>
      <w:pPr>
        <w:spacing w:after="0" w:line="47" w:lineRule="exact"/>
        <w:rPr>
          <w:sz w:val="20"/>
          <w:szCs w:val="20"/>
          <w:color w:val="auto"/>
        </w:rPr>
      </w:pPr>
    </w:p>
    <w:p>
      <w:pPr>
        <w:jc w:val="both"/>
        <w:ind w:right="200"/>
        <w:spacing w:after="0" w:line="295" w:lineRule="auto"/>
        <w:rPr>
          <w:sz w:val="20"/>
          <w:szCs w:val="20"/>
          <w:color w:val="auto"/>
        </w:rPr>
      </w:pPr>
      <w:r>
        <w:rPr>
          <w:rFonts w:ascii="Arial" w:cs="Arial" w:eastAsia="Arial" w:hAnsi="Arial"/>
          <w:sz w:val="15"/>
          <w:szCs w:val="15"/>
          <w:color w:val="auto"/>
        </w:rPr>
        <w:t>The maximum number of shares of common stock available for grant under the 2013 Plan is 13.0 million. For stock option grants awarded on or prior to May 19, 2021, for the number of shares available for grant under the 2013 Plan, a stock option counted as a fraction of a share, based on the fair market value of the stock option relative to the closing stock price on the date of grant. For stock option awards granted after May 19, 2021, a stock option counts as one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share. Each restricted stock unit and restricted stock award counts as one share. The total number of shares of common stock registered for issuance under the 2013 Plan is approximately 13.5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w:t>
      </w:r>
    </w:p>
    <w:p>
      <w:pPr>
        <w:spacing w:after="0" w:line="7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5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and Restricted Stock awards</w:t>
      </w:r>
    </w:p>
    <w:p>
      <w:pPr>
        <w:spacing w:after="0" w:line="2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Restricted stock units and restricted stock awards are payable in shares of the Company common stock upon vesting. The fair value is based on the closing market price of the Company’s stock on the grant date. Compensation cost related to restricted stock units and restricted stock awards was $5 million, $1 million and $2 million for the years ended December 31, 2021, 2020 and 2019, respectively.</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weighted average grant date fair value of restricted stock units and awards granted for the years ended December 31, 2021, 2020 and 2019 was $8.50, $2.91 and $2.93, respectively. The total fair value of restricted stock units and awards that vested was $6 million for the year ended December 31, 2021 and $2 million for both the years ended December 31, 2020 and 2019. As of December 31, 2021, there was $4 million of unrecognized compensation cost related to restricted stock units. The cost is expected to be recognized over a weighted average period of 1.6 years.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restricted stock unit and award activity for the year ended December 31,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4"/>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Weighted-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1"/>
              </w:rPr>
              <w:t>Restricted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6"/>
              </w:rPr>
              <w:t>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Grant Date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20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Units/Awards</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2"/>
              </w:rPr>
              <w:t>Fair Values</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2020</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380,960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120" w:type="dxa"/>
            <w:vAlign w:val="bottom"/>
          </w:tcPr>
          <w:p>
            <w:pPr>
              <w:ind w:left="220"/>
              <w:spacing w:after="0"/>
              <w:rPr>
                <w:sz w:val="20"/>
                <w:szCs w:val="20"/>
                <w:color w:val="auto"/>
              </w:rPr>
            </w:pPr>
            <w:r>
              <w:rPr>
                <w:rFonts w:ascii="Arial" w:cs="Arial" w:eastAsia="Arial" w:hAnsi="Arial"/>
                <w:sz w:val="17"/>
                <w:szCs w:val="17"/>
                <w:color w:val="auto"/>
              </w:rPr>
              <w:t>Granted</w:t>
            </w:r>
          </w:p>
        </w:tc>
        <w:tc>
          <w:tcPr>
            <w:tcW w:w="3240" w:type="dxa"/>
            <w:vAlign w:val="bottom"/>
            <w:gridSpan w:val="2"/>
          </w:tcPr>
          <w:p>
            <w:pPr>
              <w:jc w:val="right"/>
              <w:spacing w:after="0"/>
              <w:rPr>
                <w:sz w:val="20"/>
                <w:szCs w:val="20"/>
                <w:color w:val="auto"/>
              </w:rPr>
            </w:pPr>
            <w:r>
              <w:rPr>
                <w:rFonts w:ascii="Arial" w:cs="Arial" w:eastAsia="Arial" w:hAnsi="Arial"/>
                <w:sz w:val="17"/>
                <w:szCs w:val="17"/>
                <w:color w:val="auto"/>
              </w:rPr>
              <w:t>1,112,741</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8.50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Vested</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616,549</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1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Forfeited</w:t>
            </w:r>
          </w:p>
        </w:tc>
        <w:tc>
          <w:tcPr>
            <w:tcW w:w="20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4,275</w:t>
            </w:r>
          </w:p>
        </w:tc>
        <w:tc>
          <w:tcPr>
            <w:tcW w:w="3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3.90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2021</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872,877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ind w:right="1033"/>
              <w:spacing w:after="0"/>
              <w:rPr>
                <w:sz w:val="20"/>
                <w:szCs w:val="20"/>
                <w:color w:val="auto"/>
              </w:rPr>
            </w:pPr>
            <w:r>
              <w:rPr>
                <w:rFonts w:ascii="Arial" w:cs="Arial" w:eastAsia="Arial" w:hAnsi="Arial"/>
                <w:sz w:val="17"/>
                <w:szCs w:val="17"/>
                <w:color w:val="auto"/>
              </w:rPr>
              <w:t>121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2021:</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Weighted</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1"/>
              </w:rPr>
              <w:t>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Average</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12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Aggregate</w:t>
            </w:r>
          </w:p>
        </w:tc>
      </w:tr>
      <w:tr>
        <w:trPr>
          <w:trHeight w:val="208"/>
        </w:trPr>
        <w:tc>
          <w:tcPr>
            <w:tcW w:w="4900" w:type="dxa"/>
            <w:vAlign w:val="bottom"/>
          </w:tcPr>
          <w:p>
            <w:pPr>
              <w:spacing w:after="0"/>
              <w:rPr>
                <w:sz w:val="18"/>
                <w:szCs w:val="18"/>
                <w:color w:val="auto"/>
              </w:rPr>
            </w:pPr>
          </w:p>
        </w:tc>
        <w:tc>
          <w:tcPr>
            <w:tcW w:w="1200" w:type="dxa"/>
            <w:vAlign w:val="bottom"/>
          </w:tcPr>
          <w:p>
            <w:pPr>
              <w:ind w:left="340"/>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Exercise</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6"/>
              </w:rPr>
              <w:t>Intrinsic</w:t>
            </w:r>
          </w:p>
        </w:tc>
      </w:tr>
      <w:tr>
        <w:trPr>
          <w:trHeight w:val="208"/>
        </w:trPr>
        <w:tc>
          <w:tcPr>
            <w:tcW w:w="490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7"/>
                <w:szCs w:val="17"/>
                <w:b w:val="1"/>
                <w:bCs w:val="1"/>
                <w:color w:val="auto"/>
              </w:rPr>
              <w:t>Under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Price</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5"/>
              </w:rPr>
              <w:t>Contractual Life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Value</w:t>
            </w:r>
          </w:p>
        </w:tc>
      </w:tr>
      <w:tr>
        <w:trPr>
          <w:trHeight w:val="227"/>
        </w:trPr>
        <w:tc>
          <w:tcPr>
            <w:tcW w:w="4900" w:type="dxa"/>
            <w:vAlign w:val="bottom"/>
          </w:tcPr>
          <w:p>
            <w:pPr>
              <w:spacing w:after="0"/>
              <w:rPr>
                <w:sz w:val="19"/>
                <w:szCs w:val="19"/>
                <w:color w:val="auto"/>
              </w:rPr>
            </w:pPr>
          </w:p>
        </w:tc>
        <w:tc>
          <w:tcPr>
            <w:tcW w:w="1200" w:type="dxa"/>
            <w:vAlign w:val="bottom"/>
          </w:tcPr>
          <w:p>
            <w:pPr>
              <w:ind w:left="340"/>
              <w:spacing w:after="0"/>
              <w:rPr>
                <w:sz w:val="20"/>
                <w:szCs w:val="20"/>
                <w:color w:val="auto"/>
              </w:rPr>
            </w:pPr>
            <w:r>
              <w:rPr>
                <w:rFonts w:ascii="Arial" w:cs="Arial" w:eastAsia="Arial" w:hAnsi="Arial"/>
                <w:sz w:val="17"/>
                <w:szCs w:val="17"/>
                <w:b w:val="1"/>
                <w:bCs w:val="1"/>
                <w:color w:val="auto"/>
              </w:rPr>
              <w:t>Option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Per Share</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(Years)</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tcPr>
          <w:p>
            <w:pPr>
              <w:ind w:left="20"/>
              <w:spacing w:after="0"/>
              <w:rPr>
                <w:sz w:val="20"/>
                <w:szCs w:val="20"/>
                <w:color w:val="auto"/>
              </w:rPr>
            </w:pPr>
            <w:r>
              <w:rPr>
                <w:rFonts w:ascii="Arial" w:cs="Arial" w:eastAsia="Arial" w:hAnsi="Arial"/>
                <w:sz w:val="17"/>
                <w:szCs w:val="17"/>
                <w:b w:val="1"/>
                <w:bCs w:val="1"/>
                <w:color w:val="auto"/>
              </w:rPr>
              <w:t>millions)</w:t>
            </w:r>
          </w:p>
        </w:tc>
      </w:tr>
      <w:tr>
        <w:trPr>
          <w:trHeight w:val="214"/>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on December 31, 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7,724,426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8.10</w:t>
            </w:r>
          </w:p>
        </w:tc>
        <w:tc>
          <w:tcPr>
            <w:tcW w:w="100" w:type="dxa"/>
            <w:vAlign w:val="bottom"/>
            <w:tcBorders>
              <w:top w:val="single" w:sz="8" w:color="CFF0FF"/>
            </w:tcBorders>
            <w:shd w:val="clear" w:color="auto" w:fill="CFF0FF"/>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4900" w:type="dxa"/>
            <w:vAlign w:val="bottom"/>
          </w:tcPr>
          <w:p>
            <w:pPr>
              <w:ind w:left="220"/>
              <w:spacing w:after="0"/>
              <w:rPr>
                <w:sz w:val="20"/>
                <w:szCs w:val="20"/>
                <w:color w:val="auto"/>
              </w:rPr>
            </w:pPr>
            <w:r>
              <w:rPr>
                <w:rFonts w:ascii="Arial" w:cs="Arial" w:eastAsia="Arial" w:hAnsi="Arial"/>
                <w:sz w:val="17"/>
                <w:szCs w:val="17"/>
                <w:color w:val="auto"/>
              </w:rPr>
              <w:t>Expired</w:t>
            </w:r>
          </w:p>
        </w:tc>
        <w:tc>
          <w:tcPr>
            <w:tcW w:w="1200" w:type="dxa"/>
            <w:vAlign w:val="bottom"/>
          </w:tcPr>
          <w:p>
            <w:pPr>
              <w:jc w:val="right"/>
              <w:spacing w:after="0"/>
              <w:rPr>
                <w:sz w:val="20"/>
                <w:szCs w:val="20"/>
                <w:color w:val="auto"/>
              </w:rPr>
            </w:pPr>
            <w:r>
              <w:rPr>
                <w:rFonts w:ascii="Arial" w:cs="Arial" w:eastAsia="Arial" w:hAnsi="Arial"/>
                <w:sz w:val="17"/>
                <w:szCs w:val="17"/>
                <w:color w:val="auto"/>
              </w:rPr>
              <w:t>438,538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4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Exercised</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44,581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9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6,858</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4"/>
        </w:trPr>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7,234,449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center"/>
              <w:ind w:left="33"/>
              <w:spacing w:after="0"/>
              <w:rPr>
                <w:sz w:val="20"/>
                <w:szCs w:val="20"/>
                <w:color w:val="auto"/>
              </w:rPr>
            </w:pPr>
            <w:r>
              <w:rPr>
                <w:rFonts w:ascii="Arial" w:cs="Arial" w:eastAsia="Arial" w:hAnsi="Arial"/>
                <w:sz w:val="17"/>
                <w:szCs w:val="17"/>
                <w:color w:val="auto"/>
                <w:w w:val="90"/>
              </w:rPr>
              <w:t>3.59</w:t>
            </w:r>
          </w:p>
        </w:tc>
        <w:tc>
          <w:tcPr>
            <w:tcW w:w="36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7"/>
                <w:szCs w:val="17"/>
                <w:color w:val="auto"/>
              </w:rPr>
              <w:t>Exercisable on December 31, 2021</w:t>
            </w:r>
          </w:p>
        </w:tc>
        <w:tc>
          <w:tcPr>
            <w:tcW w:w="1200" w:type="dxa"/>
            <w:vAlign w:val="bottom"/>
          </w:tcPr>
          <w:p>
            <w:pPr>
              <w:jc w:val="right"/>
              <w:spacing w:after="0"/>
              <w:rPr>
                <w:sz w:val="20"/>
                <w:szCs w:val="20"/>
                <w:color w:val="auto"/>
              </w:rPr>
            </w:pPr>
            <w:r>
              <w:rPr>
                <w:rFonts w:ascii="Arial" w:cs="Arial" w:eastAsia="Arial" w:hAnsi="Arial"/>
                <w:sz w:val="17"/>
                <w:szCs w:val="17"/>
                <w:color w:val="auto"/>
              </w:rPr>
              <w:t>6,861,191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9"/>
                <w:szCs w:val="19"/>
                <w:color w:val="auto"/>
              </w:rPr>
            </w:pPr>
          </w:p>
        </w:tc>
        <w:tc>
          <w:tcPr>
            <w:tcW w:w="1460" w:type="dxa"/>
            <w:vAlign w:val="bottom"/>
            <w:gridSpan w:val="2"/>
          </w:tcPr>
          <w:p>
            <w:pPr>
              <w:jc w:val="center"/>
              <w:ind w:left="33"/>
              <w:spacing w:after="0"/>
              <w:rPr>
                <w:sz w:val="20"/>
                <w:szCs w:val="20"/>
                <w:color w:val="auto"/>
              </w:rPr>
            </w:pPr>
            <w:r>
              <w:rPr>
                <w:rFonts w:ascii="Arial" w:cs="Arial" w:eastAsia="Arial" w:hAnsi="Arial"/>
                <w:sz w:val="17"/>
                <w:szCs w:val="17"/>
                <w:color w:val="auto"/>
                <w:w w:val="90"/>
              </w:rPr>
              <w:t>3.56</w:t>
            </w:r>
          </w:p>
        </w:tc>
        <w:tc>
          <w:tcPr>
            <w:tcW w:w="3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Expected to vest December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373,258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left="33"/>
              <w:spacing w:after="0"/>
              <w:rPr>
                <w:sz w:val="20"/>
                <w:szCs w:val="20"/>
                <w:color w:val="auto"/>
              </w:rPr>
            </w:pPr>
            <w:r>
              <w:rPr>
                <w:rFonts w:ascii="Arial" w:cs="Arial" w:eastAsia="Arial" w:hAnsi="Arial"/>
                <w:sz w:val="17"/>
                <w:szCs w:val="17"/>
                <w:color w:val="auto"/>
                <w:w w:val="90"/>
              </w:rPr>
              <w:t>4.13</w:t>
            </w:r>
          </w:p>
        </w:tc>
        <w:tc>
          <w:tcPr>
            <w:tcW w:w="36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22"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February 26, 2021 James V. Continenza, Executive Chairman and Chief Executive Officer of Kodak, and the Company entered into an Executive Chairman and CEO Agreement (the “New Employment Agreement”). The New Employment Agreement is effective for a three-year period beginning on February 26, 2021. Pursuant to the New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are a modification of the original awards.</w:t>
      </w:r>
    </w:p>
    <w:p>
      <w:pPr>
        <w:spacing w:after="0" w:line="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As the February 2019 and July 2020 stock options were fully vested prior to the modification date and there was no incremental value provided in the modification, no additional compensation expense was recognized. Also pursuant to the New Employment Agreement, Mr. Continenza was granted 200,000 fully vested restricted stock units. The Company recognized $2 million of stock-based compensation expense associated with the grant of restricted stock units.</w:t>
      </w:r>
    </w:p>
    <w:p>
      <w:pPr>
        <w:spacing w:after="0" w:line="17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issued stock-based compensation grants for 2.4 million stock options on July 27, 2020. The terms of 1.8 million of the options awarded on July 27, 2020 provided for immediate vesting or vesting upon conversion of the 2019 Convertible Notes. As 100% of the 2019 Convertible Notes were converted during the three months ended September 30, 2020, the 1.8 million options with accelerated vesting terms vested in that same period. The remaining 0.6 million options provide for vesting terms of between two and three years.</w:t>
      </w:r>
    </w:p>
    <w:p>
      <w:pPr>
        <w:spacing w:after="0" w:line="20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valuation of the stock options granted on July 27, 2020 resulted in approximately $12.6 million of compensation expense being reported in Selling, general and administrative expenses in the Consolidated Statement of Operations in the year ended December 31, 2021.</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were less than 1 million options exercised in the year ended December 31, 2021, approximately 2.0 million options exercised in the year ended December 31, 2020 and no options exercised in the year ended December 31, 2019. The options exercised in 2020 included 0.3 million options exercised by ex-employees of Kodak that had previously been forfeited. The Company issued shares to the ex-employees in exchange for proceeds based on the exercise prices of the forfeited options. The Company is accounting for the exercise of the forfeited options as a modification of the original awards.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recovered $3.6 million during the three months ended December 31, 2020 from certain of the ex-employees and received a $2.0 million refund of withholding taxes on behalf of those ex-employees in the year ended December 31, 2021.</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122" w:name="page123"/>
    <w:bookmarkEnd w:id="122"/>
    <w:p>
      <w:pPr>
        <w:ind w:right="680"/>
        <w:spacing w:after="0" w:line="298" w:lineRule="auto"/>
        <w:rPr>
          <w:sz w:val="20"/>
          <w:szCs w:val="20"/>
          <w:color w:val="auto"/>
        </w:rPr>
      </w:pPr>
      <w:r>
        <w:rPr>
          <w:rFonts w:ascii="Arial" w:cs="Arial" w:eastAsia="Arial" w:hAnsi="Arial"/>
          <w:sz w:val="15"/>
          <w:szCs w:val="15"/>
          <w:color w:val="auto"/>
        </w:rPr>
        <w:t>The Company recognized compensation expense of approximately $5.1 million in the three months ended September 30, 2020 related to the 0.3 million previously forfeited options, representing the fair value of the shares issued to the ex-employees less the exercise proceeds received from the ex-</w:t>
      </w:r>
    </w:p>
    <w:p>
      <w:pPr>
        <w:spacing w:after="0" w:line="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employees. Stock compensation expense, reported in Selling, general and administrative expenses in the Consolidated Statement of Operations, was reduced by $4.6 million in the three months ended December 31, 2020, representing the cash received for certain of the erroneous grants and the refund of withholding taxes due on behalf of the ex-employees. Income recognized in excess of the original stock compensation expense recorded for each individual grant (approximately $1.0 million) was recognized in Other operating (income) expense, net in the Consolidated Statement of Operations.</w:t>
      </w:r>
    </w:p>
    <w:p>
      <w:pPr>
        <w:spacing w:after="0" w:line="19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weighted average grant date fair value of options granted for the years ended December 31, 2020 and 2019 was $5.86 and $1.73, respectively. There were no options granted in the year ended December 31, 2021. The total fair value of options that vested during the years ended December 31, 2021, 2020 and 2019 was $2 million, $13 million and $7 million, respectively. Compensation cost related to stock options for the years ended December 31, 2021, 2020 and 2019 was $2 million, $14 million and $5 million, respectively.</w:t>
      </w:r>
    </w:p>
    <w:p>
      <w:pPr>
        <w:spacing w:after="0" w:line="7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 of December 31, 2021, there was $1.0 million of unrecognized compensation cost related to stock options. The cost is expected to be recognized over a weighted average period of 1.2 years.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Other than for the awards granted on July 27, 2020, Kodak utilizes the Black-Scholes option valuation model to estimate the fair value of stock options.</w:t>
      </w:r>
    </w:p>
    <w:p>
      <w:pPr>
        <w:spacing w:after="0" w:line="129" w:lineRule="exact"/>
        <w:rPr>
          <w:sz w:val="20"/>
          <w:szCs w:val="20"/>
          <w:color w:val="auto"/>
        </w:rPr>
      </w:pPr>
    </w:p>
    <w:p>
      <w:pPr>
        <w:jc w:val="both"/>
        <w:ind w:right="260"/>
        <w:spacing w:after="0" w:line="271" w:lineRule="auto"/>
        <w:rPr>
          <w:sz w:val="20"/>
          <w:szCs w:val="20"/>
          <w:color w:val="auto"/>
        </w:rPr>
      </w:pPr>
      <w:r>
        <w:rPr>
          <w:rFonts w:ascii="Arial" w:cs="Arial" w:eastAsia="Arial" w:hAnsi="Arial"/>
          <w:sz w:val="17"/>
          <w:szCs w:val="17"/>
          <w:color w:val="auto"/>
        </w:rPr>
        <w:t>The expected term of options granted is the period of time the options are expected to be outstanding and is calculated using a simplified method based on the option’s vesting period and original contractual term. The Company uses the historical volatility of the Company’s stock to estimate expected volatility. The risk-free rate was based on the yield on U.S. Treasury notes with a term equal to the option’s expected term.</w:t>
      </w:r>
    </w:p>
    <w:p>
      <w:pPr>
        <w:spacing w:after="0" w:line="6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following inputs were used for the valuation of option grants issued in each year (there were no stock option grants issued in the year ended December 31, 2021):</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5"/>
          </w:tcPr>
          <w:p>
            <w:pPr>
              <w:ind w:left="20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47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5"/>
              </w:rPr>
              <w:t>2020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89"/>
              </w:rPr>
              <w:t>2019</w:t>
            </w:r>
          </w:p>
        </w:tc>
        <w:tc>
          <w:tcPr>
            <w:tcW w:w="80" w:type="dxa"/>
            <w:vAlign w:val="bottom"/>
            <w:tcBorders>
              <w:bottom w:val="single" w:sz="8" w:color="CFF0FC"/>
            </w:tcBorders>
          </w:tcPr>
          <w:p>
            <w:pPr>
              <w:spacing w:after="0"/>
              <w:rPr>
                <w:sz w:val="19"/>
                <w:szCs w:val="19"/>
                <w:color w:val="auto"/>
              </w:rPr>
            </w:pPr>
          </w:p>
        </w:tc>
      </w:tr>
      <w:tr>
        <w:trPr>
          <w:trHeight w:val="214"/>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of options granted</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rPr>
              <w:t>1.50</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FF0FC"/>
          </w:tcPr>
          <w:p>
            <w:pPr>
              <w:spacing w:after="0"/>
              <w:rPr>
                <w:sz w:val="18"/>
                <w:szCs w:val="18"/>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7"/>
                <w:szCs w:val="17"/>
                <w:color w:val="auto"/>
              </w:rPr>
              <w:t>Weighted-average risk-free interest rate</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133"/>
              <w:spacing w:after="0"/>
              <w:rPr>
                <w:sz w:val="20"/>
                <w:szCs w:val="20"/>
                <w:color w:val="auto"/>
              </w:rPr>
            </w:pPr>
            <w:r>
              <w:rPr>
                <w:rFonts w:ascii="Arial" w:cs="Arial" w:eastAsia="Arial" w:hAnsi="Arial"/>
                <w:sz w:val="17"/>
                <w:szCs w:val="17"/>
                <w:color w:val="auto"/>
                <w:w w:val="91"/>
              </w:rPr>
              <w:t>2.43%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33"/>
              <w:spacing w:after="0"/>
              <w:rPr>
                <w:sz w:val="20"/>
                <w:szCs w:val="20"/>
                <w:color w:val="auto"/>
              </w:rPr>
            </w:pPr>
            <w:r>
              <w:rPr>
                <w:rFonts w:ascii="Arial" w:cs="Arial" w:eastAsia="Arial" w:hAnsi="Arial"/>
                <w:sz w:val="17"/>
                <w:szCs w:val="17"/>
                <w:color w:val="auto"/>
                <w:w w:val="91"/>
              </w:rPr>
              <w:t>2.47%</w:t>
            </w:r>
          </w:p>
        </w:tc>
        <w:tc>
          <w:tcPr>
            <w:tcW w:w="80" w:type="dxa"/>
            <w:vAlign w:val="bottom"/>
          </w:tcPr>
          <w:p>
            <w:pPr>
              <w:spacing w:after="0"/>
              <w:rPr>
                <w:sz w:val="19"/>
                <w:szCs w:val="19"/>
                <w:color w:val="auto"/>
              </w:rPr>
            </w:pPr>
          </w:p>
        </w:tc>
      </w:tr>
      <w:tr>
        <w:trPr>
          <w:trHeight w:val="221"/>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Expected option lives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33"/>
              <w:spacing w:after="0"/>
              <w:rPr>
                <w:sz w:val="20"/>
                <w:szCs w:val="20"/>
                <w:color w:val="auto"/>
              </w:rPr>
            </w:pPr>
            <w:r>
              <w:rPr>
                <w:rFonts w:ascii="Arial" w:cs="Arial" w:eastAsia="Arial" w:hAnsi="Arial"/>
                <w:sz w:val="17"/>
                <w:szCs w:val="17"/>
                <w:color w:val="auto"/>
              </w:rPr>
              <w:t>3.7 years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4.5 years</w:t>
            </w:r>
          </w:p>
        </w:tc>
      </w:tr>
      <w:tr>
        <w:trPr>
          <w:trHeight w:val="221"/>
        </w:trPr>
        <w:tc>
          <w:tcPr>
            <w:tcW w:w="472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133"/>
              <w:spacing w:after="0"/>
              <w:rPr>
                <w:sz w:val="20"/>
                <w:szCs w:val="20"/>
                <w:color w:val="auto"/>
              </w:rPr>
            </w:pPr>
            <w:r>
              <w:rPr>
                <w:rFonts w:ascii="Arial" w:cs="Arial" w:eastAsia="Arial" w:hAnsi="Arial"/>
                <w:sz w:val="17"/>
                <w:szCs w:val="17"/>
                <w:color w:val="auto"/>
                <w:w w:val="93"/>
              </w:rPr>
              <w:t>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33"/>
              <w:spacing w:after="0"/>
              <w:rPr>
                <w:sz w:val="20"/>
                <w:szCs w:val="20"/>
                <w:color w:val="auto"/>
              </w:rPr>
            </w:pPr>
            <w:r>
              <w:rPr>
                <w:rFonts w:ascii="Arial" w:cs="Arial" w:eastAsia="Arial" w:hAnsi="Arial"/>
                <w:sz w:val="17"/>
                <w:szCs w:val="17"/>
                <w:color w:val="auto"/>
                <w:w w:val="93"/>
              </w:rPr>
              <w:t>90%</w:t>
            </w:r>
          </w:p>
        </w:tc>
        <w:tc>
          <w:tcPr>
            <w:tcW w:w="80" w:type="dxa"/>
            <w:vAlign w:val="bottom"/>
          </w:tcPr>
          <w:p>
            <w:pPr>
              <w:spacing w:after="0"/>
              <w:rPr>
                <w:sz w:val="19"/>
                <w:szCs w:val="19"/>
                <w:color w:val="auto"/>
              </w:rPr>
            </w:pPr>
          </w:p>
        </w:tc>
      </w:tr>
      <w:tr>
        <w:trPr>
          <w:trHeight w:val="221"/>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Expected dividend yield</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right="133"/>
              <w:spacing w:after="0"/>
              <w:rPr>
                <w:sz w:val="20"/>
                <w:szCs w:val="20"/>
                <w:color w:val="auto"/>
              </w:rPr>
            </w:pPr>
            <w:r>
              <w:rPr>
                <w:rFonts w:ascii="Arial" w:cs="Arial" w:eastAsia="Arial" w:hAnsi="Arial"/>
                <w:sz w:val="17"/>
                <w:szCs w:val="17"/>
                <w:color w:val="auto"/>
                <w:w w:val="91"/>
              </w:rPr>
              <w:t>0.00%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right="133"/>
              <w:spacing w:after="0"/>
              <w:rPr>
                <w:sz w:val="20"/>
                <w:szCs w:val="20"/>
                <w:color w:val="auto"/>
              </w:rPr>
            </w:pPr>
            <w:r>
              <w:rPr>
                <w:rFonts w:ascii="Arial" w:cs="Arial" w:eastAsia="Arial" w:hAnsi="Arial"/>
                <w:sz w:val="17"/>
                <w:szCs w:val="17"/>
                <w:color w:val="auto"/>
                <w:w w:val="91"/>
              </w:rPr>
              <w:t>0.00%</w:t>
            </w:r>
          </w:p>
        </w:tc>
        <w:tc>
          <w:tcPr>
            <w:tcW w:w="8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Given the volatility of the Company’s stock price in the third quarter of 2020, the Company utilized a lattice-based valuation model to value the time-based vesting awards granted July 27, 2020 and a Monte Carlo simulation valuation model to value the options granted on July 27, 2020 which vested upon conversion of the 2019 Convertible Notes.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inputs were used in the lattice-based valuation of the July 27, 2020 option grants: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July 27, 2020</w:t>
            </w: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3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4"/>
              </w:rPr>
              <w:t>Option Awards</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of options granted</w:t>
            </w:r>
          </w:p>
        </w:tc>
        <w:tc>
          <w:tcPr>
            <w:tcW w:w="3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ind w:right="473"/>
              <w:spacing w:after="0"/>
              <w:rPr>
                <w:sz w:val="20"/>
                <w:szCs w:val="20"/>
                <w:color w:val="auto"/>
              </w:rPr>
            </w:pPr>
            <w:r>
              <w:rPr>
                <w:rFonts w:ascii="Arial" w:cs="Arial" w:eastAsia="Arial" w:hAnsi="Arial"/>
                <w:sz w:val="17"/>
                <w:szCs w:val="17"/>
                <w:color w:val="auto"/>
              </w:rPr>
              <w:t>6.57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21"/>
        </w:trPr>
        <w:tc>
          <w:tcPr>
            <w:tcW w:w="4940" w:type="dxa"/>
            <w:vAlign w:val="bottom"/>
            <w:gridSpan w:val="2"/>
          </w:tcPr>
          <w:p>
            <w:pPr>
              <w:ind w:left="1140"/>
              <w:spacing w:after="0"/>
              <w:rPr>
                <w:sz w:val="20"/>
                <w:szCs w:val="20"/>
                <w:color w:val="auto"/>
              </w:rPr>
            </w:pPr>
            <w:r>
              <w:rPr>
                <w:rFonts w:ascii="Arial" w:cs="Arial" w:eastAsia="Arial" w:hAnsi="Arial"/>
                <w:sz w:val="17"/>
                <w:szCs w:val="17"/>
                <w:color w:val="auto"/>
              </w:rPr>
              <w:t>Range of risk-free interest rates</w:t>
            </w: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73"/>
              <w:spacing w:after="0"/>
              <w:rPr>
                <w:sz w:val="20"/>
                <w:szCs w:val="20"/>
                <w:color w:val="auto"/>
              </w:rPr>
            </w:pPr>
            <w:r>
              <w:rPr>
                <w:rFonts w:ascii="Arial" w:cs="Arial" w:eastAsia="Arial" w:hAnsi="Arial"/>
                <w:sz w:val="17"/>
                <w:szCs w:val="17"/>
                <w:color w:val="auto"/>
                <w:w w:val="91"/>
              </w:rPr>
              <w:t>0.11% - 0.30%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term</w:t>
            </w:r>
          </w:p>
        </w:tc>
        <w:tc>
          <w:tcPr>
            <w:tcW w:w="3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40"/>
              <w:spacing w:after="0"/>
              <w:rPr>
                <w:sz w:val="20"/>
                <w:szCs w:val="20"/>
                <w:color w:val="auto"/>
              </w:rPr>
            </w:pPr>
            <w:r>
              <w:rPr>
                <w:rFonts w:ascii="Arial" w:cs="Arial" w:eastAsia="Arial" w:hAnsi="Arial"/>
                <w:sz w:val="17"/>
                <w:szCs w:val="17"/>
                <w:color w:val="auto"/>
                <w:w w:val="88"/>
              </w:rPr>
              <w:t>5.57 years</w:t>
            </w:r>
          </w:p>
        </w:tc>
        <w:tc>
          <w:tcPr>
            <w:tcW w:w="1120" w:type="dxa"/>
            <w:vAlign w:val="bottom"/>
          </w:tcPr>
          <w:p>
            <w:pPr>
              <w:spacing w:after="0"/>
              <w:rPr>
                <w:sz w:val="19"/>
                <w:szCs w:val="19"/>
                <w:color w:val="auto"/>
              </w:rPr>
            </w:pPr>
          </w:p>
        </w:tc>
      </w:tr>
      <w:tr>
        <w:trPr>
          <w:trHeight w:val="221"/>
        </w:trPr>
        <w:tc>
          <w:tcPr>
            <w:tcW w:w="4940" w:type="dxa"/>
            <w:vAlign w:val="bottom"/>
            <w:gridSpan w:val="2"/>
          </w:tcPr>
          <w:p>
            <w:pPr>
              <w:ind w:left="1140"/>
              <w:spacing w:after="0"/>
              <w:rPr>
                <w:sz w:val="20"/>
                <w:szCs w:val="20"/>
                <w:color w:val="auto"/>
              </w:rPr>
            </w:pPr>
            <w:r>
              <w:rPr>
                <w:rFonts w:ascii="Arial" w:cs="Arial" w:eastAsia="Arial" w:hAnsi="Arial"/>
                <w:sz w:val="17"/>
                <w:szCs w:val="17"/>
                <w:color w:val="auto"/>
              </w:rPr>
              <w:t>Weighted-average volatility</w:t>
            </w: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73"/>
              <w:spacing w:after="0"/>
              <w:rPr>
                <w:sz w:val="20"/>
                <w:szCs w:val="20"/>
                <w:color w:val="auto"/>
              </w:rPr>
            </w:pPr>
            <w:r>
              <w:rPr>
                <w:rFonts w:ascii="Arial" w:cs="Arial" w:eastAsia="Arial" w:hAnsi="Arial"/>
                <w:sz w:val="17"/>
                <w:szCs w:val="17"/>
                <w:color w:val="auto"/>
                <w:w w:val="88"/>
              </w:rPr>
              <w:t>98%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expected dividend yield</w:t>
            </w:r>
          </w:p>
        </w:tc>
        <w:tc>
          <w:tcPr>
            <w:tcW w:w="3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ind w:right="73"/>
              <w:spacing w:after="0"/>
              <w:rPr>
                <w:sz w:val="20"/>
                <w:szCs w:val="20"/>
                <w:color w:val="auto"/>
              </w:rPr>
            </w:pPr>
            <w:r>
              <w:rPr>
                <w:rFonts w:ascii="Arial" w:cs="Arial" w:eastAsia="Arial" w:hAnsi="Arial"/>
                <w:sz w:val="17"/>
                <w:szCs w:val="17"/>
                <w:color w:val="auto"/>
                <w:w w:val="95"/>
              </w:rPr>
              <w:t>0.00%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886"/>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80" w:type="dxa"/>
            <w:vAlign w:val="bottom"/>
          </w:tcPr>
          <w:p>
            <w:pPr>
              <w:jc w:val="right"/>
              <w:ind w:right="2673"/>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NOTE 23: SHAREHOLDERS’ EQUITY</w:t>
      </w: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560 million shares of authorized stock, consisting of: (i) 500 million shares of common stock, par value $0.01 per share and (ii) 60 million shares of preferred stock, no par value, issuable in one or more series. As of December 31, 2021 there were 78.7 million shares of common stock outstanding, 1.0 million shares of Series B preferred stock issued and outstanding and 1.0 million shares of Series C preferred stock issued and outstanding. As of December 31, 2020 there were 77.2 million shares of common stock outstanding and 2.0 million shares of Series A preferred stock issued and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consisted of approximately 0.8 million shares and 0.7 million shares at December 31, 2021 and 2020,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Statements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August 10, 2021, the Company filed a Registration Statement on Form S-3 (Registration No. 254352) to register for possible resale from time to time of up to 44,490,032 shares of common stock, subject to adjustments for stock splits, stock dividends and reclassifications and similar transactions (the “Resale Shares”). The Company registered the Resale Shares to satisfy its obligations under the following agreements:</w:t>
      </w:r>
    </w:p>
    <w:p>
      <w:pPr>
        <w:spacing w:after="0" w:line="205" w:lineRule="exact"/>
        <w:rPr>
          <w:sz w:val="20"/>
          <w:szCs w:val="20"/>
          <w:color w:val="auto"/>
        </w:rPr>
      </w:pPr>
    </w:p>
    <w:p>
      <w:pPr>
        <w:ind w:left="740" w:right="120" w:hanging="371"/>
        <w:spacing w:after="0" w:line="263"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registration rights agreement (the “Backstop Registration Rights Agreement”), dated as of September 3, 2013, between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which, prior to the expiration of the Backstop Registration Rights Agreement on October 16, 2021, required the registration of certain shares of common stock.</w:t>
      </w:r>
    </w:p>
    <w:p>
      <w:pPr>
        <w:spacing w:after="0" w:line="205" w:lineRule="exact"/>
        <w:rPr>
          <w:rFonts w:ascii="Arial" w:cs="Arial" w:eastAsia="Arial" w:hAnsi="Arial"/>
          <w:sz w:val="17"/>
          <w:szCs w:val="17"/>
          <w:color w:val="auto"/>
        </w:rPr>
      </w:pPr>
    </w:p>
    <w:p>
      <w:pPr>
        <w:ind w:left="740" w:hanging="371"/>
        <w:spacing w:after="0" w:line="263"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Series A Preferred Stock repurchase and exchange agreement, dated as of February 26, 2021, with Southeastern Asset Management, Inc. (“Southeastern”) and Longleaf Partners Small-Cap Fund, C2W Partners Master Fund Limited and Deseret Mutual Pension Trust, which are investment funds managed by Southeastern (such investment funds, collectively, the “Purchasers”), extending the registration rights provided under a registration rights agreement, dated as of November 15, 2016, with Southeastern and the Purchasers, to shares of our common stock issuable upon conversion of 1,000,000 shares of Series B Preferred Stock (as defined herein) issued thereunder.</w:t>
      </w:r>
    </w:p>
    <w:p>
      <w:pPr>
        <w:spacing w:after="0" w:line="205" w:lineRule="exact"/>
        <w:rPr>
          <w:rFonts w:ascii="Arial" w:cs="Arial" w:eastAsia="Arial" w:hAnsi="Arial"/>
          <w:sz w:val="17"/>
          <w:szCs w:val="17"/>
          <w:color w:val="auto"/>
        </w:rPr>
      </w:pPr>
    </w:p>
    <w:p>
      <w:pPr>
        <w:ind w:left="740" w:right="520" w:hanging="371"/>
        <w:spacing w:after="0" w:line="271"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registration rights agreement, dated as of May 24, 2019, with the Purchasers, providing the Purchasers with registration rights in respect of 31,497,850 shares of our common stock issuable upon conversion of our 5.00% Secured Convertible Notes due 2021 issued pursuant to a notes purchase agreement, dated as of May 20, 2019, with the Purchasers.</w:t>
      </w:r>
    </w:p>
    <w:p>
      <w:pPr>
        <w:spacing w:after="0" w:line="197" w:lineRule="exact"/>
        <w:rPr>
          <w:rFonts w:ascii="Arial" w:cs="Arial" w:eastAsia="Arial" w:hAnsi="Arial"/>
          <w:sz w:val="17"/>
          <w:szCs w:val="17"/>
          <w:color w:val="auto"/>
        </w:rPr>
      </w:pPr>
    </w:p>
    <w:p>
      <w:pPr>
        <w:ind w:left="740" w:right="20" w:hanging="371"/>
        <w:spacing w:after="0" w:line="266"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registration rights agreement, dated as of February 26, 2021, with GO EK Ventures IV, LLC (the “Investor”), a fund managed by Grand Oaks Capital, providing the Investor with registration rights in respect of shares of our common stock issuable upon conversion of 1,000,000 shares of Series C Preferred Stock (as defined herein) issued pursuant to a Series C Preferred Stock purchase agreement, dated as of February 26, 2021, with the Investor; and</w:t>
      </w:r>
    </w:p>
    <w:p>
      <w:pPr>
        <w:spacing w:after="0" w:line="201" w:lineRule="exact"/>
        <w:rPr>
          <w:rFonts w:ascii="Arial" w:cs="Arial" w:eastAsia="Arial" w:hAnsi="Arial"/>
          <w:sz w:val="17"/>
          <w:szCs w:val="17"/>
          <w:color w:val="auto"/>
        </w:rPr>
      </w:pPr>
    </w:p>
    <w:p>
      <w:pPr>
        <w:ind w:left="740" w:right="40" w:hanging="371"/>
        <w:spacing w:after="0" w:line="263"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securities registration rights agreement, dated as of February 26, 2021, with certain funds affiliated with Kennedy Lewis Investment Management LLC (the “Buyers”), providing the Buyers with registration rights in respect of (i) 1,000,000 shares of our common stock and (ii) shares of our common stock issuable upon conversion of $25,000,000 aggregate principal amount of our 5.0% unsecured convertible promissory notes due May 28, 2026, in each case, issued in a private placement transaction pursuant to a securities purchase agreement, dated as of February 26, 2021, with the Buyers</w:t>
      </w:r>
    </w:p>
    <w:p>
      <w:pPr>
        <w:spacing w:after="0" w:line="205"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On August 10, 2021, the Company filed a shelf Registration Statement on Form S-3 (Registration No. 254353) for the offer and sale of securities from time to time in one or more offerings of up to $500,000,000 of common stock, preferred stock, debt securities, warrants, depositary shares, purchase contracts, guarantees and units. The Company would file a prospectus supplement to include the specific terms of any offering or sale under this shelf registration statement. At December 31, 2021 the Company had not made any offerings or sales of securities pursuant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NOTE 24: OTHER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Other comprehensive loss by component,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gridSpan w:val="6"/>
          </w:tcPr>
          <w:p>
            <w:pPr>
              <w:jc w:val="right"/>
              <w:ind w:right="133"/>
              <w:spacing w:after="0"/>
              <w:rPr>
                <w:sz w:val="20"/>
                <w:szCs w:val="20"/>
                <w:color w:val="auto"/>
              </w:rPr>
            </w:pPr>
            <w:r>
              <w:rPr>
                <w:rFonts w:ascii="Arial" w:cs="Arial" w:eastAsia="Arial" w:hAnsi="Arial"/>
                <w:sz w:val="17"/>
                <w:szCs w:val="17"/>
                <w:b w:val="1"/>
                <w:bCs w:val="1"/>
                <w:color w:val="auto"/>
              </w:rPr>
              <w:t>Year Ended December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Currency translation adjustments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240"/>
              <w:spacing w:after="0"/>
              <w:rPr>
                <w:sz w:val="20"/>
                <w:szCs w:val="20"/>
                <w:color w:val="auto"/>
              </w:rPr>
            </w:pPr>
            <w:r>
              <w:rPr>
                <w:rFonts w:ascii="Arial" w:cs="Arial" w:eastAsia="Arial" w:hAnsi="Arial"/>
                <w:sz w:val="17"/>
                <w:szCs w:val="17"/>
                <w:color w:val="auto"/>
              </w:rPr>
              <w:t>Currency translation adjustments</w:t>
            </w:r>
          </w:p>
        </w:tc>
        <w:tc>
          <w:tcPr>
            <w:tcW w:w="1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Amount transferred to net income due to the sale</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of an investment in a foreign entity</w:t>
            </w:r>
          </w:p>
        </w:tc>
        <w:tc>
          <w:tcPr>
            <w:tcW w:w="16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7"/>
                <w:szCs w:val="17"/>
                <w:color w:val="auto"/>
              </w:rPr>
              <w:t>Currency translation adjustments and other</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b w:val="1"/>
                <w:bCs w:val="1"/>
                <w:color w:val="auto"/>
              </w:rPr>
              <w:t>Pension and other postretirement benefit plan</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140"/>
              <w:spacing w:after="0"/>
              <w:rPr>
                <w:sz w:val="20"/>
                <w:szCs w:val="20"/>
                <w:color w:val="auto"/>
              </w:rPr>
            </w:pPr>
            <w:r>
              <w:rPr>
                <w:rFonts w:ascii="Arial" w:cs="Arial" w:eastAsia="Arial" w:hAnsi="Arial"/>
                <w:sz w:val="17"/>
                <w:szCs w:val="17"/>
                <w:b w:val="1"/>
                <w:bCs w:val="1"/>
                <w:color w:val="auto"/>
              </w:rPr>
              <w:t>changes</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Newly established net actuarial gain (loss)</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(34)</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Tax benefit</w:t>
            </w:r>
          </w:p>
        </w:tc>
        <w:tc>
          <w:tcPr>
            <w:tcW w:w="1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Newly established net actuarial loss, net of tax</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(34)</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5100" w:type="dxa"/>
            <w:vAlign w:val="bottom"/>
          </w:tcPr>
          <w:p>
            <w:pPr>
              <w:ind w:left="240"/>
              <w:spacing w:after="0"/>
              <w:rPr>
                <w:sz w:val="20"/>
                <w:szCs w:val="20"/>
                <w:color w:val="auto"/>
              </w:rPr>
            </w:pPr>
            <w:r>
              <w:rPr>
                <w:rFonts w:ascii="Arial" w:cs="Arial" w:eastAsia="Arial" w:hAnsi="Arial"/>
                <w:sz w:val="17"/>
                <w:szCs w:val="17"/>
                <w:color w:val="auto"/>
              </w:rPr>
              <w:t>Reclassification adjustments:</w:t>
            </w:r>
          </w:p>
        </w:tc>
        <w:tc>
          <w:tcPr>
            <w:tcW w:w="1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Amortization of prior service credit</w:t>
            </w:r>
          </w:p>
        </w:tc>
        <w:tc>
          <w:tcPr>
            <w:tcW w:w="1920" w:type="dxa"/>
            <w:vAlign w:val="bottom"/>
            <w:gridSpan w:val="2"/>
            <w:shd w:val="clear" w:color="auto" w:fill="CFF0FC"/>
          </w:tcPr>
          <w:p>
            <w:pPr>
              <w:ind w:left="1320"/>
              <w:spacing w:after="0"/>
              <w:rPr>
                <w:sz w:val="20"/>
                <w:szCs w:val="20"/>
                <w:color w:val="auto"/>
              </w:rPr>
            </w:pPr>
            <w:r>
              <w:rPr>
                <w:rFonts w:ascii="Arial" w:cs="Arial" w:eastAsia="Arial" w:hAnsi="Arial"/>
                <w:sz w:val="15"/>
                <w:szCs w:val="15"/>
                <w:color w:val="auto"/>
              </w:rPr>
              <w:t>(a)</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5100" w:type="dxa"/>
            <w:vAlign w:val="bottom"/>
          </w:tcPr>
          <w:p>
            <w:pPr>
              <w:ind w:left="480"/>
              <w:spacing w:after="0"/>
              <w:rPr>
                <w:sz w:val="20"/>
                <w:szCs w:val="20"/>
                <w:color w:val="auto"/>
              </w:rPr>
            </w:pPr>
            <w:r>
              <w:rPr>
                <w:rFonts w:ascii="Arial" w:cs="Arial" w:eastAsia="Arial" w:hAnsi="Arial"/>
                <w:sz w:val="17"/>
                <w:szCs w:val="17"/>
                <w:color w:val="auto"/>
              </w:rPr>
              <w:t>Amortization of actuarial losses</w:t>
            </w:r>
          </w:p>
        </w:tc>
        <w:tc>
          <w:tcPr>
            <w:tcW w:w="1920" w:type="dxa"/>
            <w:vAlign w:val="bottom"/>
            <w:gridSpan w:val="2"/>
          </w:tcPr>
          <w:p>
            <w:pPr>
              <w:ind w:left="1320"/>
              <w:spacing w:after="0"/>
              <w:rPr>
                <w:sz w:val="20"/>
                <w:szCs w:val="20"/>
                <w:color w:val="auto"/>
              </w:rPr>
            </w:pPr>
            <w:r>
              <w:rPr>
                <w:rFonts w:ascii="Arial" w:cs="Arial" w:eastAsia="Arial" w:hAnsi="Arial"/>
                <w:sz w:val="15"/>
                <w:szCs w:val="15"/>
                <w:color w:val="auto"/>
              </w:rPr>
              <w:t>(a)</w:t>
            </w: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Recognition of gains (losses) due to settlements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600"/>
              <w:spacing w:after="0"/>
              <w:rPr>
                <w:sz w:val="20"/>
                <w:szCs w:val="20"/>
                <w:color w:val="auto"/>
              </w:rPr>
            </w:pPr>
            <w:r>
              <w:rPr>
                <w:rFonts w:ascii="Arial" w:cs="Arial" w:eastAsia="Arial" w:hAnsi="Arial"/>
                <w:sz w:val="17"/>
                <w:szCs w:val="17"/>
                <w:color w:val="auto"/>
              </w:rPr>
              <w:t>and curtailments</w:t>
            </w:r>
          </w:p>
        </w:tc>
        <w:tc>
          <w:tcPr>
            <w:tcW w:w="1640" w:type="dxa"/>
            <w:vAlign w:val="bottom"/>
            <w:shd w:val="clear" w:color="auto" w:fill="CFF0FC"/>
          </w:tcPr>
          <w:p>
            <w:pPr>
              <w:ind w:left="1320"/>
              <w:spacing w:after="0"/>
              <w:rPr>
                <w:sz w:val="20"/>
                <w:szCs w:val="20"/>
                <w:color w:val="auto"/>
              </w:rPr>
            </w:pPr>
            <w:r>
              <w:rPr>
                <w:rFonts w:ascii="Arial" w:cs="Arial" w:eastAsia="Arial" w:hAnsi="Arial"/>
                <w:sz w:val="15"/>
                <w:szCs w:val="15"/>
                <w:color w:val="auto"/>
              </w:rPr>
              <w:t>(a)</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40"/>
              <w:spacing w:after="0"/>
              <w:rPr>
                <w:sz w:val="20"/>
                <w:szCs w:val="20"/>
                <w:color w:val="auto"/>
              </w:rPr>
            </w:pPr>
            <w:r>
              <w:rPr>
                <w:rFonts w:ascii="Arial" w:cs="Arial" w:eastAsia="Arial" w:hAnsi="Arial"/>
                <w:sz w:val="17"/>
                <w:szCs w:val="17"/>
                <w:color w:val="auto"/>
              </w:rPr>
              <w:t>Total reclassification adjustments</w:t>
            </w:r>
          </w:p>
        </w:tc>
        <w:tc>
          <w:tcPr>
            <w:tcW w:w="1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provision</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40"/>
              <w:spacing w:after="0"/>
              <w:rPr>
                <w:sz w:val="20"/>
                <w:szCs w:val="20"/>
                <w:color w:val="auto"/>
              </w:rPr>
            </w:pPr>
            <w:r>
              <w:rPr>
                <w:rFonts w:ascii="Arial" w:cs="Arial" w:eastAsia="Arial" w:hAnsi="Arial"/>
                <w:sz w:val="17"/>
                <w:szCs w:val="17"/>
                <w:color w:val="auto"/>
              </w:rPr>
              <w:t>Reclassification adjustments, net of tax</w:t>
            </w:r>
          </w:p>
        </w:tc>
        <w:tc>
          <w:tcPr>
            <w:tcW w:w="1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16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of tax</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Other comprehensive loss</w:t>
            </w:r>
          </w:p>
        </w:tc>
        <w:tc>
          <w:tcPr>
            <w:tcW w:w="1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00" w:type="dxa"/>
            <w:vAlign w:val="bottom"/>
            <w:vMerge w:val="continue"/>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667</w:t>
            </w:r>
          </w:p>
        </w:tc>
        <w:tc>
          <w:tcPr>
            <w:tcW w:w="2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(29)</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tabs>
          <w:tab w:leader="none" w:pos="360" w:val="left"/>
        </w:tabs>
        <w:numPr>
          <w:ilvl w:val="0"/>
          <w:numId w:val="45"/>
        </w:numPr>
        <w:rPr>
          <w:rFonts w:ascii="Arial" w:cs="Arial" w:eastAsia="Arial" w:hAnsi="Arial"/>
          <w:sz w:val="15"/>
          <w:szCs w:val="15"/>
          <w:color w:val="auto"/>
        </w:rPr>
      </w:pPr>
      <w:r>
        <w:rPr>
          <w:rFonts w:ascii="Arial" w:cs="Arial" w:eastAsia="Arial" w:hAnsi="Arial"/>
          <w:sz w:val="17"/>
          <w:szCs w:val="17"/>
          <w:color w:val="auto"/>
        </w:rPr>
        <w:t>Reclassified to Pension income - refer to Note 19, "Retirement Plans" and Note 20, "Other Postretirement Benefits"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480"/>
        <w:spacing w:after="0" w:line="463" w:lineRule="auto"/>
        <w:rPr>
          <w:sz w:val="20"/>
          <w:szCs w:val="20"/>
          <w:color w:val="auto"/>
        </w:rPr>
      </w:pPr>
      <w:r>
        <w:rPr>
          <w:rFonts w:ascii="Arial" w:cs="Arial" w:eastAsia="Arial" w:hAnsi="Arial"/>
          <w:sz w:val="16"/>
          <w:szCs w:val="16"/>
          <w:b w:val="1"/>
          <w:bCs w:val="1"/>
          <w:color w:val="auto"/>
        </w:rPr>
        <w:t xml:space="preserve">NOTE 25: ACCUMULATED OTHER COMPREHENSIVE INCOME LOSS </w:t>
      </w:r>
      <w:r>
        <w:rPr>
          <w:rFonts w:ascii="Arial" w:cs="Arial" w:eastAsia="Arial" w:hAnsi="Arial"/>
          <w:sz w:val="16"/>
          <w:szCs w:val="16"/>
          <w:color w:val="auto"/>
        </w:rPr>
        <w:t>Accumulated other comprehensive income (loss) is composed of the following:</w:t>
      </w:r>
    </w:p>
    <w:p>
      <w:pPr>
        <w:spacing w:after="0" w:line="19"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Currency translation adjustments</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1"/>
        </w:trPr>
        <w:tc>
          <w:tcPr>
            <w:tcW w:w="4960" w:type="dxa"/>
            <w:vAlign w:val="bottom"/>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Ending balance</w:t>
            </w:r>
          </w:p>
        </w:tc>
        <w:tc>
          <w:tcPr>
            <w:tcW w:w="1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vMerge w:val="continue"/>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26: SEGMENT INFORMATION</w:t>
      </w:r>
    </w:p>
    <w:p>
      <w:pPr>
        <w:spacing w:after="0" w:line="25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Kodak has four reportable segments: Traditional Printing, Digital Printing, Advanced Materials and Chemicals and Brand. A description of Kodak’s reportable segments follows.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Traditional Printing: </w:t>
      </w:r>
      <w:r>
        <w:rPr>
          <w:rFonts w:ascii="Arial" w:cs="Arial" w:eastAsia="Arial" w:hAnsi="Arial"/>
          <w:sz w:val="17"/>
          <w:szCs w:val="17"/>
          <w:color w:val="auto"/>
        </w:rPr>
        <w:t>The Traditional Printing segment is comprised of Prepress Solutions.</w:t>
      </w:r>
    </w:p>
    <w:p>
      <w:pPr>
        <w:spacing w:after="0" w:line="247"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color w:val="auto"/>
        </w:rPr>
        <w:t>Digital Printing</w:t>
      </w:r>
      <w:r>
        <w:rPr>
          <w:rFonts w:ascii="Arial" w:cs="Arial" w:eastAsia="Arial" w:hAnsi="Arial"/>
          <w:sz w:val="17"/>
          <w:szCs w:val="17"/>
          <w:color w:val="auto"/>
        </w:rPr>
        <w:t>: The Digital Printing segment is comprised of four lines of business: the Electrophotographic Printing Solutions business, the Prosper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the Versamark business and the Software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5" w:name="page126"/>
    <w:bookmarkEnd w:id="125"/>
    <w:p>
      <w:pPr>
        <w:ind w:right="120"/>
        <w:spacing w:after="0" w:line="294" w:lineRule="auto"/>
        <w:rPr>
          <w:sz w:val="20"/>
          <w:szCs w:val="20"/>
          <w:color w:val="auto"/>
        </w:rPr>
      </w:pPr>
      <w:r>
        <w:rPr>
          <w:rFonts w:ascii="Arial" w:cs="Arial" w:eastAsia="Arial" w:hAnsi="Arial"/>
          <w:sz w:val="17"/>
          <w:szCs w:val="17"/>
          <w:b w:val="1"/>
          <w:bCs w:val="1"/>
          <w:color w:val="auto"/>
        </w:rPr>
        <w:t>Advanced Materials and Chemicals</w:t>
      </w:r>
      <w:r>
        <w:rPr>
          <w:rFonts w:ascii="Arial" w:cs="Arial" w:eastAsia="Arial" w:hAnsi="Arial"/>
          <w:sz w:val="17"/>
          <w:szCs w:val="17"/>
          <w:color w:val="auto"/>
        </w:rPr>
        <w:t>: The Advanced Materials and Chemicals segment is comprised of four lines of business: Industrial Film and Chemicals,</w:t>
      </w:r>
      <w:r>
        <w:rPr>
          <w:rFonts w:ascii="Arial" w:cs="Arial" w:eastAsia="Arial" w:hAnsi="Arial"/>
          <w:sz w:val="17"/>
          <w:szCs w:val="17"/>
          <w:b w:val="1"/>
          <w:bCs w:val="1"/>
          <w:color w:val="auto"/>
        </w:rPr>
        <w:t xml:space="preserve"> </w:t>
      </w:r>
      <w:r>
        <w:rPr>
          <w:rFonts w:ascii="Arial" w:cs="Arial" w:eastAsia="Arial" w:hAnsi="Arial"/>
          <w:sz w:val="17"/>
          <w:szCs w:val="17"/>
          <w:color w:val="auto"/>
        </w:rPr>
        <w:t>Motion Picture, Advanced Materials and Functional Printing and KSB. KSB was sold to Swiss Post Solutions in December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w:t>
      </w:r>
      <w:r>
        <w:rPr>
          <w:rFonts w:ascii="Arial" w:cs="Arial" w:eastAsia="Arial" w:hAnsi="Arial"/>
          <w:sz w:val="17"/>
          <w:szCs w:val="17"/>
          <w:color w:val="auto"/>
        </w:rPr>
        <w:t>: The Brand segment contains the brand licensing 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r>
        <w:rPr>
          <w:rFonts w:ascii="Arial" w:cs="Arial" w:eastAsia="Arial" w:hAnsi="Arial"/>
          <w:sz w:val="16"/>
          <w:szCs w:val="16"/>
          <w:color w:val="auto"/>
        </w:rPr>
        <w:t>: All Other is comprised of the operations of the Eastman Business Park, a more than 1,200 acre technology center and industrial complex.</w:t>
      </w:r>
    </w:p>
    <w:p>
      <w:pPr>
        <w:spacing w:after="0" w:line="2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Segment financial information is shown below. Asset information by segment is not disclosed as this information is not separately identified and reported to the Chief Operating Decision Maker.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rPr>
              <w:t>Year Ended 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70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Traditional Printing</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592</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ind w:left="1140"/>
              <w:spacing w:after="0"/>
              <w:rPr>
                <w:sz w:val="20"/>
                <w:szCs w:val="20"/>
                <w:color w:val="auto"/>
              </w:rPr>
            </w:pPr>
            <w:r>
              <w:rPr>
                <w:rFonts w:ascii="Arial" w:cs="Arial" w:eastAsia="Arial" w:hAnsi="Arial"/>
                <w:sz w:val="17"/>
                <w:szCs w:val="17"/>
                <w:color w:val="auto"/>
              </w:rPr>
              <w:t>Digital Printing</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Chemicals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ind w:left="1140"/>
              <w:spacing w:after="0"/>
              <w:rPr>
                <w:sz w:val="20"/>
                <w:szCs w:val="20"/>
                <w:color w:val="auto"/>
              </w:rPr>
            </w:pPr>
            <w:r>
              <w:rPr>
                <w:rFonts w:ascii="Arial" w:cs="Arial" w:eastAsia="Arial" w:hAnsi="Arial"/>
                <w:sz w:val="17"/>
                <w:szCs w:val="17"/>
                <w:color w:val="auto"/>
              </w:rPr>
              <w:t>Brand</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560" w:type="dxa"/>
            <w:vAlign w:val="bottom"/>
            <w:tcBorders>
              <w:top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Total of reportable segments</w:t>
            </w:r>
          </w:p>
        </w:tc>
        <w:tc>
          <w:tcPr>
            <w:tcW w:w="7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1,135</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1,018</w:t>
            </w: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ind w:left="1140"/>
              <w:spacing w:after="0"/>
              <w:rPr>
                <w:sz w:val="20"/>
                <w:szCs w:val="20"/>
                <w:color w:val="auto"/>
              </w:rPr>
            </w:pPr>
            <w:r>
              <w:rPr>
                <w:rFonts w:ascii="Arial" w:cs="Arial" w:eastAsia="Arial" w:hAnsi="Arial"/>
                <w:sz w:val="17"/>
                <w:szCs w:val="17"/>
                <w:color w:val="auto"/>
              </w:rPr>
              <w:t>Other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4560" w:type="dxa"/>
            <w:vAlign w:val="bottom"/>
            <w:vMerge w:val="continue"/>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1,029</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Measure of Profit and Loss</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table below, Operational EBITDA represents the earnings (loss) from continuing operations before income taxes excluding non-service cost components of pension and other postemployment benefits income; depreciation and amortization expense; restructuring costs; stock-based compensation expense; consulting and other costs; idle costs; the former CEO separation agreement compensation; other operating income, net (unless otherwise indicated); interest expense; loss on early extinguishment of debt and other income (charges), net.</w:t>
      </w:r>
    </w:p>
    <w:p>
      <w:pPr>
        <w:spacing w:after="0" w:line="209" w:lineRule="exact"/>
        <w:rPr>
          <w:sz w:val="20"/>
          <w:szCs w:val="20"/>
          <w:color w:val="auto"/>
        </w:rPr>
      </w:pPr>
    </w:p>
    <w:p>
      <w:pPr>
        <w:jc w:val="both"/>
        <w:ind w:right="720"/>
        <w:spacing w:after="0" w:line="323" w:lineRule="auto"/>
        <w:rPr>
          <w:sz w:val="20"/>
          <w:szCs w:val="20"/>
          <w:color w:val="auto"/>
        </w:rPr>
      </w:pPr>
      <w:r>
        <w:rPr>
          <w:rFonts w:ascii="Arial" w:cs="Arial" w:eastAsia="Arial" w:hAnsi="Arial"/>
          <w:sz w:val="15"/>
          <w:szCs w:val="15"/>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330" w:right="4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Segment Operational EBITDA and Consolidated Income (Loss) from Continuing Operations Before Income Taxes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6"/>
          </w:tcPr>
          <w:p>
            <w:pPr>
              <w:jc w:val="right"/>
              <w:ind w:right="144"/>
              <w:spacing w:after="0"/>
              <w:rPr>
                <w:sz w:val="20"/>
                <w:szCs w:val="20"/>
                <w:color w:val="auto"/>
              </w:rPr>
            </w:pPr>
            <w:r>
              <w:rPr>
                <w:rFonts w:ascii="Arial" w:cs="Arial" w:eastAsia="Arial" w:hAnsi="Arial"/>
                <w:sz w:val="17"/>
                <w:szCs w:val="17"/>
                <w:b w:val="1"/>
                <w:bCs w:val="1"/>
                <w:color w:val="auto"/>
              </w:rPr>
              <w:t>Year Ended December 31,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3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14"/>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Traditional Printing</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FF0FC"/>
          </w:tcPr>
          <w:p>
            <w:pPr>
              <w:spacing w:after="0"/>
              <w:rPr>
                <w:sz w:val="18"/>
                <w:szCs w:val="18"/>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Digital Printing</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Chemicals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(23)</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w:t>
            </w:r>
          </w:p>
        </w:tc>
      </w:tr>
      <w:tr>
        <w:trPr>
          <w:trHeight w:val="221"/>
        </w:trPr>
        <w:tc>
          <w:tcPr>
            <w:tcW w:w="5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Brand</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FF0FC"/>
            </w:tcBorders>
          </w:tcPr>
          <w:p>
            <w:pPr>
              <w:spacing w:after="0"/>
              <w:rPr>
                <w:sz w:val="19"/>
                <w:szCs w:val="19"/>
                <w:color w:val="auto"/>
              </w:rPr>
            </w:pPr>
          </w:p>
        </w:tc>
      </w:tr>
      <w:tr>
        <w:trPr>
          <w:trHeight w:val="214"/>
        </w:trPr>
        <w:tc>
          <w:tcPr>
            <w:tcW w:w="5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Total of reportable segments</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8"/>
                <w:szCs w:val="18"/>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Other</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(31)</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(37)</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(55)</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w:t>
            </w:r>
          </w:p>
        </w:tc>
      </w:tr>
      <w:tr>
        <w:trPr>
          <w:trHeight w:val="221"/>
        </w:trPr>
        <w:tc>
          <w:tcPr>
            <w:tcW w:w="5340" w:type="dxa"/>
            <w:vAlign w:val="bottom"/>
          </w:tcPr>
          <w:p>
            <w:pPr>
              <w:spacing w:after="0" w:line="22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5"/>
                <w:szCs w:val="25"/>
                <w:color w:val="auto"/>
                <w:vertAlign w:val="superscript"/>
              </w:rPr>
              <w:t>(1)</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(2)</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Former CEO separation agreement compensation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8"/>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income (expense), net, excluding income</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53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from transition services agreement </w:t>
            </w:r>
            <w:r>
              <w:rPr>
                <w:rFonts w:ascii="Arial" w:cs="Arial" w:eastAsia="Arial" w:hAnsi="Arial"/>
                <w:sz w:val="14"/>
                <w:szCs w:val="14"/>
                <w:color w:val="auto"/>
              </w:rPr>
              <w:t>(3)</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(4)</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(33)</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Pension income excluding service cost component </w:t>
            </w:r>
            <w:r>
              <w:rPr>
                <w:rFonts w:ascii="Arial" w:cs="Arial" w:eastAsia="Arial" w:hAnsi="Arial"/>
                <w:sz w:val="14"/>
                <w:szCs w:val="14"/>
                <w:color w:val="auto"/>
              </w:rPr>
              <w:t>(4)</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FF0FC"/>
          </w:tcPr>
          <w:p>
            <w:pPr>
              <w:spacing w:after="0"/>
              <w:rPr>
                <w:sz w:val="19"/>
                <w:szCs w:val="19"/>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 xml:space="preserve">Loss on early extinguishment of debt </w:t>
            </w:r>
            <w:r>
              <w:rPr>
                <w:rFonts w:ascii="Arial" w:cs="Arial" w:eastAsia="Arial" w:hAnsi="Arial"/>
                <w:sz w:val="14"/>
                <w:szCs w:val="14"/>
                <w:color w:val="auto"/>
              </w:rPr>
              <w:t>(4)</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income (charges), net </w:t>
            </w:r>
            <w:r>
              <w:rPr>
                <w:rFonts w:ascii="Arial" w:cs="Arial" w:eastAsia="Arial" w:hAnsi="Arial"/>
                <w:sz w:val="14"/>
                <w:szCs w:val="14"/>
                <w:color w:val="auto"/>
              </w:rPr>
              <w:t>(4)</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(386)</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w:t>
            </w:r>
          </w:p>
        </w:tc>
      </w:tr>
      <w:tr>
        <w:trPr>
          <w:trHeight w:val="202"/>
        </w:trPr>
        <w:tc>
          <w:tcPr>
            <w:tcW w:w="5340" w:type="dxa"/>
            <w:vAlign w:val="bottom"/>
          </w:tcPr>
          <w:p>
            <w:pPr>
              <w:spacing w:after="0"/>
              <w:rPr>
                <w:sz w:val="20"/>
                <w:szCs w:val="20"/>
                <w:color w:val="auto"/>
              </w:rPr>
            </w:pPr>
            <w:r>
              <w:rPr>
                <w:rFonts w:ascii="Arial" w:cs="Arial" w:eastAsia="Arial" w:hAnsi="Arial"/>
                <w:sz w:val="17"/>
                <w:szCs w:val="17"/>
                <w:color w:val="auto"/>
              </w:rPr>
              <w:t>Consolidated earnings (loss) from continuing operations</w:t>
            </w:r>
          </w:p>
        </w:tc>
        <w:tc>
          <w:tcPr>
            <w:tcW w:w="1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340" w:type="dxa"/>
            <w:vAlign w:val="bottom"/>
          </w:tcPr>
          <w:p>
            <w:pPr>
              <w:ind w:left="140"/>
              <w:spacing w:after="0"/>
              <w:rPr>
                <w:sz w:val="20"/>
                <w:szCs w:val="20"/>
                <w:color w:val="auto"/>
              </w:rPr>
            </w:pPr>
            <w:r>
              <w:rPr>
                <w:rFonts w:ascii="Arial" w:cs="Arial" w:eastAsia="Arial" w:hAnsi="Arial"/>
                <w:sz w:val="17"/>
                <w:szCs w:val="17"/>
                <w:color w:val="auto"/>
              </w:rPr>
              <w:t>before income taxes</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(376)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20"/>
        </w:trPr>
        <w:tc>
          <w:tcPr>
            <w:tcW w:w="5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6"/>
          <w:szCs w:val="16"/>
          <w:color w:val="auto"/>
        </w:rPr>
        <w:t>Consulting and other costs are professional services and internal costs associated with corporate strategic initiatives, investigations and litigation.</w:t>
      </w:r>
    </w:p>
    <w:p>
      <w:pPr>
        <w:spacing w:after="0" w:line="128" w:lineRule="exact"/>
        <w:rPr>
          <w:rFonts w:ascii="Arial" w:cs="Arial" w:eastAsia="Arial" w:hAnsi="Arial"/>
          <w:sz w:val="14"/>
          <w:szCs w:val="14"/>
          <w:color w:val="auto"/>
        </w:rPr>
      </w:pPr>
    </w:p>
    <w:p>
      <w:pPr>
        <w:ind w:left="360" w:right="180" w:hanging="356"/>
        <w:spacing w:after="0" w:line="263" w:lineRule="auto"/>
        <w:tabs>
          <w:tab w:leader="none" w:pos="360" w:val="left"/>
        </w:tabs>
        <w:numPr>
          <w:ilvl w:val="0"/>
          <w:numId w:val="46"/>
        </w:numPr>
        <w:rPr>
          <w:rFonts w:ascii="Arial" w:cs="Arial" w:eastAsia="Arial" w:hAnsi="Arial"/>
          <w:sz w:val="15"/>
          <w:szCs w:val="15"/>
          <w:color w:val="auto"/>
        </w:rPr>
      </w:pPr>
      <w:r>
        <w:rPr>
          <w:rFonts w:ascii="Arial" w:cs="Arial" w:eastAsia="Arial" w:hAnsi="Arial"/>
          <w:sz w:val="17"/>
          <w:szCs w:val="17"/>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ind w:left="360" w:right="160" w:hanging="356"/>
        <w:spacing w:after="0" w:line="261" w:lineRule="auto"/>
        <w:tabs>
          <w:tab w:leader="none" w:pos="360" w:val="left"/>
        </w:tabs>
        <w:numPr>
          <w:ilvl w:val="0"/>
          <w:numId w:val="46"/>
        </w:numPr>
        <w:rPr>
          <w:rFonts w:ascii="Arial" w:cs="Arial" w:eastAsia="Arial" w:hAnsi="Arial"/>
          <w:sz w:val="15"/>
          <w:szCs w:val="15"/>
          <w:color w:val="auto"/>
        </w:rPr>
      </w:pPr>
      <w:r>
        <w:rPr>
          <w:rFonts w:ascii="Arial" w:cs="Arial" w:eastAsia="Arial" w:hAnsi="Arial"/>
          <w:sz w:val="17"/>
          <w:szCs w:val="17"/>
          <w:color w:val="auto"/>
        </w:rPr>
        <w:t>$6 million of income from the transition services agreement with the Purchaser was recognized in both the years ended December 31, 2020 and 2019. No income was recognized in the year ended December 31, 2021. The income was reported in Other operating (income) expense, net in the Consolidated Statement of Operations. Other operating (income) expense, net is typically excluded from the segment measure. However, the income from the transition services agreement was included in the segment measure.</w:t>
      </w:r>
    </w:p>
    <w:p>
      <w:pPr>
        <w:spacing w:after="0" w:line="309" w:lineRule="exact"/>
        <w:rPr>
          <w:rFonts w:ascii="Arial" w:cs="Arial" w:eastAsia="Arial" w:hAnsi="Arial"/>
          <w:sz w:val="15"/>
          <w:szCs w:val="15"/>
          <w:color w:val="auto"/>
        </w:rPr>
      </w:pPr>
    </w:p>
    <w:p>
      <w:pPr>
        <w:ind w:left="360" w:hanging="356"/>
        <w:spacing w:after="0"/>
        <w:tabs>
          <w:tab w:leader="none" w:pos="360" w:val="left"/>
        </w:tabs>
        <w:numPr>
          <w:ilvl w:val="0"/>
          <w:numId w:val="46"/>
        </w:numPr>
        <w:rPr>
          <w:rFonts w:ascii="Arial" w:cs="Arial" w:eastAsia="Arial" w:hAnsi="Arial"/>
          <w:sz w:val="15"/>
          <w:szCs w:val="15"/>
          <w:color w:val="auto"/>
        </w:rPr>
      </w:pPr>
      <w:r>
        <w:rPr>
          <w:rFonts w:ascii="Arial" w:cs="Arial" w:eastAsia="Arial" w:hAnsi="Arial"/>
          <w:sz w:val="17"/>
          <w:szCs w:val="17"/>
          <w:color w:val="auto"/>
        </w:rPr>
        <w:t>As reported in the Consolidated Statement of Operations.</w:t>
      </w:r>
    </w:p>
    <w:p>
      <w:pPr>
        <w:spacing w:after="0" w:line="2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Kodak decreased workers’ compensation reserves by approximately $4 million in 2021 driven by changes in discount rates. The decrease in reserves in 2021 impacted gross profit by approximately $3 million and SG&amp;A by approximately $1 million.</w:t>
      </w:r>
    </w:p>
    <w:p>
      <w:pPr>
        <w:spacing w:after="0" w:line="185"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Kodak increased employee benefit reserves by approximately $4 million in 2020 reflecting an increase in workers’ compensation reserves ($7 million) partially offset by a decrease in postemployment benefit reserves ($3 million). The increase in reserves in 2020 impacted gross profit and SG&amp;A each by approximately $2 million.</w:t>
      </w:r>
    </w:p>
    <w:p>
      <w:pPr>
        <w:spacing w:after="0" w:line="19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2019 workers’ compensation reserves increased by approximately $3 million. The increase in reserves in 2019 impacted gross profit by approximately $2 million and SG&amp;A by approximately $1 million.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27" w:name="page128"/>
    <w:bookmarkEnd w:id="127"/>
    <w:p>
      <w:pPr>
        <w:ind w:right="100"/>
        <w:spacing w:after="0" w:line="286" w:lineRule="auto"/>
        <w:rPr>
          <w:sz w:val="20"/>
          <w:szCs w:val="20"/>
          <w:color w:val="auto"/>
        </w:rPr>
      </w:pPr>
      <w:r>
        <w:rPr>
          <w:rFonts w:ascii="Arial" w:cs="Arial" w:eastAsia="Arial" w:hAnsi="Arial"/>
          <w:sz w:val="17"/>
          <w:szCs w:val="17"/>
          <w:color w:val="auto"/>
        </w:rPr>
        <w:t>Amortization and depreciation expense by segment are not included in the segment measure of profit and loss but are regularly provided to the Chief Operating Decision Maker.</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440" w:type="dxa"/>
            <w:vAlign w:val="bottom"/>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3"/>
                <w:szCs w:val="13"/>
                <w:b w:val="1"/>
                <w:bCs w:val="1"/>
                <w:color w:val="auto"/>
              </w:rPr>
              <w:t>in millions</w:t>
            </w:r>
            <w:r>
              <w:rPr>
                <w:rFonts w:ascii="Arial" w:cs="Arial" w:eastAsia="Arial" w:hAnsi="Arial"/>
                <w:sz w:val="17"/>
                <w:szCs w:val="17"/>
                <w:b w:val="1"/>
                <w:bCs w:val="1"/>
                <w:color w:val="auto"/>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7"/>
          </w:tcPr>
          <w:p>
            <w:pPr>
              <w:jc w:val="right"/>
              <w:ind w:right="120"/>
              <w:spacing w:after="0"/>
              <w:rPr>
                <w:sz w:val="20"/>
                <w:szCs w:val="20"/>
                <w:color w:val="auto"/>
              </w:rPr>
            </w:pPr>
            <w:r>
              <w:rPr>
                <w:rFonts w:ascii="Arial" w:cs="Arial" w:eastAsia="Arial" w:hAnsi="Arial"/>
                <w:sz w:val="17"/>
                <w:szCs w:val="17"/>
                <w:b w:val="1"/>
                <w:bCs w:val="1"/>
                <w:color w:val="auto"/>
              </w:rPr>
              <w:t>Year Ended December 31,</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4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Intangible asset amortization expense from continuing operations: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14"/>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Traditional Printing</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r>
      <w:tr>
        <w:trPr>
          <w:trHeight w:val="221"/>
        </w:trPr>
        <w:tc>
          <w:tcPr>
            <w:tcW w:w="5440" w:type="dxa"/>
            <w:vAlign w:val="bottom"/>
          </w:tcPr>
          <w:p>
            <w:pPr>
              <w:spacing w:after="0"/>
              <w:rPr>
                <w:sz w:val="20"/>
                <w:szCs w:val="20"/>
                <w:color w:val="auto"/>
              </w:rPr>
            </w:pPr>
            <w:r>
              <w:rPr>
                <w:rFonts w:ascii="Arial" w:cs="Arial" w:eastAsia="Arial" w:hAnsi="Arial"/>
                <w:sz w:val="17"/>
                <w:szCs w:val="17"/>
                <w:color w:val="auto"/>
              </w:rPr>
              <w:t>Digital Printing</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r>
      <w:tr>
        <w:trPr>
          <w:trHeight w:val="221"/>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Brand</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r>
      <w:tr>
        <w:trPr>
          <w:trHeight w:val="214"/>
        </w:trPr>
        <w:tc>
          <w:tcPr>
            <w:tcW w:w="544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840" w:type="dxa"/>
            <w:vAlign w:val="bottom"/>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3"/>
                <w:szCs w:val="13"/>
                <w:b w:val="1"/>
                <w:bCs w:val="1"/>
                <w:color w:val="auto"/>
              </w:rPr>
              <w:t>in millions</w:t>
            </w:r>
            <w:r>
              <w:rPr>
                <w:rFonts w:ascii="Arial" w:cs="Arial" w:eastAsia="Arial" w:hAnsi="Arial"/>
                <w:sz w:val="17"/>
                <w:szCs w:val="17"/>
                <w:b w:val="1"/>
                <w:bCs w:val="1"/>
                <w:color w:val="auto"/>
              </w:rPr>
              <w:t>)</w:t>
            </w:r>
          </w:p>
        </w:tc>
        <w:tc>
          <w:tcPr>
            <w:tcW w:w="1400" w:type="dxa"/>
            <w:vAlign w:val="bottom"/>
          </w:tcPr>
          <w:p>
            <w:pPr>
              <w:spacing w:after="0"/>
              <w:rPr>
                <w:sz w:val="19"/>
                <w:szCs w:val="19"/>
                <w:color w:val="auto"/>
              </w:rPr>
            </w:pPr>
          </w:p>
        </w:tc>
        <w:tc>
          <w:tcPr>
            <w:tcW w:w="2840" w:type="dxa"/>
            <w:vAlign w:val="bottom"/>
            <w:gridSpan w:val="4"/>
          </w:tcPr>
          <w:p>
            <w:pPr>
              <w:jc w:val="right"/>
              <w:ind w:right="33"/>
              <w:spacing w:after="0"/>
              <w:rPr>
                <w:sz w:val="20"/>
                <w:szCs w:val="20"/>
                <w:color w:val="auto"/>
              </w:rPr>
            </w:pPr>
            <w:r>
              <w:rPr>
                <w:rFonts w:ascii="Arial" w:cs="Arial" w:eastAsia="Arial" w:hAnsi="Arial"/>
                <w:sz w:val="17"/>
                <w:szCs w:val="17"/>
                <w:b w:val="1"/>
                <w:bCs w:val="1"/>
                <w:color w:val="auto"/>
              </w:rPr>
              <w:t>Year Ended December 31,</w:t>
            </w:r>
          </w:p>
        </w:tc>
        <w:tc>
          <w:tcPr>
            <w:tcW w:w="1020" w:type="dxa"/>
            <w:vAlign w:val="bottom"/>
          </w:tcPr>
          <w:p>
            <w:pPr>
              <w:spacing w:after="0"/>
              <w:rPr>
                <w:sz w:val="19"/>
                <w:szCs w:val="19"/>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7"/>
                <w:szCs w:val="17"/>
                <w:b w:val="1"/>
                <w:bCs w:val="1"/>
                <w:color w:val="auto"/>
              </w:rPr>
              <w:t>Depreciation expense from continuing operations:</w:t>
            </w:r>
          </w:p>
        </w:tc>
        <w:tc>
          <w:tcPr>
            <w:tcW w:w="140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360" w:type="dxa"/>
            <w:vAlign w:val="bottom"/>
          </w:tcPr>
          <w:p>
            <w:pPr>
              <w:spacing w:after="0"/>
              <w:rPr>
                <w:sz w:val="19"/>
                <w:szCs w:val="19"/>
                <w:color w:val="auto"/>
              </w:rPr>
            </w:pPr>
          </w:p>
        </w:tc>
        <w:tc>
          <w:tcPr>
            <w:tcW w:w="1060" w:type="dxa"/>
            <w:vAlign w:val="bottom"/>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Arial" w:cs="Arial" w:eastAsia="Arial" w:hAnsi="Arial"/>
                <w:sz w:val="17"/>
                <w:szCs w:val="17"/>
                <w:b w:val="1"/>
                <w:bCs w:val="1"/>
                <w:color w:val="auto"/>
              </w:rPr>
              <w:t>2019</w:t>
            </w: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Traditional Printing</w:t>
            </w:r>
          </w:p>
        </w:tc>
        <w:tc>
          <w:tcPr>
            <w:tcW w:w="140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14</w:t>
            </w:r>
          </w:p>
        </w:tc>
        <w:tc>
          <w:tcPr>
            <w:tcW w:w="3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19</w:t>
            </w:r>
          </w:p>
        </w:tc>
        <w:tc>
          <w:tcPr>
            <w:tcW w:w="3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28</w:t>
            </w:r>
          </w:p>
        </w:tc>
      </w:tr>
      <w:tr>
        <w:trPr>
          <w:trHeight w:val="221"/>
        </w:trPr>
        <w:tc>
          <w:tcPr>
            <w:tcW w:w="4840" w:type="dxa"/>
            <w:vAlign w:val="bottom"/>
          </w:tcPr>
          <w:p>
            <w:pPr>
              <w:spacing w:after="0"/>
              <w:rPr>
                <w:sz w:val="20"/>
                <w:szCs w:val="20"/>
                <w:color w:val="auto"/>
              </w:rPr>
            </w:pPr>
            <w:r>
              <w:rPr>
                <w:rFonts w:ascii="Arial" w:cs="Arial" w:eastAsia="Arial" w:hAnsi="Arial"/>
                <w:sz w:val="17"/>
                <w:szCs w:val="17"/>
                <w:color w:val="auto"/>
              </w:rPr>
              <w:t>Digital Printing</w:t>
            </w:r>
          </w:p>
        </w:tc>
        <w:tc>
          <w:tcPr>
            <w:tcW w:w="14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6</w:t>
            </w:r>
          </w:p>
        </w:tc>
        <w:tc>
          <w:tcPr>
            <w:tcW w:w="3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10</w:t>
            </w: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w:t>
            </w: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5</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5</w:t>
            </w: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6</w:t>
            </w:r>
          </w:p>
        </w:tc>
      </w:tr>
      <w:tr>
        <w:trPr>
          <w:trHeight w:val="221"/>
        </w:trPr>
        <w:tc>
          <w:tcPr>
            <w:tcW w:w="4840" w:type="dxa"/>
            <w:vAlign w:val="bottom"/>
          </w:tcPr>
          <w:p>
            <w:pPr>
              <w:spacing w:after="0"/>
              <w:rPr>
                <w:sz w:val="20"/>
                <w:szCs w:val="20"/>
                <w:color w:val="auto"/>
              </w:rPr>
            </w:pPr>
            <w:r>
              <w:rPr>
                <w:rFonts w:ascii="Arial" w:cs="Arial" w:eastAsia="Arial" w:hAnsi="Arial"/>
                <w:sz w:val="17"/>
                <w:szCs w:val="17"/>
                <w:color w:val="auto"/>
              </w:rPr>
              <w:t>Other</w:t>
            </w:r>
          </w:p>
        </w:tc>
        <w:tc>
          <w:tcPr>
            <w:tcW w:w="14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4</w:t>
            </w:r>
          </w:p>
        </w:tc>
      </w:tr>
      <w:tr>
        <w:trPr>
          <w:trHeight w:val="221"/>
        </w:trPr>
        <w:tc>
          <w:tcPr>
            <w:tcW w:w="48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140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26</w:t>
            </w:r>
          </w:p>
        </w:tc>
        <w:tc>
          <w:tcPr>
            <w:tcW w:w="3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48</w:t>
            </w:r>
          </w:p>
        </w:tc>
      </w:tr>
    </w:tbl>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3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ind w:left="4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380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 xml:space="preserve">Long-lived assets </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located in:</w:t>
            </w:r>
          </w:p>
        </w:tc>
        <w:tc>
          <w:tcPr>
            <w:tcW w:w="15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14"/>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The United States</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FF0FC"/>
          </w:tcPr>
          <w:p>
            <w:pPr>
              <w:spacing w:after="0"/>
              <w:rPr>
                <w:sz w:val="18"/>
                <w:szCs w:val="18"/>
                <w:color w:val="auto"/>
              </w:rPr>
            </w:pPr>
          </w:p>
        </w:tc>
      </w:tr>
      <w:tr>
        <w:trPr>
          <w:trHeight w:val="214"/>
        </w:trPr>
        <w:tc>
          <w:tcPr>
            <w:tcW w:w="380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r>
      <w:tr>
        <w:trPr>
          <w:trHeight w:val="221"/>
        </w:trPr>
        <w:tc>
          <w:tcPr>
            <w:tcW w:w="3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Canada and Latin America</w:t>
            </w:r>
          </w:p>
        </w:tc>
        <w:tc>
          <w:tcPr>
            <w:tcW w:w="15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CFF0FC"/>
            </w:tcBorders>
          </w:tcPr>
          <w:p>
            <w:pPr>
              <w:spacing w:after="0"/>
              <w:rPr>
                <w:sz w:val="19"/>
                <w:szCs w:val="19"/>
                <w:color w:val="auto"/>
              </w:rPr>
            </w:pPr>
          </w:p>
        </w:tc>
      </w:tr>
      <w:tr>
        <w:trPr>
          <w:trHeight w:val="214"/>
        </w:trPr>
        <w:tc>
          <w:tcPr>
            <w:tcW w:w="3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 xml:space="preserve">Non-U.S. countries total </w:t>
            </w:r>
            <w:r>
              <w:rPr>
                <w:rFonts w:ascii="Arial" w:cs="Arial" w:eastAsia="Arial" w:hAnsi="Arial"/>
                <w:sz w:val="14"/>
                <w:szCs w:val="14"/>
                <w:color w:val="auto"/>
              </w:rPr>
              <w:t>(2)</w:t>
            </w:r>
          </w:p>
        </w:tc>
        <w:tc>
          <w:tcPr>
            <w:tcW w:w="15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FF0FC"/>
          </w:tcPr>
          <w:p>
            <w:pPr>
              <w:spacing w:after="0"/>
              <w:rPr>
                <w:sz w:val="18"/>
                <w:szCs w:val="18"/>
                <w:color w:val="auto"/>
              </w:rPr>
            </w:pP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tabs>
          <w:tab w:leader="none" w:pos="360" w:val="left"/>
        </w:tabs>
        <w:numPr>
          <w:ilvl w:val="0"/>
          <w:numId w:val="47"/>
        </w:numPr>
        <w:rPr>
          <w:rFonts w:ascii="Arial" w:cs="Arial" w:eastAsia="Arial" w:hAnsi="Arial"/>
          <w:sz w:val="15"/>
          <w:szCs w:val="15"/>
          <w:color w:val="auto"/>
        </w:rPr>
      </w:pPr>
      <w:r>
        <w:rPr>
          <w:rFonts w:ascii="Arial" w:cs="Arial" w:eastAsia="Arial" w:hAnsi="Arial"/>
          <w:sz w:val="17"/>
          <w:szCs w:val="17"/>
          <w:color w:val="auto"/>
        </w:rPr>
        <w:t>Long-lived assets are comprised of property, plant and equipment, net.</w:t>
      </w:r>
    </w:p>
    <w:p>
      <w:pPr>
        <w:spacing w:after="0" w:line="25" w:lineRule="exact"/>
        <w:rPr>
          <w:rFonts w:ascii="Arial" w:cs="Arial" w:eastAsia="Arial" w:hAnsi="Arial"/>
          <w:sz w:val="15"/>
          <w:szCs w:val="15"/>
          <w:color w:val="auto"/>
        </w:rPr>
      </w:pPr>
    </w:p>
    <w:p>
      <w:pPr>
        <w:ind w:left="360" w:hanging="356"/>
        <w:spacing w:after="0" w:line="271" w:lineRule="auto"/>
        <w:tabs>
          <w:tab w:leader="none" w:pos="360" w:val="left"/>
        </w:tabs>
        <w:numPr>
          <w:ilvl w:val="0"/>
          <w:numId w:val="47"/>
        </w:numPr>
        <w:rPr>
          <w:rFonts w:ascii="Arial" w:cs="Arial" w:eastAsia="Arial" w:hAnsi="Arial"/>
          <w:sz w:val="15"/>
          <w:szCs w:val="15"/>
          <w:color w:val="auto"/>
        </w:rPr>
      </w:pPr>
      <w:r>
        <w:rPr>
          <w:rFonts w:ascii="Arial" w:cs="Arial" w:eastAsia="Arial" w:hAnsi="Arial"/>
          <w:sz w:val="17"/>
          <w:szCs w:val="17"/>
          <w:color w:val="auto"/>
        </w:rPr>
        <w:t>Of the total non-U.S. property, plant and equipment in 2021, $39 million are located in Brazil. Of the total non-U.S. property, plant and equipment in 2020, $43 million was located in Brazil.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10% or more of Kodak’s total net revenue in any year presented.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27: RELATED PARTY</w:t>
      </w:r>
    </w:p>
    <w:p>
      <w:pPr>
        <w:spacing w:after="0" w:line="2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Kodak’s Executive Chairman and Chief Executive Officer serves on the board of a company that purchased $3 million of products in 2019. At December 31, 2021, the company owed Kodak $0 million.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28: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Flexographic Packaging segment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Kodak include the former Flexographic Packaging segment comprised of Kodak’s Flexographic Packaging Business (“FPD”).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336" w:right="399" w:bottom="1440" w:gutter="0" w:footer="0" w:header="0"/>
        </w:sectPr>
      </w:pPr>
    </w:p>
    <w:bookmarkStart w:id="128" w:name="page129"/>
    <w:bookmarkEnd w:id="128"/>
    <w:p>
      <w:pPr>
        <w:spacing w:after="0" w:line="275" w:lineRule="auto"/>
        <w:rPr>
          <w:sz w:val="20"/>
          <w:szCs w:val="20"/>
          <w:color w:val="auto"/>
        </w:rPr>
      </w:pPr>
      <w:r>
        <w:rPr>
          <w:rFonts w:ascii="Arial" w:cs="Arial" w:eastAsia="Arial" w:hAnsi="Arial"/>
          <w:sz w:val="16"/>
          <w:szCs w:val="16"/>
          <w:color w:val="auto"/>
        </w:rPr>
        <w:t>Kodak consummated the sale of certain assets of FPD to MIR Bidco, SA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w:t>
      </w:r>
    </w:p>
    <w:p>
      <w:pPr>
        <w:spacing w:after="0" w:line="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divested business has the right to use Kodak’s corporate brand for a 10-year period related to Covered Products (as defined in the SAPA) for no additional consideration. Therefore, $10 million of consideration received for the sale of FPD was recognized as deferred revenue related to the brand license. The deferred revenue is reported in Long-term liabilities in the Consolidated Statement of Financial Condition and will be recognized as revenue over the term of the license. Proceeds were allocated between the sale of FPD and the brand license based on their relative fair values.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Kodak recognized an after- tax gain on the sale of FPD of $212 million in the year ended December 31, 2019.</w:t>
      </w:r>
    </w:p>
    <w:p>
      <w:pPr>
        <w:spacing w:after="0" w:line="221" w:lineRule="exact"/>
        <w:rPr>
          <w:sz w:val="20"/>
          <w:szCs w:val="20"/>
          <w:color w:val="auto"/>
        </w:rPr>
      </w:pPr>
    </w:p>
    <w:p>
      <w:pPr>
        <w:jc w:val="both"/>
        <w:ind w:right="440"/>
        <w:spacing w:after="0" w:line="271" w:lineRule="auto"/>
        <w:rPr>
          <w:sz w:val="20"/>
          <w:szCs w:val="20"/>
          <w:color w:val="auto"/>
        </w:rPr>
      </w:pPr>
      <w:r>
        <w:rPr>
          <w:rFonts w:ascii="Arial" w:cs="Arial" w:eastAsia="Arial" w:hAnsi="Arial"/>
          <w:sz w:val="17"/>
          <w:szCs w:val="17"/>
          <w:color w:val="auto"/>
        </w:rPr>
        <w:t>Simultaneously with entering into the SAPA, the Company and the Purchaser entered into an Earn-out Agreement, pursuant to which the Company will be entitled to an aggregate of up to $35 million in additional cash consideration if FPD achieves agreed EBITDA targets for 2018 ($10 million earn-out), 2019 ($10 million earn-out) and 2020 ($15 million earn-out). None of the EBITDA targets were achieved.</w:t>
      </w:r>
    </w:p>
    <w:p>
      <w:pPr>
        <w:spacing w:after="0" w:line="171" w:lineRule="exact"/>
        <w:rPr>
          <w:sz w:val="20"/>
          <w:szCs w:val="20"/>
          <w:color w:val="auto"/>
        </w:rPr>
      </w:pPr>
    </w:p>
    <w:p>
      <w:pPr>
        <w:jc w:val="both"/>
        <w:ind w:right="260"/>
        <w:spacing w:after="0" w:line="271" w:lineRule="auto"/>
        <w:rPr>
          <w:sz w:val="20"/>
          <w:szCs w:val="20"/>
          <w:color w:val="auto"/>
        </w:rPr>
      </w:pPr>
      <w:r>
        <w:rPr>
          <w:rFonts w:ascii="Arial" w:cs="Arial" w:eastAsia="Arial" w:hAnsi="Arial"/>
          <w:sz w:val="17"/>
          <w:szCs w:val="17"/>
          <w:color w:val="auto"/>
        </w:rPr>
        <w:t>On April 16, 2019 the Purchaser paid Kodak $15 million as a prepayment for services and products to be provided by Kodak to the Purchaser. The Purchaser had the option to satisfy its payment obligations to Kodak through a reduction of the prepayment balance or in cash. As of December 31, 2021, the remaining prepayment balance was $0 million.</w:t>
      </w:r>
    </w:p>
    <w:p>
      <w:pPr>
        <w:spacing w:after="0" w:line="17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results of operations of FPD are classified as discontinued operations in the Consolidated Statement of Operations. Direct operating expenses of the discontinued operations are included in the results of discontinued operations. Indirect expenses that were historically allocated to the discontinued operations have been included in the results of continuing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of the Business for the year ended December 31, 2019 are presented below:</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Year Ended</w:t>
            </w:r>
          </w:p>
        </w:tc>
      </w:tr>
      <w:tr>
        <w:trPr>
          <w:trHeight w:val="221"/>
        </w:trPr>
        <w:tc>
          <w:tcPr>
            <w:tcW w:w="7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December 31,</w:t>
            </w:r>
          </w:p>
        </w:tc>
      </w:tr>
      <w:tr>
        <w:trPr>
          <w:trHeight w:val="227"/>
        </w:trPr>
        <w:tc>
          <w:tcPr>
            <w:tcW w:w="7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213"/>
              <w:spacing w:after="0"/>
              <w:rPr>
                <w:sz w:val="20"/>
                <w:szCs w:val="20"/>
                <w:color w:val="auto"/>
              </w:rPr>
            </w:pPr>
            <w:r>
              <w:rPr>
                <w:rFonts w:ascii="Arial" w:cs="Arial" w:eastAsia="Arial" w:hAnsi="Arial"/>
                <w:sz w:val="17"/>
                <w:szCs w:val="17"/>
                <w:b w:val="1"/>
                <w:bCs w:val="1"/>
                <w:color w:val="auto"/>
                <w:w w:val="89"/>
              </w:rPr>
              <w:t>2019</w:t>
            </w:r>
          </w:p>
        </w:tc>
        <w:tc>
          <w:tcPr>
            <w:tcW w:w="80" w:type="dxa"/>
            <w:vAlign w:val="bottom"/>
            <w:tcBorders>
              <w:bottom w:val="single" w:sz="8" w:color="CFF0FC"/>
            </w:tcBorders>
          </w:tcPr>
          <w:p>
            <w:pPr>
              <w:spacing w:after="0"/>
              <w:rPr>
                <w:sz w:val="19"/>
                <w:szCs w:val="19"/>
                <w:color w:val="auto"/>
              </w:rPr>
            </w:pPr>
          </w:p>
        </w:tc>
      </w:tr>
      <w:tr>
        <w:trPr>
          <w:trHeight w:val="214"/>
        </w:trPr>
        <w:tc>
          <w:tcPr>
            <w:tcW w:w="70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FF0FC"/>
          </w:tcPr>
          <w:p>
            <w:pPr>
              <w:spacing w:after="0"/>
              <w:rPr>
                <w:sz w:val="18"/>
                <w:szCs w:val="18"/>
                <w:color w:val="auto"/>
              </w:rPr>
            </w:pPr>
          </w:p>
        </w:tc>
      </w:tr>
      <w:tr>
        <w:trPr>
          <w:trHeight w:val="214"/>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7000" w:type="dxa"/>
            <w:vAlign w:val="bottom"/>
            <w:shd w:val="clear" w:color="auto" w:fill="CFF0FC"/>
          </w:tcPr>
          <w:p>
            <w:pPr>
              <w:spacing w:after="0"/>
              <w:rPr>
                <w:sz w:val="20"/>
                <w:szCs w:val="20"/>
                <w:color w:val="auto"/>
              </w:rPr>
            </w:pPr>
            <w:r>
              <w:rPr>
                <w:rFonts w:ascii="Arial" w:cs="Arial" w:eastAsia="Arial" w:hAnsi="Arial"/>
                <w:sz w:val="17"/>
                <w:szCs w:val="17"/>
                <w:color w:val="auto"/>
              </w:rPr>
              <w:t>Cost of sales</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FF0FC"/>
          </w:tcPr>
          <w:p>
            <w:pPr>
              <w:spacing w:after="0"/>
              <w:rPr>
                <w:sz w:val="19"/>
                <w:szCs w:val="19"/>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r>
      <w:tr>
        <w:trPr>
          <w:trHeight w:val="221"/>
        </w:trPr>
        <w:tc>
          <w:tcPr>
            <w:tcW w:w="70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r>
      <w:tr>
        <w:trPr>
          <w:trHeight w:val="221"/>
        </w:trPr>
        <w:tc>
          <w:tcPr>
            <w:tcW w:w="7000" w:type="dxa"/>
            <w:vAlign w:val="bottom"/>
            <w:shd w:val="clear" w:color="auto" w:fill="CFF0FC"/>
          </w:tcPr>
          <w:p>
            <w:pPr>
              <w:spacing w:after="0"/>
              <w:rPr>
                <w:sz w:val="20"/>
                <w:szCs w:val="20"/>
                <w:color w:val="auto"/>
              </w:rPr>
            </w:pPr>
            <w:r>
              <w:rPr>
                <w:rFonts w:ascii="Arial" w:cs="Arial" w:eastAsia="Arial" w:hAnsi="Arial"/>
                <w:sz w:val="17"/>
                <w:szCs w:val="17"/>
                <w:color w:val="auto"/>
              </w:rPr>
              <w:t>Gain on divestiture</w:t>
            </w:r>
          </w:p>
        </w:tc>
        <w:tc>
          <w:tcPr>
            <w:tcW w:w="2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(214)</w:t>
            </w:r>
          </w:p>
        </w:tc>
      </w:tr>
      <w:tr>
        <w:trPr>
          <w:trHeight w:val="214"/>
        </w:trPr>
        <w:tc>
          <w:tcPr>
            <w:tcW w:w="7000" w:type="dxa"/>
            <w:vAlign w:val="bottom"/>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80" w:type="dxa"/>
            <w:vAlign w:val="bottom"/>
          </w:tcPr>
          <w:p>
            <w:pPr>
              <w:spacing w:after="0"/>
              <w:rPr>
                <w:sz w:val="18"/>
                <w:szCs w:val="18"/>
                <w:color w:val="auto"/>
              </w:rPr>
            </w:pPr>
          </w:p>
        </w:tc>
      </w:tr>
      <w:tr>
        <w:trPr>
          <w:trHeight w:val="221"/>
        </w:trPr>
        <w:tc>
          <w:tcPr>
            <w:tcW w:w="700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r>
      <w:tr>
        <w:trPr>
          <w:trHeight w:val="214"/>
        </w:trPr>
        <w:tc>
          <w:tcPr>
            <w:tcW w:w="7000" w:type="dxa"/>
            <w:vAlign w:val="bottom"/>
          </w:tcPr>
          <w:p>
            <w:pPr>
              <w:spacing w:after="0"/>
              <w:rPr>
                <w:sz w:val="20"/>
                <w:szCs w:val="20"/>
                <w:color w:val="auto"/>
              </w:rPr>
            </w:pPr>
            <w:r>
              <w:rPr>
                <w:rFonts w:ascii="Arial" w:cs="Arial" w:eastAsia="Arial" w:hAnsi="Arial"/>
                <w:sz w:val="17"/>
                <w:szCs w:val="17"/>
                <w:color w:val="auto"/>
              </w:rPr>
              <w:t>Earnings (loss) from discontinued operations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Interest was allocated to discontinued operations based on an estimated debt paydown of the Term Credit Agreement.</w:t>
      </w:r>
    </w:p>
    <w:p>
      <w:pPr>
        <w:spacing w:after="0" w:line="24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Earnings from discontinued operations in the Consolidated Statement of Operations for December 31, 2020 includes earnings of $3 million associated with businesses disposed of in previous years.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9" w:name="page130"/>
    <w:bookmarkEnd w:id="129"/>
    <w:p>
      <w:pPr>
        <w:ind w:right="1060"/>
        <w:spacing w:after="0" w:line="331"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200" w:lineRule="exact"/>
        <w:rPr>
          <w:sz w:val="20"/>
          <w:szCs w:val="20"/>
          <w:color w:val="auto"/>
        </w:rPr>
      </w:pPr>
    </w:p>
    <w:p>
      <w:pPr>
        <w:spacing w:after="0" w:line="260"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Executive Chairman and Chief Executive Officer and Kodak’s Chief Financial Officer, as appropriate, to allow timely decisions regarding required disclosure. Kodak’s management, with participation of Kodak’s Executive Chairman and Chief Executive Officer and Kodak’s Chief Financial Officer, has evaluated the effectiveness of Kodak’s disclosure controls and procedures as of the end of the fiscal year covered by this Annual Report on Form 10-K. Kodak’s Executive Chairman and Chief Executive Officer and Kodak’s Chief Financial Officer have concluded that, as of the end of the period covered by this Annual Report on Form 10-K, Kodak’s disclosure controls and procedures (as defined in Rules 13a-15(e) and 15d-15(e) under the Exchange Act) were effective.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6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51"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Management assessed the effectiveness of Kodak’s internal control over financial reporting as of December 31, 2021.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2021. The effectiveness of Kodak’s internal control over financial reporting as of December 31, 2021 has been audited by Ernst &amp; Young LLP, Kodak’s independent registered public accounting firm, as stated in their report, refer to Item 8. Financial Statement and Supplementary Data.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99" w:lineRule="exact"/>
        <w:rPr>
          <w:sz w:val="20"/>
          <w:szCs w:val="20"/>
          <w:color w:val="auto"/>
        </w:rPr>
      </w:pPr>
    </w:p>
    <w:p>
      <w:pPr>
        <w:ind w:right="3260"/>
        <w:spacing w:after="0" w:line="294" w:lineRule="auto"/>
        <w:rPr>
          <w:sz w:val="20"/>
          <w:szCs w:val="20"/>
          <w:color w:val="auto"/>
        </w:rPr>
      </w:pPr>
      <w:r>
        <w:rPr>
          <w:rFonts w:ascii="Arial" w:cs="Arial" w:eastAsia="Arial" w:hAnsi="Arial"/>
          <w:sz w:val="17"/>
          <w:szCs w:val="17"/>
          <w:b w:val="1"/>
          <w:bCs w:val="1"/>
          <w:color w:val="auto"/>
        </w:rPr>
        <w:t xml:space="preserve">ITEM 9C. DISCLOSURE REGARDING FOREIGN JURISDICTIONS THAT PREVENT INSPECTIONS </w:t>
      </w:r>
      <w:r>
        <w:rPr>
          <w:rFonts w:ascii="Arial" w:cs="Arial" w:eastAsia="Arial" w:hAnsi="Arial"/>
          <w:sz w:val="17"/>
          <w:szCs w:val="17"/>
          <w:color w:val="auto"/>
        </w:rPr>
        <w:t>Not applicable.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0" w:name="page131"/>
    <w:bookmarkEnd w:id="130"/>
    <w:p>
      <w:pPr>
        <w:jc w:val="center"/>
        <w:ind w:right="-119"/>
        <w:spacing w:after="0"/>
        <w:rPr>
          <w:sz w:val="20"/>
          <w:szCs w:val="20"/>
          <w:color w:val="auto"/>
        </w:rPr>
      </w:pPr>
      <w:r>
        <w:rPr>
          <w:rFonts w:ascii="Arial" w:cs="Arial" w:eastAsia="Arial" w:hAnsi="Arial"/>
          <w:sz w:val="17"/>
          <w:szCs w:val="17"/>
          <w:b w:val="1"/>
          <w:bCs w:val="1"/>
          <w:color w:val="auto"/>
        </w:rPr>
        <w:t>PART III</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information required by Item 10 regarding directors is incorporated by reference from the information under the caption "Board of Directors and Corporate Governance - Director Nominees" in the Company's Notice of 2022 Annual Meeting and Proxy Statement (the “Proxy Statement”), which will be filed within 120 days after December 31, 2021.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under the caption "Information About Its Executive Officers". The information required by Item 10 regarding compliance with Section 16(a) of the Securities Exchange Act of 1934 is incorporated by reference, if necessary, from the information under the caption "Security Ownership of Certain Beneficial Owners and Management – Delinquent Section 16(a) Reports" in the Proxy Statement.</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Arial" w:cs="Arial" w:eastAsia="Arial" w:hAnsi="Arial"/>
          <w:sz w:val="17"/>
          <w:szCs w:val="17"/>
          <w:u w:val="single" w:color="auto"/>
          <w:color w:val="auto"/>
        </w:rPr>
        <w:t>http://investor.kodak.com/corporate-governance/supporting-documents</w:t>
      </w:r>
      <w:r>
        <w:rPr>
          <w:rFonts w:ascii="Arial" w:cs="Arial" w:eastAsia="Arial" w:hAnsi="Arial"/>
          <w:sz w:val="17"/>
          <w:szCs w:val="17"/>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3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information required by Item 11 is incorporated herein by reference from the information under the following captions in the Proxy Statement: "Executive Compensation”, “Director Compensation” and “Board of Directors and Corporate Governance – Compensation, Nominating and Governance Committee Interlocks and Insider Participation.”</w:t>
      </w:r>
    </w:p>
    <w:p>
      <w:pPr>
        <w:spacing w:after="0" w:line="199"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Item 12 is incorporated by reference from the information under the captions "Security Ownership of Certain Beneficial Owners and Management" in the Proxy Statement. “Securities Authorized for Issuance Under Equity Compensation Plans” is shown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Information as of December 31, 2021, regarding the Company’s equity compensation plans is summarized in the following table: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0"/>
              </w:rPr>
              <w:t>Number of Securities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Number of Securities</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auto"/>
                <w:w w:val="89"/>
              </w:rPr>
              <w:t>to be Issued Upon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40"/>
              <w:spacing w:after="0" w:line="143" w:lineRule="exact"/>
              <w:rPr>
                <w:sz w:val="20"/>
                <w:szCs w:val="20"/>
                <w:color w:val="auto"/>
              </w:rPr>
            </w:pPr>
            <w:r>
              <w:rPr>
                <w:rFonts w:ascii="Arial" w:cs="Arial" w:eastAsia="Arial" w:hAnsi="Arial"/>
                <w:sz w:val="14"/>
                <w:szCs w:val="14"/>
                <w:color w:val="auto"/>
                <w:w w:val="90"/>
              </w:rPr>
              <w:t>Weighted-</w:t>
            </w:r>
          </w:p>
        </w:tc>
        <w:tc>
          <w:tcPr>
            <w:tcW w:w="1720" w:type="dxa"/>
            <w:vAlign w:val="bottom"/>
          </w:tcPr>
          <w:p>
            <w:pPr>
              <w:jc w:val="center"/>
              <w:spacing w:after="0" w:line="143" w:lineRule="exact"/>
              <w:rPr>
                <w:sz w:val="20"/>
                <w:szCs w:val="20"/>
                <w:color w:val="auto"/>
              </w:rPr>
            </w:pPr>
            <w:r>
              <w:rPr>
                <w:rFonts w:ascii="Arial" w:cs="Arial" w:eastAsia="Arial" w:hAnsi="Arial"/>
                <w:sz w:val="14"/>
                <w:szCs w:val="14"/>
                <w:color w:val="auto"/>
                <w:w w:val="93"/>
              </w:rPr>
              <w:t>Remaining Available for</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auto"/>
                <w:w w:val="89"/>
              </w:rPr>
              <w:t>Exercise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40"/>
              <w:spacing w:after="0" w:line="143" w:lineRule="exact"/>
              <w:rPr>
                <w:sz w:val="20"/>
                <w:szCs w:val="20"/>
                <w:color w:val="auto"/>
              </w:rPr>
            </w:pPr>
            <w:r>
              <w:rPr>
                <w:rFonts w:ascii="Arial" w:cs="Arial" w:eastAsia="Arial" w:hAnsi="Arial"/>
                <w:sz w:val="14"/>
                <w:szCs w:val="14"/>
                <w:color w:val="auto"/>
                <w:w w:val="88"/>
              </w:rPr>
              <w:t>Average</w:t>
            </w:r>
          </w:p>
        </w:tc>
        <w:tc>
          <w:tcPr>
            <w:tcW w:w="1720" w:type="dxa"/>
            <w:vAlign w:val="bottom"/>
          </w:tcPr>
          <w:p>
            <w:pPr>
              <w:jc w:val="center"/>
              <w:spacing w:after="0" w:line="143" w:lineRule="exact"/>
              <w:rPr>
                <w:sz w:val="20"/>
                <w:szCs w:val="20"/>
                <w:color w:val="auto"/>
              </w:rPr>
            </w:pPr>
            <w:r>
              <w:rPr>
                <w:rFonts w:ascii="Arial" w:cs="Arial" w:eastAsia="Arial" w:hAnsi="Arial"/>
                <w:sz w:val="14"/>
                <w:szCs w:val="14"/>
                <w:color w:val="auto"/>
                <w:w w:val="89"/>
              </w:rPr>
              <w:t>Future Issuance Under Equity</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auto"/>
                <w:w w:val="89"/>
              </w:rPr>
              <w:t>Outstanding Options,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40"/>
              <w:spacing w:after="0" w:line="143" w:lineRule="exact"/>
              <w:rPr>
                <w:sz w:val="20"/>
                <w:szCs w:val="20"/>
                <w:color w:val="auto"/>
              </w:rPr>
            </w:pPr>
            <w:r>
              <w:rPr>
                <w:rFonts w:ascii="Arial" w:cs="Arial" w:eastAsia="Arial" w:hAnsi="Arial"/>
                <w:sz w:val="14"/>
                <w:szCs w:val="14"/>
                <w:color w:val="auto"/>
                <w:w w:val="89"/>
              </w:rPr>
              <w:t>Exercise Price of</w:t>
            </w:r>
          </w:p>
        </w:tc>
        <w:tc>
          <w:tcPr>
            <w:tcW w:w="1720" w:type="dxa"/>
            <w:vAlign w:val="bottom"/>
          </w:tcPr>
          <w:p>
            <w:pPr>
              <w:jc w:val="center"/>
              <w:spacing w:after="0" w:line="143" w:lineRule="exact"/>
              <w:rPr>
                <w:sz w:val="20"/>
                <w:szCs w:val="20"/>
                <w:color w:val="auto"/>
              </w:rPr>
            </w:pPr>
            <w:r>
              <w:rPr>
                <w:rFonts w:ascii="Arial" w:cs="Arial" w:eastAsia="Arial" w:hAnsi="Arial"/>
                <w:sz w:val="14"/>
                <w:szCs w:val="14"/>
                <w:color w:val="auto"/>
                <w:w w:val="88"/>
              </w:rPr>
              <w:t>Compensation Plans</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auto"/>
                <w:w w:val="90"/>
              </w:rPr>
              <w:t>Stock Units and Restricted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60"/>
              <w:spacing w:after="0" w:line="143" w:lineRule="exact"/>
              <w:rPr>
                <w:sz w:val="20"/>
                <w:szCs w:val="20"/>
                <w:color w:val="auto"/>
              </w:rPr>
            </w:pPr>
            <w:r>
              <w:rPr>
                <w:rFonts w:ascii="Arial" w:cs="Arial" w:eastAsia="Arial" w:hAnsi="Arial"/>
                <w:sz w:val="14"/>
                <w:szCs w:val="14"/>
                <w:color w:val="auto"/>
                <w:w w:val="90"/>
              </w:rPr>
              <w:t>Outstanding</w:t>
            </w:r>
          </w:p>
        </w:tc>
        <w:tc>
          <w:tcPr>
            <w:tcW w:w="1720" w:type="dxa"/>
            <w:vAlign w:val="bottom"/>
          </w:tcPr>
          <w:p>
            <w:pPr>
              <w:jc w:val="center"/>
              <w:spacing w:after="0" w:line="143" w:lineRule="exact"/>
              <w:rPr>
                <w:sz w:val="20"/>
                <w:szCs w:val="20"/>
                <w:color w:val="auto"/>
              </w:rPr>
            </w:pPr>
            <w:r>
              <w:rPr>
                <w:rFonts w:ascii="Arial" w:cs="Arial" w:eastAsia="Arial" w:hAnsi="Arial"/>
                <w:sz w:val="14"/>
                <w:szCs w:val="14"/>
                <w:color w:val="auto"/>
                <w:w w:val="91"/>
              </w:rPr>
              <w:t>(Excluding Securities</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Category</w:t>
            </w:r>
          </w:p>
        </w:tc>
        <w:tc>
          <w:tcPr>
            <w:tcW w:w="1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 Awards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color w:val="auto"/>
                <w:w w:val="91"/>
              </w:rPr>
              <w:t xml:space="preserve">Options </w:t>
            </w:r>
            <w:r>
              <w:rPr>
                <w:rFonts w:ascii="Arial" w:cs="Arial" w:eastAsia="Arial" w:hAnsi="Arial"/>
                <w:sz w:val="11"/>
                <w:szCs w:val="11"/>
                <w:color w:val="auto"/>
                <w:w w:val="91"/>
              </w:rPr>
              <w:t>(1)</w:t>
            </w:r>
          </w:p>
        </w:tc>
        <w:tc>
          <w:tcPr>
            <w:tcW w:w="2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 xml:space="preserve">Reflected in Column (a)) </w:t>
            </w:r>
            <w:r>
              <w:rPr>
                <w:rFonts w:ascii="Arial" w:cs="Arial" w:eastAsia="Arial" w:hAnsi="Arial"/>
                <w:sz w:val="11"/>
                <w:szCs w:val="11"/>
                <w:color w:val="auto"/>
                <w:w w:val="92"/>
              </w:rPr>
              <w:t>(2)</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14"/>
                <w:szCs w:val="14"/>
                <w:color w:val="auto"/>
              </w:rPr>
              <w:t>(3)</w:t>
            </w:r>
          </w:p>
        </w:tc>
        <w:tc>
          <w:tcPr>
            <w:tcW w:w="16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81"/>
              </w:rPr>
              <w:t>(a)</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146"/>
              <w:spacing w:after="0" w:line="149" w:lineRule="exact"/>
              <w:rPr>
                <w:sz w:val="20"/>
                <w:szCs w:val="20"/>
                <w:color w:val="auto"/>
              </w:rPr>
            </w:pPr>
            <w:r>
              <w:rPr>
                <w:rFonts w:ascii="Arial" w:cs="Arial" w:eastAsia="Arial" w:hAnsi="Arial"/>
                <w:sz w:val="14"/>
                <w:szCs w:val="14"/>
                <w:color w:val="auto"/>
                <w:w w:val="93"/>
              </w:rPr>
              <w:t>(b)</w:t>
            </w:r>
          </w:p>
        </w:tc>
        <w:tc>
          <w:tcPr>
            <w:tcW w:w="240" w:type="dxa"/>
            <w:vAlign w:val="bottom"/>
          </w:tcPr>
          <w:p>
            <w:pPr>
              <w:spacing w:after="0"/>
              <w:rPr>
                <w:sz w:val="12"/>
                <w:szCs w:val="12"/>
                <w:color w:val="auto"/>
              </w:rPr>
            </w:pPr>
          </w:p>
        </w:tc>
        <w:tc>
          <w:tcPr>
            <w:tcW w:w="17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14"/>
        </w:trPr>
        <w:tc>
          <w:tcPr>
            <w:tcW w:w="5700" w:type="dxa"/>
            <w:vAlign w:val="bottom"/>
            <w:gridSpan w:val="2"/>
            <w:vMerge w:val="continue"/>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8,107,326</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7.29</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4,988,989</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740" w:right="20" w:hanging="371"/>
        <w:spacing w:after="0" w:line="271" w:lineRule="auto"/>
        <w:tabs>
          <w:tab w:leader="none" w:pos="740" w:val="left"/>
        </w:tabs>
        <w:numPr>
          <w:ilvl w:val="0"/>
          <w:numId w:val="48"/>
        </w:numPr>
        <w:rPr>
          <w:rFonts w:ascii="Arial" w:cs="Arial" w:eastAsia="Arial" w:hAnsi="Arial"/>
          <w:sz w:val="15"/>
          <w:szCs w:val="15"/>
          <w:color w:val="auto"/>
        </w:rPr>
      </w:pPr>
      <w:r>
        <w:rPr>
          <w:rFonts w:ascii="Arial" w:cs="Arial" w:eastAsia="Arial" w:hAnsi="Arial"/>
          <w:sz w:val="17"/>
          <w:szCs w:val="17"/>
          <w:color w:val="auto"/>
        </w:rPr>
        <w:t>Represents the weighted-average exercise price of outstanding stock options. The weighted-average exercise price does not take into account the shares issuable upon vesting of outstanding restricted stock units and restricted stock awards under the First Amendment to the Amended and Restated 2013 Omnibus Incentive Plan (the “Plan”), which do not have an exercise price.</w:t>
      </w:r>
    </w:p>
    <w:p>
      <w:pPr>
        <w:spacing w:after="0" w:line="197" w:lineRule="exact"/>
        <w:rPr>
          <w:rFonts w:ascii="Arial" w:cs="Arial" w:eastAsia="Arial" w:hAnsi="Arial"/>
          <w:sz w:val="15"/>
          <w:szCs w:val="15"/>
          <w:color w:val="auto"/>
        </w:rPr>
      </w:pPr>
    </w:p>
    <w:p>
      <w:pPr>
        <w:ind w:left="740" w:right="280" w:hanging="371"/>
        <w:spacing w:after="0" w:line="286" w:lineRule="auto"/>
        <w:tabs>
          <w:tab w:leader="none" w:pos="740" w:val="left"/>
        </w:tabs>
        <w:numPr>
          <w:ilvl w:val="0"/>
          <w:numId w:val="48"/>
        </w:numPr>
        <w:rPr>
          <w:rFonts w:ascii="Arial" w:cs="Arial" w:eastAsia="Arial" w:hAnsi="Arial"/>
          <w:sz w:val="15"/>
          <w:szCs w:val="15"/>
          <w:color w:val="auto"/>
        </w:rPr>
      </w:pPr>
      <w:r>
        <w:rPr>
          <w:rFonts w:ascii="Arial" w:cs="Arial" w:eastAsia="Arial" w:hAnsi="Arial"/>
          <w:sz w:val="17"/>
          <w:szCs w:val="17"/>
          <w:color w:val="auto"/>
        </w:rPr>
        <w:t>For the purposes of the number of shares available under the Plan, each stock option awarded prior to May 20, 2021 counts as a fraction of a share, based on the financial value of the stock option relative to a share.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131" w:name="page132"/>
    <w:bookmarkEnd w:id="131"/>
    <w:p>
      <w:pPr>
        <w:ind w:left="740" w:hanging="371"/>
        <w:spacing w:after="0" w:line="266" w:lineRule="auto"/>
        <w:tabs>
          <w:tab w:leader="none" w:pos="740" w:val="left"/>
        </w:tabs>
        <w:numPr>
          <w:ilvl w:val="0"/>
          <w:numId w:val="49"/>
        </w:numPr>
        <w:rPr>
          <w:rFonts w:ascii="Arial" w:cs="Arial" w:eastAsia="Arial" w:hAnsi="Arial"/>
          <w:sz w:val="15"/>
          <w:szCs w:val="15"/>
          <w:b w:val="1"/>
          <w:bCs w:val="1"/>
          <w:color w:val="auto"/>
        </w:rPr>
      </w:pPr>
      <w:r>
        <w:rPr>
          <w:rFonts w:ascii="Arial" w:cs="Arial" w:eastAsia="Arial" w:hAnsi="Arial"/>
          <w:sz w:val="17"/>
          <w:szCs w:val="17"/>
          <w:color w:val="auto"/>
        </w:rPr>
        <w:t>All shares covered by the Plan are now being treated as approved by shareholders based on the approval by shareholders of the amendment and restatement of the Plan on May 20, 2020, and the subsequent amendment of the Plan on May 19, 2021. The shares originally covered by the 2013 Omnibus Incentive Plan (the “Original Plan”) were previously reported as not approved by shareholders because the Original Plan had been approved by the Bankruptcy Court pursuant to the Plan of Reorganization.</w:t>
      </w:r>
    </w:p>
    <w:p>
      <w:pPr>
        <w:spacing w:after="0" w:line="195"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191"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Item 14 is incorporated by reference from the information under the caption “Principal Accounting Fees and Services” in the Proxy Statement.</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335" w:right="4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FINANCIAL STATEMENT SCHEDULES, EXHIBITS</w:t>
      </w:r>
    </w:p>
    <w:p>
      <w:pPr>
        <w:spacing w:after="0" w:line="253" w:lineRule="exact"/>
        <w:rPr>
          <w:sz w:val="20"/>
          <w:szCs w:val="20"/>
          <w:color w:val="auto"/>
        </w:rPr>
      </w:pPr>
    </w:p>
    <w:p>
      <w:pPr>
        <w:ind w:left="740" w:hanging="371"/>
        <w:spacing w:after="0"/>
        <w:tabs>
          <w:tab w:leader="none" w:pos="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Valuation and qualifying accounts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Schedule II</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3500" w:type="dxa"/>
            <w:vAlign w:val="bottom"/>
          </w:tcPr>
          <w:p>
            <w:pPr>
              <w:spacing w:after="0"/>
              <w:rPr>
                <w:sz w:val="24"/>
                <w:szCs w:val="24"/>
                <w:color w:val="auto"/>
              </w:rPr>
            </w:pPr>
          </w:p>
        </w:tc>
        <w:tc>
          <w:tcPr>
            <w:tcW w:w="3900" w:type="dxa"/>
            <w:vAlign w:val="bottom"/>
            <w:gridSpan w:val="5"/>
          </w:tcPr>
          <w:p>
            <w:pPr>
              <w:jc w:val="center"/>
              <w:ind w:left="1013"/>
              <w:spacing w:after="0"/>
              <w:rPr>
                <w:sz w:val="20"/>
                <w:szCs w:val="20"/>
                <w:color w:val="auto"/>
              </w:rPr>
            </w:pPr>
            <w:r>
              <w:rPr>
                <w:rFonts w:ascii="Arial" w:cs="Arial" w:eastAsia="Arial" w:hAnsi="Arial"/>
                <w:sz w:val="17"/>
                <w:szCs w:val="17"/>
                <w:b w:val="1"/>
                <w:bCs w:val="1"/>
                <w:color w:val="auto"/>
                <w:w w:val="93"/>
              </w:rPr>
              <w:t>Eastman Kodak Company</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500" w:type="dxa"/>
            <w:vAlign w:val="bottom"/>
          </w:tcPr>
          <w:p>
            <w:pPr>
              <w:spacing w:after="0"/>
              <w:rPr>
                <w:sz w:val="19"/>
                <w:szCs w:val="19"/>
                <w:color w:val="auto"/>
              </w:rPr>
            </w:pPr>
          </w:p>
        </w:tc>
        <w:tc>
          <w:tcPr>
            <w:tcW w:w="3900" w:type="dxa"/>
            <w:vAlign w:val="bottom"/>
            <w:gridSpan w:val="5"/>
          </w:tcPr>
          <w:p>
            <w:pPr>
              <w:jc w:val="center"/>
              <w:ind w:left="1013"/>
              <w:spacing w:after="0"/>
              <w:rPr>
                <w:sz w:val="20"/>
                <w:szCs w:val="20"/>
                <w:color w:val="auto"/>
              </w:rPr>
            </w:pPr>
            <w:r>
              <w:rPr>
                <w:rFonts w:ascii="Arial" w:cs="Arial" w:eastAsia="Arial" w:hAnsi="Arial"/>
                <w:sz w:val="17"/>
                <w:szCs w:val="17"/>
                <w:b w:val="1"/>
                <w:bCs w:val="1"/>
                <w:color w:val="auto"/>
                <w:w w:val="92"/>
              </w:rPr>
              <w:t>Valuation and Qualifying Accounts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6"/>
        </w:trPr>
        <w:tc>
          <w:tcPr>
            <w:tcW w:w="3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Beginning</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b w:val="1"/>
                <w:bCs w:val="1"/>
                <w:color w:val="auto"/>
                <w:w w:val="97"/>
              </w:rPr>
              <w:t>Net Deductions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r>
      <w:tr>
        <w:trPr>
          <w:trHeight w:val="166"/>
        </w:trPr>
        <w:tc>
          <w:tcPr>
            <w:tcW w:w="3500" w:type="dxa"/>
            <w:vAlign w:val="bottom"/>
          </w:tcPr>
          <w:p>
            <w:pPr>
              <w:spacing w:after="0"/>
              <w:rPr>
                <w:sz w:val="20"/>
                <w:szCs w:val="20"/>
                <w:color w:val="auto"/>
              </w:rPr>
            </w:pPr>
            <w:r>
              <w:rPr>
                <w:rFonts w:ascii="Arial" w:cs="Arial" w:eastAsia="Arial" w:hAnsi="Arial"/>
                <w:sz w:val="14"/>
                <w:szCs w:val="14"/>
                <w:color w:val="auto"/>
              </w:rPr>
              <w:t>(in millions)</w:t>
            </w: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Balance</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Additions</w:t>
            </w: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r>
      <w:tr>
        <w:trPr>
          <w:trHeight w:val="214"/>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2021</w:t>
            </w:r>
          </w:p>
        </w:tc>
        <w:tc>
          <w:tcPr>
            <w:tcW w:w="2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934</w:t>
            </w:r>
          </w:p>
        </w:tc>
        <w:tc>
          <w:tcPr>
            <w:tcW w:w="100" w:type="dxa"/>
            <w:vAlign w:val="bottom"/>
            <w:shd w:val="clear" w:color="auto" w:fill="CFF0FC"/>
          </w:tcPr>
          <w:p>
            <w:pPr>
              <w:spacing w:after="0"/>
              <w:rPr>
                <w:sz w:val="19"/>
                <w:szCs w:val="19"/>
                <w:color w:val="auto"/>
              </w:rPr>
            </w:pPr>
          </w:p>
        </w:tc>
      </w:tr>
      <w:tr>
        <w:trPr>
          <w:trHeight w:val="221"/>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2020</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w:t>
            </w:r>
          </w:p>
        </w:tc>
        <w:tc>
          <w:tcPr>
            <w:tcW w:w="100" w:type="dxa"/>
            <w:vAlign w:val="bottom"/>
            <w:shd w:val="clear" w:color="auto" w:fill="CFF0FC"/>
          </w:tcPr>
          <w:p>
            <w:pPr>
              <w:spacing w:after="0"/>
              <w:rPr>
                <w:sz w:val="19"/>
                <w:szCs w:val="19"/>
                <w:color w:val="auto"/>
              </w:rPr>
            </w:pPr>
          </w:p>
        </w:tc>
      </w:tr>
      <w:tr>
        <w:trPr>
          <w:trHeight w:val="221"/>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2019</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821</w:t>
            </w:r>
          </w:p>
        </w:tc>
        <w:tc>
          <w:tcPr>
            <w:tcW w:w="10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All other schedules have been omitted because they are not applicable, or the information required is shown in the financial statements or notes thereto.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8"/>
        </w:trPr>
        <w:tc>
          <w:tcPr>
            <w:tcW w:w="1600" w:type="dxa"/>
            <w:vAlign w:val="bottom"/>
          </w:tcPr>
          <w:p>
            <w:pPr>
              <w:spacing w:after="0"/>
              <w:rPr>
                <w:sz w:val="18"/>
                <w:szCs w:val="18"/>
                <w:color w:val="auto"/>
              </w:rPr>
            </w:pPr>
          </w:p>
        </w:tc>
        <w:tc>
          <w:tcPr>
            <w:tcW w:w="9640" w:type="dxa"/>
            <w:vAlign w:val="bottom"/>
            <w:gridSpan w:val="18"/>
          </w:tcPr>
          <w:p>
            <w:pPr>
              <w:jc w:val="center"/>
              <w:ind w:right="1600"/>
              <w:spacing w:after="0"/>
              <w:rPr>
                <w:sz w:val="20"/>
                <w:szCs w:val="20"/>
                <w:color w:val="auto"/>
              </w:rPr>
            </w:pPr>
            <w:r>
              <w:rPr>
                <w:rFonts w:ascii="Arial" w:cs="Arial" w:eastAsia="Arial" w:hAnsi="Arial"/>
                <w:sz w:val="17"/>
                <w:szCs w:val="17"/>
                <w:b w:val="1"/>
                <w:bCs w:val="1"/>
                <w:color w:val="auto"/>
                <w:w w:val="93"/>
              </w:rPr>
              <w:t>Eastman Kodak Company</w:t>
            </w:r>
          </w:p>
        </w:tc>
      </w:tr>
      <w:tr>
        <w:trPr>
          <w:trHeight w:val="227"/>
        </w:trPr>
        <w:tc>
          <w:tcPr>
            <w:tcW w:w="1600" w:type="dxa"/>
            <w:vAlign w:val="bottom"/>
          </w:tcPr>
          <w:p>
            <w:pPr>
              <w:spacing w:after="0"/>
              <w:rPr>
                <w:sz w:val="19"/>
                <w:szCs w:val="19"/>
                <w:color w:val="auto"/>
              </w:rPr>
            </w:pPr>
          </w:p>
        </w:tc>
        <w:tc>
          <w:tcPr>
            <w:tcW w:w="9640" w:type="dxa"/>
            <w:vAlign w:val="bottom"/>
            <w:gridSpan w:val="18"/>
          </w:tcPr>
          <w:p>
            <w:pPr>
              <w:jc w:val="center"/>
              <w:ind w:right="1600"/>
              <w:spacing w:after="0"/>
              <w:rPr>
                <w:sz w:val="20"/>
                <w:szCs w:val="20"/>
                <w:color w:val="auto"/>
              </w:rPr>
            </w:pPr>
            <w:r>
              <w:rPr>
                <w:rFonts w:ascii="Arial" w:cs="Arial" w:eastAsia="Arial" w:hAnsi="Arial"/>
                <w:sz w:val="17"/>
                <w:szCs w:val="17"/>
                <w:b w:val="1"/>
                <w:bCs w:val="1"/>
                <w:color w:val="auto"/>
                <w:w w:val="94"/>
              </w:rPr>
              <w:t>Index to Exhibits</w:t>
            </w:r>
          </w:p>
        </w:tc>
      </w:tr>
      <w:tr>
        <w:trPr>
          <w:trHeight w:val="425"/>
        </w:trPr>
        <w:tc>
          <w:tcPr>
            <w:tcW w:w="160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5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5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1600" w:type="dxa"/>
            <w:vAlign w:val="bottom"/>
          </w:tcPr>
          <w:p>
            <w:pPr>
              <w:spacing w:after="0"/>
              <w:rPr>
                <w:sz w:val="20"/>
                <w:szCs w:val="20"/>
                <w:color w:val="auto"/>
              </w:rPr>
            </w:pPr>
            <w:r>
              <w:rPr>
                <w:rFonts w:ascii="Arial" w:cs="Arial" w:eastAsia="Arial" w:hAnsi="Arial"/>
                <w:sz w:val="17"/>
                <w:szCs w:val="17"/>
                <w:color w:val="auto"/>
              </w:rPr>
              <w:t>(2.1)</w:t>
            </w:r>
          </w:p>
        </w:tc>
        <w:tc>
          <w:tcPr>
            <w:tcW w:w="9640" w:type="dxa"/>
            <w:vAlign w:val="bottom"/>
            <w:gridSpan w:val="18"/>
          </w:tcPr>
          <w:p>
            <w:pPr>
              <w:spacing w:after="0"/>
              <w:rPr>
                <w:rFonts w:ascii="Arial" w:cs="Arial" w:eastAsia="Arial" w:hAnsi="Arial"/>
                <w:sz w:val="17"/>
                <w:szCs w:val="17"/>
                <w:color w:val="0000EE"/>
                <w:w w:val="94"/>
              </w:rPr>
            </w:pPr>
            <w:hyperlink r:id="rId172">
              <w:r>
                <w:rPr>
                  <w:rFonts w:ascii="Arial" w:cs="Arial" w:eastAsia="Arial" w:hAnsi="Arial"/>
                  <w:sz w:val="17"/>
                  <w:szCs w:val="17"/>
                  <w:color w:val="0000EE"/>
                  <w:w w:val="94"/>
                </w:rPr>
                <w:t>Stock and Asset Purchase Agreement, dated as of November 11, 2018, by and between Eastman Kodak Company and MIR Bidco SA.</w:t>
              </w:r>
            </w:hyperlink>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r:id="rId172">
              <w:r>
                <w:rPr>
                  <w:rFonts w:ascii="Arial" w:cs="Arial" w:eastAsia="Arial" w:hAnsi="Arial"/>
                  <w:sz w:val="17"/>
                  <w:szCs w:val="17"/>
                  <w:color w:val="0000EE"/>
                </w:rPr>
                <w:t>(Incorporated by reference to Exhibit 2.1 of the Company’s Current Report on Form 8-K as filed November 13, 2018).</w:t>
              </w:r>
            </w:hyperlink>
          </w:p>
        </w:tc>
        <w:tc>
          <w:tcPr>
            <w:tcW w:w="300" w:type="dxa"/>
            <w:vAlign w:val="bottom"/>
            <w:gridSpan w:val="8"/>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(2.2)</w:t>
            </w:r>
          </w:p>
        </w:tc>
        <w:tc>
          <w:tcPr>
            <w:tcW w:w="9380" w:type="dxa"/>
            <w:vAlign w:val="bottom"/>
            <w:tcBorders>
              <w:bottom w:val="single" w:sz="8" w:color="0000EE"/>
            </w:tcBorders>
            <w:gridSpan w:val="11"/>
          </w:tcPr>
          <w:p>
            <w:pPr>
              <w:spacing w:after="0"/>
              <w:rPr>
                <w:rFonts w:ascii="Arial" w:cs="Arial" w:eastAsia="Arial" w:hAnsi="Arial"/>
                <w:sz w:val="17"/>
                <w:szCs w:val="17"/>
                <w:color w:val="0000EE"/>
                <w:w w:val="91"/>
              </w:rPr>
            </w:pPr>
            <w:hyperlink r:id="rId173">
              <w:r>
                <w:rPr>
                  <w:rFonts w:ascii="Arial" w:cs="Arial" w:eastAsia="Arial" w:hAnsi="Arial"/>
                  <w:sz w:val="17"/>
                  <w:szCs w:val="17"/>
                  <w:color w:val="0000EE"/>
                  <w:w w:val="91"/>
                </w:rPr>
                <w:t>First Amendment to Stock and Asset Purchase Agreement, dated as of March 29, 2019, by and between Eastman Kodak Company and</w:t>
              </w:r>
            </w:hyperlink>
          </w:p>
        </w:tc>
        <w:tc>
          <w:tcPr>
            <w:tcW w:w="260" w:type="dxa"/>
            <w:vAlign w:val="bottom"/>
            <w:gridSpan w:val="7"/>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18"/>
          </w:tcPr>
          <w:p>
            <w:pPr>
              <w:spacing w:after="0" w:line="189" w:lineRule="exact"/>
              <w:rPr>
                <w:rFonts w:ascii="Arial" w:cs="Arial" w:eastAsia="Arial" w:hAnsi="Arial"/>
                <w:sz w:val="17"/>
                <w:szCs w:val="17"/>
                <w:color w:val="0000EE"/>
              </w:rPr>
            </w:pPr>
            <w:hyperlink r:id="rId173">
              <w:r>
                <w:rPr>
                  <w:rFonts w:ascii="Arial" w:cs="Arial" w:eastAsia="Arial" w:hAnsi="Arial"/>
                  <w:sz w:val="17"/>
                  <w:szCs w:val="17"/>
                  <w:color w:val="0000EE"/>
                </w:rPr>
                <w:t>MIR Bidco SA (Incorporated by reference to Exhibit (2.3) of the Company’s Current Report on Form 8-K as filed April 9, 2019).</w:t>
              </w:r>
            </w:hyperlink>
          </w:p>
        </w:tc>
      </w:tr>
      <w:tr>
        <w:trPr>
          <w:trHeight w:val="20"/>
        </w:trPr>
        <w:tc>
          <w:tcPr>
            <w:tcW w:w="160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(2.3)</w:t>
            </w:r>
          </w:p>
        </w:tc>
        <w:tc>
          <w:tcPr>
            <w:tcW w:w="9400" w:type="dxa"/>
            <w:vAlign w:val="bottom"/>
            <w:tcBorders>
              <w:bottom w:val="single" w:sz="8" w:color="0000EE"/>
            </w:tcBorders>
            <w:gridSpan w:val="12"/>
          </w:tcPr>
          <w:p>
            <w:pPr>
              <w:spacing w:after="0"/>
              <w:rPr>
                <w:rFonts w:ascii="Arial" w:cs="Arial" w:eastAsia="Arial" w:hAnsi="Arial"/>
                <w:sz w:val="17"/>
                <w:szCs w:val="17"/>
                <w:color w:val="0000EE"/>
                <w:w w:val="92"/>
              </w:rPr>
            </w:pPr>
            <w:hyperlink r:id="rId174">
              <w:r>
                <w:rPr>
                  <w:rFonts w:ascii="Arial" w:cs="Arial" w:eastAsia="Arial" w:hAnsi="Arial"/>
                  <w:sz w:val="17"/>
                  <w:szCs w:val="17"/>
                  <w:color w:val="0000EE"/>
                  <w:w w:val="92"/>
                </w:rPr>
                <w:t>Earn-Out Agreement, dated as of November 11, 2018, by and between Eastman Kodak Company and MIR Bidco SA. (Incorporated by</w:t>
              </w:r>
            </w:hyperlink>
          </w:p>
        </w:tc>
        <w:tc>
          <w:tcPr>
            <w:tcW w:w="240" w:type="dxa"/>
            <w:vAlign w:val="bottom"/>
            <w:gridSpan w:val="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7040" w:type="dxa"/>
            <w:vAlign w:val="bottom"/>
            <w:tcBorders>
              <w:bottom w:val="single" w:sz="8" w:color="0000EE"/>
            </w:tcBorders>
            <w:gridSpan w:val="3"/>
          </w:tcPr>
          <w:p>
            <w:pPr>
              <w:spacing w:after="0" w:line="189" w:lineRule="exact"/>
              <w:rPr>
                <w:rFonts w:ascii="Arial" w:cs="Arial" w:eastAsia="Arial" w:hAnsi="Arial"/>
                <w:sz w:val="17"/>
                <w:szCs w:val="17"/>
                <w:color w:val="0000EE"/>
                <w:w w:val="93"/>
              </w:rPr>
            </w:pPr>
            <w:hyperlink r:id="rId174">
              <w:r>
                <w:rPr>
                  <w:rFonts w:ascii="Arial" w:cs="Arial" w:eastAsia="Arial" w:hAnsi="Arial"/>
                  <w:sz w:val="17"/>
                  <w:szCs w:val="17"/>
                  <w:color w:val="0000EE"/>
                  <w:w w:val="93"/>
                </w:rPr>
                <w:t>reference to Exhibit 2.2 of the Company’s Current Report on Form 8-K as filed November 13, 2018).</w:t>
              </w:r>
            </w:hyperlink>
          </w:p>
        </w:tc>
        <w:tc>
          <w:tcPr>
            <w:tcW w:w="2600" w:type="dxa"/>
            <w:vAlign w:val="bottom"/>
            <w:gridSpan w:val="15"/>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(3.1)</w:t>
            </w:r>
          </w:p>
        </w:tc>
        <w:tc>
          <w:tcPr>
            <w:tcW w:w="9520" w:type="dxa"/>
            <w:vAlign w:val="bottom"/>
            <w:tcBorders>
              <w:bottom w:val="single" w:sz="8" w:color="0000EE"/>
            </w:tcBorders>
            <w:gridSpan w:val="15"/>
          </w:tcPr>
          <w:p>
            <w:pPr>
              <w:spacing w:after="0"/>
              <w:rPr>
                <w:rFonts w:ascii="Arial" w:cs="Arial" w:eastAsia="Arial" w:hAnsi="Arial"/>
                <w:sz w:val="17"/>
                <w:szCs w:val="17"/>
                <w:color w:val="0000EE"/>
                <w:w w:val="92"/>
              </w:rPr>
            </w:pPr>
            <w:hyperlink r:id="rId175">
              <w:r>
                <w:rPr>
                  <w:rFonts w:ascii="Arial" w:cs="Arial" w:eastAsia="Arial" w:hAnsi="Arial"/>
                  <w:sz w:val="17"/>
                  <w:szCs w:val="17"/>
                  <w:color w:val="0000EE"/>
                  <w:w w:val="92"/>
                </w:rPr>
                <w:t>Second Amended and Restated Certificate of Incorporation of Eastman Kodak Company (Incorporated by reference to Exhibit 4.1 of the</w:t>
              </w:r>
            </w:hyperlink>
          </w:p>
        </w:tc>
        <w:tc>
          <w:tcPr>
            <w:tcW w:w="120" w:type="dxa"/>
            <w:vAlign w:val="bottom"/>
            <w:gridSpan w:val="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18"/>
          </w:tcPr>
          <w:p>
            <w:pPr>
              <w:spacing w:after="0" w:line="189" w:lineRule="exact"/>
              <w:rPr>
                <w:rFonts w:ascii="Arial" w:cs="Arial" w:eastAsia="Arial" w:hAnsi="Arial"/>
                <w:sz w:val="17"/>
                <w:szCs w:val="17"/>
                <w:color w:val="0000EE"/>
              </w:rPr>
            </w:pPr>
            <w:hyperlink r:id="rId175">
              <w:r>
                <w:rPr>
                  <w:rFonts w:ascii="Arial" w:cs="Arial" w:eastAsia="Arial" w:hAnsi="Arial"/>
                  <w:sz w:val="17"/>
                  <w:szCs w:val="17"/>
                  <w:color w:val="0000EE"/>
                </w:rPr>
                <w:t>Company’s Registration Statement on Form S-8 as filed on September 3, 2013).</w:t>
              </w:r>
            </w:hyperlink>
          </w:p>
        </w:tc>
      </w:tr>
      <w:tr>
        <w:trPr>
          <w:trHeight w:val="20"/>
        </w:trPr>
        <w:tc>
          <w:tcPr>
            <w:tcW w:w="160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(3.2)</w:t>
            </w:r>
          </w:p>
        </w:tc>
        <w:tc>
          <w:tcPr>
            <w:tcW w:w="9500" w:type="dxa"/>
            <w:vAlign w:val="bottom"/>
            <w:tcBorders>
              <w:bottom w:val="single" w:sz="8" w:color="0000EE"/>
            </w:tcBorders>
            <w:gridSpan w:val="14"/>
          </w:tcPr>
          <w:p>
            <w:pPr>
              <w:spacing w:after="0"/>
              <w:rPr>
                <w:rFonts w:ascii="Arial" w:cs="Arial" w:eastAsia="Arial" w:hAnsi="Arial"/>
                <w:sz w:val="17"/>
                <w:szCs w:val="17"/>
                <w:color w:val="0000EE"/>
                <w:w w:val="92"/>
              </w:rPr>
            </w:pPr>
            <w:hyperlink r:id="rId176">
              <w:r>
                <w:rPr>
                  <w:rFonts w:ascii="Arial" w:cs="Arial" w:eastAsia="Arial" w:hAnsi="Arial"/>
                  <w:sz w:val="17"/>
                  <w:szCs w:val="17"/>
                  <w:color w:val="0000EE"/>
                  <w:w w:val="92"/>
                </w:rPr>
                <w:t>Certificate of Amendment to the Second Amended and Restated Certificate of Incorporation of Eastman Kodak Company. (Incorporated</w:t>
              </w:r>
            </w:hyperlink>
          </w:p>
        </w:tc>
        <w:tc>
          <w:tcPr>
            <w:tcW w:w="140" w:type="dxa"/>
            <w:vAlign w:val="bottom"/>
            <w:gridSpan w:val="4"/>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726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r:id="rId176">
              <w:r>
                <w:rPr>
                  <w:rFonts w:ascii="Arial" w:cs="Arial" w:eastAsia="Arial" w:hAnsi="Arial"/>
                  <w:sz w:val="17"/>
                  <w:szCs w:val="17"/>
                  <w:color w:val="0000EE"/>
                  <w:w w:val="93"/>
                </w:rPr>
                <w:t>by reference to Exhibit 3.1 of the Company’s Current Report on Form 8-K as filed November 16, 2016).</w:t>
              </w:r>
            </w:hyperlink>
          </w:p>
        </w:tc>
        <w:tc>
          <w:tcPr>
            <w:tcW w:w="2380" w:type="dxa"/>
            <w:vAlign w:val="bottom"/>
            <w:gridSpan w:val="13"/>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(3.3)</w:t>
            </w:r>
          </w:p>
        </w:tc>
        <w:tc>
          <w:tcPr>
            <w:tcW w:w="9640" w:type="dxa"/>
            <w:vAlign w:val="bottom"/>
            <w:gridSpan w:val="18"/>
          </w:tcPr>
          <w:p>
            <w:pPr>
              <w:spacing w:after="0"/>
              <w:rPr>
                <w:rFonts w:ascii="Arial" w:cs="Arial" w:eastAsia="Arial" w:hAnsi="Arial"/>
                <w:sz w:val="17"/>
                <w:szCs w:val="17"/>
                <w:color w:val="0000EE"/>
                <w:w w:val="94"/>
              </w:rPr>
            </w:pPr>
            <w:hyperlink r:id="rId176">
              <w:r>
                <w:rPr>
                  <w:rFonts w:ascii="Arial" w:cs="Arial" w:eastAsia="Arial" w:hAnsi="Arial"/>
                  <w:sz w:val="17"/>
                  <w:szCs w:val="17"/>
                  <w:color w:val="0000EE"/>
                  <w:w w:val="94"/>
                </w:rPr>
                <w:t>Certificate of Amendment to the Second Amended and Restated Certificate of Incorporation of Eastman Kodak Company (Incorporated</w:t>
              </w:r>
            </w:hyperlink>
          </w:p>
        </w:tc>
      </w:tr>
      <w:tr>
        <w:trPr>
          <w:trHeight w:val="188"/>
        </w:trPr>
        <w:tc>
          <w:tcPr>
            <w:tcW w:w="1600" w:type="dxa"/>
            <w:vAlign w:val="bottom"/>
          </w:tcPr>
          <w:p>
            <w:pPr>
              <w:spacing w:after="0"/>
              <w:rPr>
                <w:sz w:val="16"/>
                <w:szCs w:val="16"/>
                <w:color w:val="auto"/>
              </w:rPr>
            </w:pPr>
          </w:p>
        </w:tc>
        <w:tc>
          <w:tcPr>
            <w:tcW w:w="946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r:id="rId176">
              <w:r>
                <w:rPr>
                  <w:rFonts w:ascii="Arial" w:cs="Arial" w:eastAsia="Arial" w:hAnsi="Arial"/>
                  <w:sz w:val="17"/>
                  <w:szCs w:val="17"/>
                  <w:color w:val="0000EE"/>
                </w:rPr>
                <w:t>by reference to Exhibit (3.1) of the Company’s Current Report on Form 8-K as filed September 12, 2019).</w:t>
              </w:r>
            </w:hyperlink>
          </w:p>
        </w:tc>
        <w:tc>
          <w:tcPr>
            <w:tcW w:w="180" w:type="dxa"/>
            <w:vAlign w:val="bottom"/>
            <w:gridSpan w:val="5"/>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9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(3.4)</w:t>
            </w:r>
          </w:p>
        </w:tc>
        <w:tc>
          <w:tcPr>
            <w:tcW w:w="9640" w:type="dxa"/>
            <w:vAlign w:val="bottom"/>
            <w:gridSpan w:val="18"/>
          </w:tcPr>
          <w:p>
            <w:pPr>
              <w:spacing w:after="0"/>
              <w:rPr>
                <w:rFonts w:ascii="Arial" w:cs="Arial" w:eastAsia="Arial" w:hAnsi="Arial"/>
                <w:sz w:val="17"/>
                <w:szCs w:val="17"/>
                <w:color w:val="0000EE"/>
                <w:w w:val="94"/>
              </w:rPr>
            </w:pPr>
            <w:hyperlink r:id="rId176">
              <w:r>
                <w:rPr>
                  <w:rFonts w:ascii="Arial" w:cs="Arial" w:eastAsia="Arial" w:hAnsi="Arial"/>
                  <w:sz w:val="17"/>
                  <w:szCs w:val="17"/>
                  <w:color w:val="0000EE"/>
                  <w:w w:val="94"/>
                </w:rPr>
                <w:t>Certificate of Amendment to the Second Amended and Restated Certificate of Incorporation of Eastman Kodak Company (Incorporated</w:t>
              </w:r>
            </w:hyperlink>
          </w:p>
        </w:tc>
      </w:tr>
      <w:tr>
        <w:trPr>
          <w:trHeight w:val="188"/>
        </w:trPr>
        <w:tc>
          <w:tcPr>
            <w:tcW w:w="1600" w:type="dxa"/>
            <w:vAlign w:val="bottom"/>
          </w:tcPr>
          <w:p>
            <w:pPr>
              <w:spacing w:after="0"/>
              <w:rPr>
                <w:sz w:val="16"/>
                <w:szCs w:val="16"/>
                <w:color w:val="auto"/>
              </w:rPr>
            </w:pPr>
          </w:p>
        </w:tc>
        <w:tc>
          <w:tcPr>
            <w:tcW w:w="946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r:id="rId176">
              <w:r>
                <w:rPr>
                  <w:rFonts w:ascii="Arial" w:cs="Arial" w:eastAsia="Arial" w:hAnsi="Arial"/>
                  <w:sz w:val="17"/>
                  <w:szCs w:val="17"/>
                  <w:color w:val="0000EE"/>
                </w:rPr>
                <w:t>by reference to Exhibit (3.2) of the Company’s Current Report on Form 8-K as filed September 12, 2019).</w:t>
              </w:r>
            </w:hyperlink>
          </w:p>
        </w:tc>
        <w:tc>
          <w:tcPr>
            <w:tcW w:w="180" w:type="dxa"/>
            <w:vAlign w:val="bottom"/>
            <w:gridSpan w:val="5"/>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9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(3.5)</w:t>
            </w:r>
          </w:p>
        </w:tc>
        <w:tc>
          <w:tcPr>
            <w:tcW w:w="9640" w:type="dxa"/>
            <w:vAlign w:val="bottom"/>
            <w:gridSpan w:val="18"/>
          </w:tcPr>
          <w:p>
            <w:pPr>
              <w:spacing w:after="0"/>
              <w:rPr>
                <w:rFonts w:ascii="Arial" w:cs="Arial" w:eastAsia="Arial" w:hAnsi="Arial"/>
                <w:sz w:val="17"/>
                <w:szCs w:val="17"/>
                <w:color w:val="0000EE"/>
                <w:w w:val="94"/>
              </w:rPr>
            </w:pPr>
            <w:hyperlink r:id="rId177">
              <w:r>
                <w:rPr>
                  <w:rFonts w:ascii="Arial" w:cs="Arial" w:eastAsia="Arial" w:hAnsi="Arial"/>
                  <w:sz w:val="17"/>
                  <w:szCs w:val="17"/>
                  <w:color w:val="0000EE"/>
                  <w:w w:val="94"/>
                </w:rPr>
                <w:t>Certificate of Amendment to the Second Amended and Restated Certificate of Incorporation of Eastman Kodak Company (Incorporated</w:t>
              </w:r>
            </w:hyperlink>
          </w:p>
        </w:tc>
      </w:tr>
      <w:tr>
        <w:trPr>
          <w:trHeight w:val="188"/>
        </w:trPr>
        <w:tc>
          <w:tcPr>
            <w:tcW w:w="1600" w:type="dxa"/>
            <w:vAlign w:val="bottom"/>
          </w:tcPr>
          <w:p>
            <w:pPr>
              <w:spacing w:after="0"/>
              <w:rPr>
                <w:sz w:val="16"/>
                <w:szCs w:val="16"/>
                <w:color w:val="auto"/>
              </w:rPr>
            </w:pPr>
          </w:p>
        </w:tc>
        <w:tc>
          <w:tcPr>
            <w:tcW w:w="724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3"/>
              </w:rPr>
            </w:pPr>
            <w:hyperlink r:id="rId177">
              <w:r>
                <w:rPr>
                  <w:rFonts w:ascii="Arial" w:cs="Arial" w:eastAsia="Arial" w:hAnsi="Arial"/>
                  <w:sz w:val="17"/>
                  <w:szCs w:val="17"/>
                  <w:color w:val="0000EE"/>
                  <w:w w:val="93"/>
                </w:rPr>
                <w:t>by reference to Exhibit 3.1 of the Company’s Current Report on Form 8-K as filed December 29, 2020).</w:t>
              </w:r>
            </w:hyperlink>
          </w:p>
        </w:tc>
        <w:tc>
          <w:tcPr>
            <w:tcW w:w="2220" w:type="dxa"/>
            <w:vAlign w:val="bottom"/>
            <w:tcBorders>
              <w:top w:val="single" w:sz="8" w:color="0000EE"/>
            </w:tcBorders>
            <w:gridSpan w:val="9"/>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(3.6)</w:t>
            </w:r>
          </w:p>
        </w:tc>
        <w:tc>
          <w:tcPr>
            <w:tcW w:w="9640" w:type="dxa"/>
            <w:vAlign w:val="bottom"/>
            <w:gridSpan w:val="18"/>
          </w:tcPr>
          <w:p>
            <w:pPr>
              <w:spacing w:after="0"/>
              <w:rPr>
                <w:rFonts w:ascii="Arial" w:cs="Arial" w:eastAsia="Arial" w:hAnsi="Arial"/>
                <w:sz w:val="17"/>
                <w:szCs w:val="17"/>
                <w:color w:val="0000EE"/>
                <w:w w:val="94"/>
              </w:rPr>
            </w:pPr>
            <w:hyperlink r:id="rId178">
              <w:r>
                <w:rPr>
                  <w:rFonts w:ascii="Arial" w:cs="Arial" w:eastAsia="Arial" w:hAnsi="Arial"/>
                  <w:sz w:val="17"/>
                  <w:szCs w:val="17"/>
                  <w:color w:val="0000EE"/>
                  <w:w w:val="94"/>
                </w:rPr>
                <w:t>Certificate of Amendment to the Second Amended and Restated Certificate of Incorporation of Eastman Kodak Company (Incorporated</w:t>
              </w:r>
            </w:hyperlink>
          </w:p>
        </w:tc>
      </w:tr>
      <w:tr>
        <w:trPr>
          <w:trHeight w:val="188"/>
        </w:trPr>
        <w:tc>
          <w:tcPr>
            <w:tcW w:w="1600" w:type="dxa"/>
            <w:vAlign w:val="bottom"/>
          </w:tcPr>
          <w:p>
            <w:pPr>
              <w:spacing w:after="0"/>
              <w:rPr>
                <w:sz w:val="16"/>
                <w:szCs w:val="16"/>
                <w:color w:val="auto"/>
              </w:rPr>
            </w:pPr>
          </w:p>
        </w:tc>
        <w:tc>
          <w:tcPr>
            <w:tcW w:w="6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3"/>
              </w:rPr>
            </w:pPr>
            <w:hyperlink r:id="rId178">
              <w:r>
                <w:rPr>
                  <w:rFonts w:ascii="Arial" w:cs="Arial" w:eastAsia="Arial" w:hAnsi="Arial"/>
                  <w:sz w:val="17"/>
                  <w:szCs w:val="17"/>
                  <w:color w:val="0000EE"/>
                  <w:w w:val="93"/>
                </w:rPr>
                <w:t>by reference to Exhibit 3.1 of the Company’s Current Report on Form 8-K as filed March 1, 2021).</w:t>
              </w:r>
            </w:hyperlink>
          </w:p>
        </w:tc>
        <w:tc>
          <w:tcPr>
            <w:tcW w:w="2560" w:type="dxa"/>
            <w:vAlign w:val="bottom"/>
            <w:tcBorders>
              <w:top w:val="single" w:sz="8" w:color="0000EE"/>
            </w:tcBorders>
            <w:gridSpan w:val="11"/>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(3.7)</w:t>
            </w:r>
          </w:p>
        </w:tc>
        <w:tc>
          <w:tcPr>
            <w:tcW w:w="9640" w:type="dxa"/>
            <w:vAlign w:val="bottom"/>
            <w:gridSpan w:val="18"/>
          </w:tcPr>
          <w:p>
            <w:pPr>
              <w:spacing w:after="0"/>
              <w:rPr>
                <w:rFonts w:ascii="Arial" w:cs="Arial" w:eastAsia="Arial" w:hAnsi="Arial"/>
                <w:sz w:val="17"/>
                <w:szCs w:val="17"/>
                <w:color w:val="0000EE"/>
                <w:w w:val="94"/>
              </w:rPr>
            </w:pPr>
            <w:hyperlink r:id="rId179">
              <w:r>
                <w:rPr>
                  <w:rFonts w:ascii="Arial" w:cs="Arial" w:eastAsia="Arial" w:hAnsi="Arial"/>
                  <w:sz w:val="17"/>
                  <w:szCs w:val="17"/>
                  <w:color w:val="0000EE"/>
                  <w:w w:val="94"/>
                </w:rPr>
                <w:t>Certificate of Amendment to the Second Amended and Restated Certificate of Incorporation of Eastman Kodak Company (Incorporated</w:t>
              </w:r>
            </w:hyperlink>
          </w:p>
        </w:tc>
      </w:tr>
      <w:tr>
        <w:trPr>
          <w:trHeight w:val="188"/>
        </w:trPr>
        <w:tc>
          <w:tcPr>
            <w:tcW w:w="1600" w:type="dxa"/>
            <w:vAlign w:val="bottom"/>
          </w:tcPr>
          <w:p>
            <w:pPr>
              <w:spacing w:after="0"/>
              <w:rPr>
                <w:sz w:val="16"/>
                <w:szCs w:val="16"/>
                <w:color w:val="auto"/>
              </w:rPr>
            </w:pPr>
          </w:p>
        </w:tc>
        <w:tc>
          <w:tcPr>
            <w:tcW w:w="6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3"/>
              </w:rPr>
            </w:pPr>
            <w:hyperlink r:id="rId179">
              <w:r>
                <w:rPr>
                  <w:rFonts w:ascii="Arial" w:cs="Arial" w:eastAsia="Arial" w:hAnsi="Arial"/>
                  <w:sz w:val="17"/>
                  <w:szCs w:val="17"/>
                  <w:color w:val="0000EE"/>
                  <w:w w:val="93"/>
                </w:rPr>
                <w:t>by reference to Exhibit 3.2 of the Company’s Current Report on Form 8-K as filed March 1, 2021).</w:t>
              </w:r>
            </w:hyperlink>
          </w:p>
        </w:tc>
        <w:tc>
          <w:tcPr>
            <w:tcW w:w="2560" w:type="dxa"/>
            <w:vAlign w:val="bottom"/>
            <w:tcBorders>
              <w:top w:val="single" w:sz="8" w:color="0000EE"/>
            </w:tcBorders>
            <w:gridSpan w:val="11"/>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(3.8)</w:t>
            </w:r>
          </w:p>
        </w:tc>
        <w:tc>
          <w:tcPr>
            <w:tcW w:w="9140" w:type="dxa"/>
            <w:vAlign w:val="bottom"/>
            <w:tcBorders>
              <w:bottom w:val="single" w:sz="8" w:color="0000EE"/>
            </w:tcBorders>
            <w:gridSpan w:val="9"/>
          </w:tcPr>
          <w:p>
            <w:pPr>
              <w:spacing w:after="0"/>
              <w:rPr>
                <w:rFonts w:ascii="Arial" w:cs="Arial" w:eastAsia="Arial" w:hAnsi="Arial"/>
                <w:sz w:val="17"/>
                <w:szCs w:val="17"/>
                <w:color w:val="0000EE"/>
                <w:w w:val="93"/>
              </w:rPr>
            </w:pPr>
            <w:hyperlink r:id="rId180">
              <w:r>
                <w:rPr>
                  <w:rFonts w:ascii="Arial" w:cs="Arial" w:eastAsia="Arial" w:hAnsi="Arial"/>
                  <w:sz w:val="17"/>
                  <w:szCs w:val="17"/>
                  <w:color w:val="0000EE"/>
                  <w:w w:val="93"/>
                </w:rPr>
                <w:t>Fourth Amended and Restated By-Laws of Eastman Kodak Company (Incorporated by reference to Exhibit (3.5) of the Company’s</w:t>
              </w:r>
            </w:hyperlink>
          </w:p>
        </w:tc>
        <w:tc>
          <w:tcPr>
            <w:tcW w:w="500" w:type="dxa"/>
            <w:vAlign w:val="bottom"/>
            <w:gridSpan w:val="9"/>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18"/>
          </w:tcPr>
          <w:p>
            <w:pPr>
              <w:spacing w:after="0" w:line="189" w:lineRule="exact"/>
              <w:rPr>
                <w:rFonts w:ascii="Arial" w:cs="Arial" w:eastAsia="Arial" w:hAnsi="Arial"/>
                <w:sz w:val="17"/>
                <w:szCs w:val="17"/>
                <w:color w:val="0000EE"/>
              </w:rPr>
            </w:pPr>
            <w:hyperlink r:id="rId180">
              <w:r>
                <w:rPr>
                  <w:rFonts w:ascii="Arial" w:cs="Arial" w:eastAsia="Arial" w:hAnsi="Arial"/>
                  <w:sz w:val="17"/>
                  <w:szCs w:val="17"/>
                  <w:color w:val="0000EE"/>
                </w:rPr>
                <w:t>Quarterly Report on Form 10-Q for the quarterly period ended March 31, 2020 as filed on May 12, 2020).</w:t>
              </w:r>
            </w:hyperlink>
          </w:p>
        </w:tc>
      </w:tr>
      <w:tr>
        <w:trPr>
          <w:trHeight w:val="20"/>
        </w:trPr>
        <w:tc>
          <w:tcPr>
            <w:tcW w:w="1600" w:type="dxa"/>
            <w:vAlign w:val="bottom"/>
          </w:tcPr>
          <w:p>
            <w:pPr>
              <w:spacing w:after="0" w:line="20" w:lineRule="exact"/>
              <w:rPr>
                <w:sz w:val="1"/>
                <w:szCs w:val="1"/>
                <w:color w:val="auto"/>
              </w:rPr>
            </w:pPr>
          </w:p>
        </w:tc>
        <w:tc>
          <w:tcPr>
            <w:tcW w:w="7360" w:type="dxa"/>
            <w:vAlign w:val="bottom"/>
            <w:gridSpan w:val="6"/>
            <w:shd w:val="clear" w:color="auto" w:fill="0000EE"/>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(4.1)</w:t>
            </w:r>
          </w:p>
        </w:tc>
        <w:tc>
          <w:tcPr>
            <w:tcW w:w="9640" w:type="dxa"/>
            <w:vAlign w:val="bottom"/>
            <w:gridSpan w:val="18"/>
          </w:tcPr>
          <w:p>
            <w:pPr>
              <w:spacing w:after="0"/>
              <w:rPr>
                <w:rFonts w:ascii="Arial" w:cs="Arial" w:eastAsia="Arial" w:hAnsi="Arial"/>
                <w:sz w:val="17"/>
                <w:szCs w:val="17"/>
                <w:color w:val="0000EE"/>
                <w:w w:val="91"/>
              </w:rPr>
            </w:pPr>
            <w:hyperlink r:id="rId181">
              <w:r>
                <w:rPr>
                  <w:rFonts w:ascii="Arial" w:cs="Arial" w:eastAsia="Arial" w:hAnsi="Arial"/>
                  <w:sz w:val="17"/>
                  <w:szCs w:val="17"/>
                  <w:color w:val="0000EE"/>
                  <w:w w:val="91"/>
                </w:rPr>
                <w:t>Registration Rights Agreement between Eastman Kodak Company and certain stockholders listed on Schedule 1 thereto, dated September</w:t>
              </w:r>
            </w:hyperlink>
          </w:p>
        </w:tc>
      </w:tr>
      <w:tr>
        <w:trPr>
          <w:trHeight w:val="188"/>
        </w:trPr>
        <w:tc>
          <w:tcPr>
            <w:tcW w:w="1600" w:type="dxa"/>
            <w:vAlign w:val="bottom"/>
          </w:tcPr>
          <w:p>
            <w:pPr>
              <w:spacing w:after="0"/>
              <w:rPr>
                <w:sz w:val="16"/>
                <w:szCs w:val="16"/>
                <w:color w:val="auto"/>
              </w:rPr>
            </w:pPr>
          </w:p>
        </w:tc>
        <w:tc>
          <w:tcPr>
            <w:tcW w:w="9600" w:type="dxa"/>
            <w:vAlign w:val="bottom"/>
            <w:tcBorders>
              <w:top w:val="single" w:sz="8" w:color="0000EE"/>
            </w:tcBorders>
            <w:gridSpan w:val="17"/>
          </w:tcPr>
          <w:p>
            <w:pPr>
              <w:spacing w:after="0" w:line="189" w:lineRule="exact"/>
              <w:rPr>
                <w:rFonts w:ascii="Arial" w:cs="Arial" w:eastAsia="Arial" w:hAnsi="Arial"/>
                <w:sz w:val="17"/>
                <w:szCs w:val="17"/>
                <w:color w:val="0000EE"/>
                <w:w w:val="93"/>
              </w:rPr>
            </w:pPr>
            <w:hyperlink r:id="rId181">
              <w:r>
                <w:rPr>
                  <w:rFonts w:ascii="Arial" w:cs="Arial" w:eastAsia="Arial" w:hAnsi="Arial"/>
                  <w:sz w:val="17"/>
                  <w:szCs w:val="17"/>
                  <w:color w:val="0000EE"/>
                  <w:w w:val="93"/>
                </w:rPr>
                <w:t>3, 2013. (Incorporated by reference to Exhibit 4.1 of the Company’s Registration Statement on Form 8-A as filed on September 3, 2013).</w:t>
              </w:r>
            </w:hyperlink>
          </w:p>
        </w:tc>
        <w:tc>
          <w:tcPr>
            <w:tcW w:w="40" w:type="dxa"/>
            <w:vAlign w:val="bottom"/>
          </w:tcPr>
          <w:p>
            <w:pPr>
              <w:spacing w:after="0"/>
              <w:rPr>
                <w:sz w:val="16"/>
                <w:szCs w:val="16"/>
                <w:color w:val="auto"/>
              </w:rPr>
            </w:pPr>
          </w:p>
        </w:tc>
      </w:tr>
      <w:tr>
        <w:trPr>
          <w:trHeight w:val="670"/>
        </w:trPr>
        <w:tc>
          <w:tcPr>
            <w:tcW w:w="1600" w:type="dxa"/>
            <w:vAlign w:val="bottom"/>
          </w:tcPr>
          <w:p>
            <w:pPr>
              <w:spacing w:after="0"/>
              <w:rPr>
                <w:sz w:val="24"/>
                <w:szCs w:val="24"/>
                <w:color w:val="auto"/>
              </w:rPr>
            </w:pPr>
          </w:p>
        </w:tc>
        <w:tc>
          <w:tcPr>
            <w:tcW w:w="5560" w:type="dxa"/>
            <w:vAlign w:val="bottom"/>
            <w:tcBorders>
              <w:top w:val="single" w:sz="8" w:color="0000EE"/>
            </w:tcBorders>
          </w:tcPr>
          <w:p>
            <w:pPr>
              <w:jc w:val="center"/>
              <w:ind w:left="2413"/>
              <w:spacing w:after="0"/>
              <w:rPr>
                <w:sz w:val="20"/>
                <w:szCs w:val="20"/>
                <w:color w:val="auto"/>
              </w:rPr>
            </w:pPr>
            <w:r>
              <w:rPr>
                <w:rFonts w:ascii="Arial" w:cs="Arial" w:eastAsia="Arial" w:hAnsi="Arial"/>
                <w:sz w:val="17"/>
                <w:szCs w:val="17"/>
                <w:color w:val="auto"/>
                <w:w w:val="91"/>
              </w:rPr>
              <w:t>134</w:t>
            </w:r>
          </w:p>
        </w:tc>
        <w:tc>
          <w:tcPr>
            <w:tcW w:w="1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(4.2)</w:t>
            </w:r>
          </w:p>
        </w:tc>
        <w:tc>
          <w:tcPr>
            <w:tcW w:w="9600" w:type="dxa"/>
            <w:vAlign w:val="bottom"/>
            <w:tcBorders>
              <w:bottom w:val="single" w:sz="8" w:color="0000EE"/>
            </w:tcBorders>
            <w:gridSpan w:val="27"/>
          </w:tcPr>
          <w:p>
            <w:pPr>
              <w:spacing w:after="0"/>
              <w:rPr>
                <w:rFonts w:ascii="Arial" w:cs="Arial" w:eastAsia="Arial" w:hAnsi="Arial"/>
                <w:sz w:val="17"/>
                <w:szCs w:val="17"/>
                <w:color w:val="0000EE"/>
                <w:w w:val="92"/>
              </w:rPr>
            </w:pPr>
            <w:hyperlink r:id="rId184">
              <w:r>
                <w:rPr>
                  <w:rFonts w:ascii="Arial" w:cs="Arial" w:eastAsia="Arial" w:hAnsi="Arial"/>
                  <w:sz w:val="17"/>
                  <w:szCs w:val="17"/>
                  <w:color w:val="0000EE"/>
                  <w:w w:val="92"/>
                </w:rPr>
                <w:t>Registration Rights Agreement by and among Eastman Kodak Company, Southeastern Asset Management, Inc., Longleaf Partners Small-</w:t>
              </w:r>
            </w:hyperlink>
          </w:p>
        </w:tc>
        <w:tc>
          <w:tcPr>
            <w:tcW w:w="40" w:type="dxa"/>
            <w:vAlign w:val="bottom"/>
            <w:gridSpan w:val="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540" w:type="dxa"/>
            <w:vAlign w:val="bottom"/>
            <w:tcBorders>
              <w:bottom w:val="single" w:sz="8" w:color="0000EE"/>
            </w:tcBorders>
            <w:gridSpan w:val="25"/>
          </w:tcPr>
          <w:p>
            <w:pPr>
              <w:spacing w:after="0" w:line="189" w:lineRule="exact"/>
              <w:rPr>
                <w:rFonts w:ascii="Arial" w:cs="Arial" w:eastAsia="Arial" w:hAnsi="Arial"/>
                <w:sz w:val="17"/>
                <w:szCs w:val="17"/>
                <w:color w:val="0000EE"/>
                <w:w w:val="92"/>
              </w:rPr>
            </w:pPr>
            <w:hyperlink r:id="rId184">
              <w:r>
                <w:rPr>
                  <w:rFonts w:ascii="Arial" w:cs="Arial" w:eastAsia="Arial" w:hAnsi="Arial"/>
                  <w:sz w:val="17"/>
                  <w:szCs w:val="17"/>
                  <w:color w:val="0000EE"/>
                  <w:w w:val="92"/>
                </w:rPr>
                <w:t>Cap Fund, C2W Partners Master Fund Limited and Deseret Mutual Pension Trust, dated November 15, 2016. (Incorporated by reference</w:t>
              </w:r>
            </w:hyperlink>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636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r:id="rId184">
              <w:r>
                <w:rPr>
                  <w:rFonts w:ascii="Arial" w:cs="Arial" w:eastAsia="Arial" w:hAnsi="Arial"/>
                  <w:sz w:val="17"/>
                  <w:szCs w:val="17"/>
                  <w:color w:val="0000EE"/>
                  <w:w w:val="93"/>
                </w:rPr>
                <w:t>to Exhibit 4.1 of the Company’s Current Report on Form 8-K as filed November 16, 2016).</w:t>
              </w:r>
            </w:hyperlink>
          </w:p>
        </w:tc>
        <w:tc>
          <w:tcPr>
            <w:tcW w:w="3280" w:type="dxa"/>
            <w:vAlign w:val="bottom"/>
            <w:gridSpan w:val="24"/>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(4.3)</w:t>
            </w:r>
          </w:p>
        </w:tc>
        <w:tc>
          <w:tcPr>
            <w:tcW w:w="9460" w:type="dxa"/>
            <w:vAlign w:val="bottom"/>
            <w:tcBorders>
              <w:bottom w:val="single" w:sz="8" w:color="0000EE"/>
            </w:tcBorders>
            <w:gridSpan w:val="21"/>
          </w:tcPr>
          <w:p>
            <w:pPr>
              <w:spacing w:after="0"/>
              <w:rPr>
                <w:rFonts w:ascii="Arial" w:cs="Arial" w:eastAsia="Arial" w:hAnsi="Arial"/>
                <w:sz w:val="17"/>
                <w:szCs w:val="17"/>
                <w:color w:val="0000EE"/>
                <w:w w:val="92"/>
              </w:rPr>
            </w:pPr>
            <w:hyperlink r:id="rId185">
              <w:r>
                <w:rPr>
                  <w:rFonts w:ascii="Arial" w:cs="Arial" w:eastAsia="Arial" w:hAnsi="Arial"/>
                  <w:sz w:val="17"/>
                  <w:szCs w:val="17"/>
                  <w:color w:val="0000EE"/>
                  <w:w w:val="92"/>
                </w:rPr>
                <w:t>Shareholder Agreement, dated as of April 17, 2017, by and among Eastman Kodak Company, Longleaf Partners Small-Cap Fund, C2W</w:t>
              </w:r>
            </w:hyperlink>
          </w:p>
        </w:tc>
        <w:tc>
          <w:tcPr>
            <w:tcW w:w="180" w:type="dxa"/>
            <w:vAlign w:val="bottom"/>
            <w:gridSpan w:val="8"/>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00" w:type="dxa"/>
            <w:vAlign w:val="bottom"/>
            <w:tcBorders>
              <w:bottom w:val="single" w:sz="8" w:color="0000EE"/>
            </w:tcBorders>
            <w:gridSpan w:val="15"/>
          </w:tcPr>
          <w:p>
            <w:pPr>
              <w:spacing w:after="0" w:line="189" w:lineRule="exact"/>
              <w:rPr>
                <w:rFonts w:ascii="Arial" w:cs="Arial" w:eastAsia="Arial" w:hAnsi="Arial"/>
                <w:sz w:val="17"/>
                <w:szCs w:val="17"/>
                <w:color w:val="0000EE"/>
                <w:w w:val="91"/>
              </w:rPr>
            </w:pPr>
            <w:hyperlink r:id="rId185">
              <w:r>
                <w:rPr>
                  <w:rFonts w:ascii="Arial" w:cs="Arial" w:eastAsia="Arial" w:hAnsi="Arial"/>
                  <w:sz w:val="17"/>
                  <w:szCs w:val="17"/>
                  <w:color w:val="0000EE"/>
                  <w:w w:val="91"/>
                </w:rPr>
                <w:t>Partners Master Fund Limited, Deseret Mutual Pension Trust and Southeastern Asset Management, Inc. (Incorporated by reference to</w:t>
              </w:r>
            </w:hyperlink>
          </w:p>
        </w:tc>
        <w:tc>
          <w:tcPr>
            <w:tcW w:w="340" w:type="dxa"/>
            <w:vAlign w:val="bottom"/>
            <w:gridSpan w:val="1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rPr>
            </w:pPr>
            <w:hyperlink r:id="rId185">
              <w:r>
                <w:rPr>
                  <w:rFonts w:ascii="Arial" w:cs="Arial" w:eastAsia="Arial" w:hAnsi="Arial"/>
                  <w:sz w:val="17"/>
                  <w:szCs w:val="17"/>
                  <w:color w:val="0000EE"/>
                </w:rPr>
                <w:t>Exhibit 4.6 of the Company’s Amendment No. 2 to Registration Statement on Form S-3 as filed on May 5, 2017).</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(4.4)</w:t>
            </w:r>
          </w:p>
        </w:tc>
        <w:tc>
          <w:tcPr>
            <w:tcW w:w="9320" w:type="dxa"/>
            <w:vAlign w:val="bottom"/>
            <w:tcBorders>
              <w:bottom w:val="single" w:sz="8" w:color="0000EE"/>
            </w:tcBorders>
            <w:gridSpan w:val="16"/>
          </w:tcPr>
          <w:p>
            <w:pPr>
              <w:spacing w:after="0"/>
              <w:rPr>
                <w:rFonts w:ascii="Arial" w:cs="Arial" w:eastAsia="Arial" w:hAnsi="Arial"/>
                <w:sz w:val="17"/>
                <w:szCs w:val="17"/>
                <w:color w:val="0000EE"/>
                <w:w w:val="91"/>
              </w:rPr>
            </w:pPr>
            <w:hyperlink r:id="rId186">
              <w:r>
                <w:rPr>
                  <w:rFonts w:ascii="Arial" w:cs="Arial" w:eastAsia="Arial" w:hAnsi="Arial"/>
                  <w:sz w:val="17"/>
                  <w:szCs w:val="17"/>
                  <w:color w:val="0000EE"/>
                  <w:w w:val="91"/>
                </w:rPr>
                <w:t>Amendment No. 1 to Shareholder Agreement, dated as of May 20, 2019 by and among Eastman Kodak Company, Southeastern Asset</w:t>
              </w:r>
            </w:hyperlink>
          </w:p>
        </w:tc>
        <w:tc>
          <w:tcPr>
            <w:tcW w:w="320" w:type="dxa"/>
            <w:vAlign w:val="bottom"/>
            <w:gridSpan w:val="1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rPr>
            </w:pPr>
            <w:hyperlink r:id="rId186">
              <w:r>
                <w:rPr>
                  <w:rFonts w:ascii="Arial" w:cs="Arial" w:eastAsia="Arial" w:hAnsi="Arial"/>
                  <w:sz w:val="17"/>
                  <w:szCs w:val="17"/>
                  <w:color w:val="0000EE"/>
                </w:rPr>
                <w:t>Management, Inc., Longleaf Partners Small-Cap Fund, C2W Partners Master Fund Limited and Deseret Mutual Pension</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8480" w:type="dxa"/>
            <w:vAlign w:val="bottom"/>
            <w:tcBorders>
              <w:bottom w:val="single" w:sz="8" w:color="0000EE"/>
            </w:tcBorders>
            <w:gridSpan w:val="9"/>
          </w:tcPr>
          <w:p>
            <w:pPr>
              <w:spacing w:after="0" w:line="189" w:lineRule="exact"/>
              <w:rPr>
                <w:rFonts w:ascii="Arial" w:cs="Arial" w:eastAsia="Arial" w:hAnsi="Arial"/>
                <w:sz w:val="17"/>
                <w:szCs w:val="17"/>
                <w:color w:val="0000EE"/>
                <w:w w:val="94"/>
              </w:rPr>
            </w:pPr>
            <w:hyperlink r:id="rId186">
              <w:r>
                <w:rPr>
                  <w:rFonts w:ascii="Arial" w:cs="Arial" w:eastAsia="Arial" w:hAnsi="Arial"/>
                  <w:sz w:val="17"/>
                  <w:szCs w:val="17"/>
                  <w:color w:val="0000EE"/>
                  <w:w w:val="94"/>
                </w:rPr>
                <w:t>Trust (Incorporated by reference to Exhibit (10.2) of the Company’s Current Report on Form 8-K as filed May 21, 2019).</w:t>
              </w:r>
            </w:hyperlink>
          </w:p>
        </w:tc>
        <w:tc>
          <w:tcPr>
            <w:tcW w:w="1160" w:type="dxa"/>
            <w:vAlign w:val="bottom"/>
            <w:gridSpan w:val="20"/>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(4.5)</w:t>
            </w:r>
          </w:p>
        </w:tc>
        <w:tc>
          <w:tcPr>
            <w:tcW w:w="9440" w:type="dxa"/>
            <w:vAlign w:val="bottom"/>
            <w:tcBorders>
              <w:bottom w:val="single" w:sz="8" w:color="0000EE"/>
            </w:tcBorders>
            <w:gridSpan w:val="20"/>
          </w:tcPr>
          <w:p>
            <w:pPr>
              <w:spacing w:after="0"/>
              <w:rPr>
                <w:rFonts w:ascii="Arial" w:cs="Arial" w:eastAsia="Arial" w:hAnsi="Arial"/>
                <w:sz w:val="17"/>
                <w:szCs w:val="17"/>
                <w:color w:val="0000EE"/>
                <w:w w:val="92"/>
              </w:rPr>
            </w:pPr>
            <w:hyperlink r:id="rId187">
              <w:r>
                <w:rPr>
                  <w:rFonts w:ascii="Arial" w:cs="Arial" w:eastAsia="Arial" w:hAnsi="Arial"/>
                  <w:sz w:val="17"/>
                  <w:szCs w:val="17"/>
                  <w:color w:val="0000EE"/>
                  <w:w w:val="92"/>
                </w:rPr>
                <w:t>Registration Rights Agreement, dated as of May 24, 2019, by and among Eastman Kodak Company, Longleaf Partners SmallCap Fund,</w:t>
              </w:r>
            </w:hyperlink>
          </w:p>
        </w:tc>
        <w:tc>
          <w:tcPr>
            <w:tcW w:w="200" w:type="dxa"/>
            <w:vAlign w:val="bottom"/>
            <w:gridSpan w:val="9"/>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200" w:type="dxa"/>
            <w:vAlign w:val="bottom"/>
            <w:tcBorders>
              <w:bottom w:val="single" w:sz="8" w:color="0000EE"/>
            </w:tcBorders>
            <w:gridSpan w:val="13"/>
          </w:tcPr>
          <w:p>
            <w:pPr>
              <w:spacing w:after="0" w:line="189" w:lineRule="exact"/>
              <w:rPr>
                <w:rFonts w:ascii="Arial" w:cs="Arial" w:eastAsia="Arial" w:hAnsi="Arial"/>
                <w:sz w:val="17"/>
                <w:szCs w:val="17"/>
                <w:color w:val="0000EE"/>
                <w:w w:val="93"/>
              </w:rPr>
            </w:pPr>
            <w:hyperlink r:id="rId187">
              <w:r>
                <w:rPr>
                  <w:rFonts w:ascii="Arial" w:cs="Arial" w:eastAsia="Arial" w:hAnsi="Arial"/>
                  <w:sz w:val="17"/>
                  <w:szCs w:val="17"/>
                  <w:color w:val="0000EE"/>
                  <w:w w:val="93"/>
                </w:rPr>
                <w:t>C2W Partners Master Fund Limited and Deseret Mutual Pension Trust (Incorporated by reference to Exhibit (4.3) of the Company’s</w:t>
              </w:r>
            </w:hyperlink>
          </w:p>
        </w:tc>
        <w:tc>
          <w:tcPr>
            <w:tcW w:w="440" w:type="dxa"/>
            <w:vAlign w:val="bottom"/>
            <w:gridSpan w:val="16"/>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rPr>
            </w:pPr>
            <w:hyperlink r:id="rId187">
              <w:r>
                <w:rPr>
                  <w:rFonts w:ascii="Arial" w:cs="Arial" w:eastAsia="Arial" w:hAnsi="Arial"/>
                  <w:sz w:val="17"/>
                  <w:szCs w:val="17"/>
                  <w:color w:val="0000EE"/>
                </w:rPr>
                <w:t>Current Report on Form 8-K as filed May 24, 2019).</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(4.6)</w:t>
            </w:r>
          </w:p>
        </w:tc>
        <w:tc>
          <w:tcPr>
            <w:tcW w:w="9520" w:type="dxa"/>
            <w:vAlign w:val="bottom"/>
            <w:tcBorders>
              <w:bottom w:val="single" w:sz="8" w:color="0000EE"/>
            </w:tcBorders>
            <w:gridSpan w:val="24"/>
          </w:tcPr>
          <w:p>
            <w:pPr>
              <w:spacing w:after="0"/>
              <w:rPr>
                <w:rFonts w:ascii="Arial" w:cs="Arial" w:eastAsia="Arial" w:hAnsi="Arial"/>
                <w:sz w:val="17"/>
                <w:szCs w:val="17"/>
                <w:color w:val="0000EE"/>
                <w:w w:val="92"/>
              </w:rPr>
            </w:pPr>
            <w:hyperlink r:id="rId188">
              <w:r>
                <w:rPr>
                  <w:rFonts w:ascii="Arial" w:cs="Arial" w:eastAsia="Arial" w:hAnsi="Arial"/>
                  <w:sz w:val="17"/>
                  <w:szCs w:val="17"/>
                  <w:color w:val="0000EE"/>
                  <w:w w:val="92"/>
                </w:rPr>
                <w:t>Registration Rights Agreement, dated as of February 26, 2021, by and between Eastman Kodak Company and GO EK Ventures IV, LLC</w:t>
              </w:r>
            </w:hyperlink>
          </w:p>
        </w:tc>
        <w:tc>
          <w:tcPr>
            <w:tcW w:w="120" w:type="dxa"/>
            <w:vAlign w:val="bottom"/>
            <w:gridSpan w:val="5"/>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rPr>
            </w:pPr>
            <w:hyperlink r:id="rId188">
              <w:r>
                <w:rPr>
                  <w:rFonts w:ascii="Arial" w:cs="Arial" w:eastAsia="Arial" w:hAnsi="Arial"/>
                  <w:sz w:val="17"/>
                  <w:szCs w:val="17"/>
                  <w:color w:val="0000EE"/>
                </w:rPr>
                <w:t>(Incorporated by reference to Exhibit 10.3 of the Company’s Current Report on Form 8-K as filed March 1, 2021).</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(4.7)</w:t>
            </w:r>
          </w:p>
        </w:tc>
        <w:tc>
          <w:tcPr>
            <w:tcW w:w="9640" w:type="dxa"/>
            <w:vAlign w:val="bottom"/>
            <w:gridSpan w:val="29"/>
          </w:tcPr>
          <w:p>
            <w:pPr>
              <w:spacing w:after="0"/>
              <w:rPr>
                <w:rFonts w:ascii="Arial" w:cs="Arial" w:eastAsia="Arial" w:hAnsi="Arial"/>
                <w:sz w:val="17"/>
                <w:szCs w:val="17"/>
                <w:color w:val="0000EE"/>
                <w:w w:val="92"/>
              </w:rPr>
            </w:pPr>
            <w:hyperlink r:id="rId189">
              <w:r>
                <w:rPr>
                  <w:rFonts w:ascii="Arial" w:cs="Arial" w:eastAsia="Arial" w:hAnsi="Arial"/>
                  <w:sz w:val="17"/>
                  <w:szCs w:val="17"/>
                  <w:color w:val="0000EE"/>
                  <w:w w:val="92"/>
                </w:rPr>
                <w:t>Registration Rights Agreement, dated as of February 26, 2021, by and among Eastman Kodak Company, Kennedy Lewis Capital Partners</w:t>
              </w:r>
            </w:hyperlink>
          </w:p>
        </w:tc>
      </w:tr>
      <w:tr>
        <w:trPr>
          <w:trHeight w:val="188"/>
        </w:trPr>
        <w:tc>
          <w:tcPr>
            <w:tcW w:w="1600" w:type="dxa"/>
            <w:vAlign w:val="bottom"/>
          </w:tcPr>
          <w:p>
            <w:pPr>
              <w:spacing w:after="0"/>
              <w:rPr>
                <w:sz w:val="16"/>
                <w:szCs w:val="16"/>
                <w:color w:val="auto"/>
              </w:rPr>
            </w:pPr>
          </w:p>
        </w:tc>
        <w:tc>
          <w:tcPr>
            <w:tcW w:w="9580" w:type="dxa"/>
            <w:vAlign w:val="bottom"/>
            <w:tcBorders>
              <w:top w:val="single" w:sz="8" w:color="0000EE"/>
            </w:tcBorders>
            <w:gridSpan w:val="26"/>
          </w:tcPr>
          <w:p>
            <w:pPr>
              <w:spacing w:after="0" w:line="189" w:lineRule="exact"/>
              <w:rPr>
                <w:rFonts w:ascii="Arial" w:cs="Arial" w:eastAsia="Arial" w:hAnsi="Arial"/>
                <w:sz w:val="17"/>
                <w:szCs w:val="17"/>
                <w:color w:val="0000EE"/>
                <w:w w:val="94"/>
              </w:rPr>
            </w:pPr>
            <w:hyperlink r:id="rId189">
              <w:r>
                <w:rPr>
                  <w:rFonts w:ascii="Arial" w:cs="Arial" w:eastAsia="Arial" w:hAnsi="Arial"/>
                  <w:sz w:val="17"/>
                  <w:szCs w:val="17"/>
                  <w:color w:val="0000EE"/>
                  <w:w w:val="94"/>
                </w:rPr>
                <w:t>Master Fund LP and Kennedy Lewis Capital Partners Master Fund II LP. (Incorporated by reference to Exhibit 10.11 of the Company’s</w:t>
              </w:r>
            </w:hyperlink>
          </w:p>
        </w:tc>
        <w:tc>
          <w:tcPr>
            <w:tcW w:w="60" w:type="dxa"/>
            <w:vAlign w:val="bottom"/>
            <w:gridSpan w:val="3"/>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372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3"/>
              </w:rPr>
            </w:pPr>
            <w:hyperlink r:id="rId189">
              <w:r>
                <w:rPr>
                  <w:rFonts w:ascii="Arial" w:cs="Arial" w:eastAsia="Arial" w:hAnsi="Arial"/>
                  <w:sz w:val="17"/>
                  <w:szCs w:val="17"/>
                  <w:color w:val="0000EE"/>
                  <w:w w:val="93"/>
                </w:rPr>
                <w:t>Current Report on Form 8-K as filed March 1, 2021).</w:t>
              </w:r>
            </w:hyperlink>
          </w:p>
        </w:tc>
        <w:tc>
          <w:tcPr>
            <w:tcW w:w="5680" w:type="dxa"/>
            <w:vAlign w:val="bottom"/>
            <w:tcBorders>
              <w:top w:val="single" w:sz="8" w:color="0000EE"/>
            </w:tcBorders>
            <w:gridSpan w:val="16"/>
          </w:tcPr>
          <w:p>
            <w:pPr>
              <w:spacing w:after="0"/>
              <w:rPr>
                <w:sz w:val="16"/>
                <w:szCs w:val="16"/>
                <w:color w:val="auto"/>
              </w:rPr>
            </w:pPr>
          </w:p>
        </w:tc>
        <w:tc>
          <w:tcPr>
            <w:tcW w:w="240" w:type="dxa"/>
            <w:vAlign w:val="bottom"/>
            <w:gridSpan w:val="10"/>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(4.8)</w:t>
            </w:r>
          </w:p>
        </w:tc>
        <w:tc>
          <w:tcPr>
            <w:tcW w:w="9640" w:type="dxa"/>
            <w:vAlign w:val="bottom"/>
            <w:gridSpan w:val="29"/>
          </w:tcPr>
          <w:p>
            <w:pPr>
              <w:spacing w:after="0"/>
              <w:rPr>
                <w:rFonts w:ascii="Arial" w:cs="Arial" w:eastAsia="Arial" w:hAnsi="Arial"/>
                <w:sz w:val="17"/>
                <w:szCs w:val="17"/>
                <w:color w:val="0000EE"/>
                <w:w w:val="96"/>
              </w:rPr>
            </w:pPr>
            <w:hyperlink r:id="rId190">
              <w:r>
                <w:rPr>
                  <w:rFonts w:ascii="Arial" w:cs="Arial" w:eastAsia="Arial" w:hAnsi="Arial"/>
                  <w:sz w:val="17"/>
                  <w:szCs w:val="17"/>
                  <w:color w:val="0000EE"/>
                  <w:w w:val="96"/>
                </w:rPr>
                <w:t>Board Rights Agreement, dated as of February 26, 2021, by and between Eastman Kodak Company and Kennedy Lewis Investment</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480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7"/>
              </w:rPr>
            </w:pPr>
            <w:hyperlink r:id="rId190">
              <w:r>
                <w:rPr>
                  <w:rFonts w:ascii="Arial" w:cs="Arial" w:eastAsia="Arial" w:hAnsi="Arial"/>
                  <w:sz w:val="17"/>
                  <w:szCs w:val="17"/>
                  <w:color w:val="0000EE"/>
                  <w:w w:val="97"/>
                </w:rPr>
                <w:t>Management LLC (Incorporated by reference to Exhibit 10.7 of the Company’s Current Report on Form 8-K as filed March 1, 2021).</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480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(4.9)</w:t>
            </w:r>
          </w:p>
        </w:tc>
        <w:tc>
          <w:tcPr>
            <w:tcW w:w="9500" w:type="dxa"/>
            <w:vAlign w:val="bottom"/>
            <w:tcBorders>
              <w:bottom w:val="single" w:sz="8" w:color="0000EE"/>
            </w:tcBorders>
            <w:gridSpan w:val="23"/>
          </w:tcPr>
          <w:p>
            <w:pPr>
              <w:spacing w:after="0"/>
              <w:rPr>
                <w:rFonts w:ascii="Arial" w:cs="Arial" w:eastAsia="Arial" w:hAnsi="Arial"/>
                <w:sz w:val="17"/>
                <w:szCs w:val="17"/>
                <w:color w:val="0000EE"/>
                <w:w w:val="92"/>
              </w:rPr>
            </w:pPr>
            <w:hyperlink r:id="rId191">
              <w:r>
                <w:rPr>
                  <w:rFonts w:ascii="Arial" w:cs="Arial" w:eastAsia="Arial" w:hAnsi="Arial"/>
                  <w:sz w:val="17"/>
                  <w:szCs w:val="17"/>
                  <w:color w:val="0000EE"/>
                  <w:w w:val="92"/>
                </w:rPr>
                <w:t>Convertible Promissory Note, dated as of February 26, 2021, from Eastman Kodak Company to Kennedy Lewis Capital Partners Master</w:t>
              </w:r>
            </w:hyperlink>
          </w:p>
        </w:tc>
        <w:tc>
          <w:tcPr>
            <w:tcW w:w="140" w:type="dxa"/>
            <w:vAlign w:val="bottom"/>
            <w:gridSpan w:val="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8640" w:type="dxa"/>
            <w:vAlign w:val="bottom"/>
            <w:tcBorders>
              <w:bottom w:val="single" w:sz="8" w:color="0000EE"/>
            </w:tcBorders>
            <w:gridSpan w:val="10"/>
          </w:tcPr>
          <w:p>
            <w:pPr>
              <w:spacing w:after="0" w:line="189" w:lineRule="exact"/>
              <w:rPr>
                <w:rFonts w:ascii="Arial" w:cs="Arial" w:eastAsia="Arial" w:hAnsi="Arial"/>
                <w:sz w:val="17"/>
                <w:szCs w:val="17"/>
                <w:color w:val="0000EE"/>
                <w:w w:val="93"/>
              </w:rPr>
            </w:pPr>
            <w:hyperlink r:id="rId191">
              <w:r>
                <w:rPr>
                  <w:rFonts w:ascii="Arial" w:cs="Arial" w:eastAsia="Arial" w:hAnsi="Arial"/>
                  <w:sz w:val="17"/>
                  <w:szCs w:val="17"/>
                  <w:color w:val="0000EE"/>
                  <w:w w:val="93"/>
                </w:rPr>
                <w:t>Fund LP. (Incorporated by reference to Exhibit 10.8 of the Company’s Current Report on Form 8-K as filed March 1, 2021).</w:t>
              </w:r>
            </w:hyperlink>
          </w:p>
        </w:tc>
        <w:tc>
          <w:tcPr>
            <w:tcW w:w="1000" w:type="dxa"/>
            <w:vAlign w:val="bottom"/>
            <w:gridSpan w:val="19"/>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(4.10)</w:t>
            </w:r>
          </w:p>
        </w:tc>
        <w:tc>
          <w:tcPr>
            <w:tcW w:w="9500" w:type="dxa"/>
            <w:vAlign w:val="bottom"/>
            <w:tcBorders>
              <w:bottom w:val="single" w:sz="8" w:color="0000EE"/>
            </w:tcBorders>
            <w:gridSpan w:val="23"/>
          </w:tcPr>
          <w:p>
            <w:pPr>
              <w:spacing w:after="0"/>
              <w:rPr>
                <w:rFonts w:ascii="Arial" w:cs="Arial" w:eastAsia="Arial" w:hAnsi="Arial"/>
                <w:sz w:val="17"/>
                <w:szCs w:val="17"/>
                <w:color w:val="0000EE"/>
                <w:w w:val="92"/>
              </w:rPr>
            </w:pPr>
            <w:hyperlink r:id="rId192">
              <w:r>
                <w:rPr>
                  <w:rFonts w:ascii="Arial" w:cs="Arial" w:eastAsia="Arial" w:hAnsi="Arial"/>
                  <w:sz w:val="17"/>
                  <w:szCs w:val="17"/>
                  <w:color w:val="0000EE"/>
                  <w:w w:val="92"/>
                </w:rPr>
                <w:t>Convertible Promissory Note, dated as of February 26, 2021, from Eastman Kodak Company to Kennedy Lewis Capital Partners Master</w:t>
              </w:r>
            </w:hyperlink>
          </w:p>
        </w:tc>
        <w:tc>
          <w:tcPr>
            <w:tcW w:w="140" w:type="dxa"/>
            <w:vAlign w:val="bottom"/>
            <w:gridSpan w:val="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8800" w:type="dxa"/>
            <w:vAlign w:val="bottom"/>
            <w:tcBorders>
              <w:bottom w:val="single" w:sz="8" w:color="0000EE"/>
            </w:tcBorders>
            <w:gridSpan w:val="11"/>
          </w:tcPr>
          <w:p>
            <w:pPr>
              <w:spacing w:after="0" w:line="189" w:lineRule="exact"/>
              <w:rPr>
                <w:rFonts w:ascii="Arial" w:cs="Arial" w:eastAsia="Arial" w:hAnsi="Arial"/>
                <w:sz w:val="17"/>
                <w:szCs w:val="17"/>
                <w:color w:val="0000EE"/>
                <w:w w:val="93"/>
              </w:rPr>
            </w:pPr>
            <w:hyperlink r:id="rId192">
              <w:r>
                <w:rPr>
                  <w:rFonts w:ascii="Arial" w:cs="Arial" w:eastAsia="Arial" w:hAnsi="Arial"/>
                  <w:sz w:val="17"/>
                  <w:szCs w:val="17"/>
                  <w:color w:val="0000EE"/>
                  <w:w w:val="93"/>
                </w:rPr>
                <w:t>Fund II LP. (Incorporated by reference to Exhibit 10.9 of the Company’s Current Report on Form 8-K as filed March 1, 2021).</w:t>
              </w:r>
            </w:hyperlink>
          </w:p>
        </w:tc>
        <w:tc>
          <w:tcPr>
            <w:tcW w:w="840" w:type="dxa"/>
            <w:vAlign w:val="bottom"/>
            <w:gridSpan w:val="1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(4.11)</w:t>
            </w:r>
          </w:p>
        </w:tc>
        <w:tc>
          <w:tcPr>
            <w:tcW w:w="9640" w:type="dxa"/>
            <w:vAlign w:val="bottom"/>
            <w:gridSpan w:val="29"/>
          </w:tcPr>
          <w:p>
            <w:pPr>
              <w:spacing w:after="0"/>
              <w:rPr>
                <w:rFonts w:ascii="Arial" w:cs="Arial" w:eastAsia="Arial" w:hAnsi="Arial"/>
                <w:sz w:val="17"/>
                <w:szCs w:val="17"/>
                <w:color w:val="0000EE"/>
                <w:w w:val="96"/>
              </w:rPr>
            </w:pPr>
            <w:hyperlink r:id="rId193">
              <w:r>
                <w:rPr>
                  <w:rFonts w:ascii="Arial" w:cs="Arial" w:eastAsia="Arial" w:hAnsi="Arial"/>
                  <w:sz w:val="17"/>
                  <w:szCs w:val="17"/>
                  <w:color w:val="0000EE"/>
                  <w:w w:val="96"/>
                </w:rPr>
                <w:t>Description of Securities (Incorporated by reference to Exhibit 4.11 of the Company’s Annual Report on Form 10-K for the fiscal year</w:t>
              </w:r>
            </w:hyperlink>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r:id="rId193">
              <w:r>
                <w:rPr>
                  <w:rFonts w:ascii="Arial" w:cs="Arial" w:eastAsia="Arial" w:hAnsi="Arial"/>
                  <w:sz w:val="17"/>
                  <w:szCs w:val="17"/>
                  <w:color w:val="0000EE"/>
                </w:rPr>
                <w:t>ended December 31, 2020 as filed on March 16, 2021).</w:t>
              </w:r>
            </w:hyperlink>
          </w:p>
        </w:tc>
        <w:tc>
          <w:tcPr>
            <w:tcW w:w="300" w:type="dxa"/>
            <w:vAlign w:val="bottom"/>
            <w:gridSpan w:val="12"/>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w:t>
            </w:r>
          </w:p>
        </w:tc>
        <w:tc>
          <w:tcPr>
            <w:tcW w:w="9620" w:type="dxa"/>
            <w:vAlign w:val="bottom"/>
            <w:tcBorders>
              <w:bottom w:val="single" w:sz="8" w:color="0000EE"/>
            </w:tcBorders>
            <w:gridSpan w:val="28"/>
          </w:tcPr>
          <w:p>
            <w:pPr>
              <w:spacing w:after="0"/>
              <w:rPr>
                <w:rFonts w:ascii="Arial" w:cs="Arial" w:eastAsia="Arial" w:hAnsi="Arial"/>
                <w:sz w:val="17"/>
                <w:szCs w:val="17"/>
                <w:color w:val="0000EE"/>
                <w:w w:val="92"/>
              </w:rPr>
            </w:pPr>
            <w:hyperlink r:id="rId194">
              <w:r>
                <w:rPr>
                  <w:rFonts w:ascii="Arial" w:cs="Arial" w:eastAsia="Arial" w:hAnsi="Arial"/>
                  <w:sz w:val="17"/>
                  <w:szCs w:val="17"/>
                  <w:color w:val="0000EE"/>
                  <w:w w:val="92"/>
                </w:rPr>
                <w:t>Eastman Kodak Company 2013 Omnibus Incentive Plan (As Amended and Restated effective May 20, 2020 (Incorporated by reference to</w:t>
              </w:r>
            </w:hyperlink>
          </w:p>
        </w:tc>
        <w:tc>
          <w:tcPr>
            <w:tcW w:w="20" w:type="dxa"/>
            <w:vAlign w:val="bottom"/>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80" w:type="dxa"/>
            <w:vAlign w:val="bottom"/>
            <w:tcBorders>
              <w:bottom w:val="single" w:sz="8" w:color="0000EE"/>
            </w:tcBorders>
            <w:gridSpan w:val="18"/>
          </w:tcPr>
          <w:p>
            <w:pPr>
              <w:spacing w:after="0" w:line="189" w:lineRule="exact"/>
              <w:rPr>
                <w:rFonts w:ascii="Arial" w:cs="Arial" w:eastAsia="Arial" w:hAnsi="Arial"/>
                <w:sz w:val="17"/>
                <w:szCs w:val="17"/>
                <w:color w:val="0000EE"/>
                <w:w w:val="93"/>
              </w:rPr>
            </w:pPr>
            <w:hyperlink r:id="rId194">
              <w:r>
                <w:rPr>
                  <w:rFonts w:ascii="Arial" w:cs="Arial" w:eastAsia="Arial" w:hAnsi="Arial"/>
                  <w:sz w:val="17"/>
                  <w:szCs w:val="17"/>
                  <w:color w:val="0000EE"/>
                  <w:w w:val="93"/>
                </w:rPr>
                <w:t>Exhibit 10.1 of the Company’s Quarterly Report on Form 10-Q for the quarterly period ended June 30, 2020 as filed August 11, 2020).</w:t>
              </w:r>
            </w:hyperlink>
          </w:p>
        </w:tc>
        <w:tc>
          <w:tcPr>
            <w:tcW w:w="260" w:type="dxa"/>
            <w:vAlign w:val="bottom"/>
            <w:gridSpan w:val="11"/>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w:t>
            </w:r>
          </w:p>
        </w:tc>
        <w:tc>
          <w:tcPr>
            <w:tcW w:w="9640" w:type="dxa"/>
            <w:vAlign w:val="bottom"/>
            <w:gridSpan w:val="29"/>
          </w:tcPr>
          <w:p>
            <w:pPr>
              <w:spacing w:after="0"/>
              <w:rPr>
                <w:rFonts w:ascii="Arial" w:cs="Arial" w:eastAsia="Arial" w:hAnsi="Arial"/>
                <w:sz w:val="17"/>
                <w:szCs w:val="17"/>
                <w:color w:val="0000EE"/>
                <w:w w:val="93"/>
              </w:rPr>
            </w:pPr>
            <w:hyperlink r:id="rId195">
              <w:r>
                <w:rPr>
                  <w:rFonts w:ascii="Arial" w:cs="Arial" w:eastAsia="Arial" w:hAnsi="Arial"/>
                  <w:sz w:val="17"/>
                  <w:szCs w:val="17"/>
                  <w:color w:val="0000EE"/>
                  <w:w w:val="93"/>
                </w:rPr>
                <w:t>First Amendment to the Eastman Kodak Company 2013 Omnibus Incentive Plan, as amended and restated (Incorporated by reference to</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80" w:type="dxa"/>
            <w:vAlign w:val="bottom"/>
            <w:gridSpan w:val="17"/>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00" w:type="dxa"/>
            <w:vAlign w:val="bottom"/>
            <w:tcBorders>
              <w:bottom w:val="single" w:sz="8" w:color="0000EE"/>
            </w:tcBorders>
            <w:gridSpan w:val="27"/>
          </w:tcPr>
          <w:p>
            <w:pPr>
              <w:spacing w:after="0" w:line="189" w:lineRule="exact"/>
              <w:rPr>
                <w:rFonts w:ascii="Arial" w:cs="Arial" w:eastAsia="Arial" w:hAnsi="Arial"/>
                <w:sz w:val="17"/>
                <w:szCs w:val="17"/>
                <w:color w:val="0000EE"/>
                <w:w w:val="93"/>
              </w:rPr>
            </w:pPr>
            <w:hyperlink r:id="rId195">
              <w:r>
                <w:rPr>
                  <w:rFonts w:ascii="Arial" w:cs="Arial" w:eastAsia="Arial" w:hAnsi="Arial"/>
                  <w:sz w:val="17"/>
                  <w:szCs w:val="17"/>
                  <w:color w:val="0000EE"/>
                  <w:w w:val="93"/>
                </w:rPr>
                <w:t>Exhibit 10.1 of the Company’s Quarterly Report on Form 10-Q for the quarterly period ended June 30, 2021 as filed on August 10, 2021).</w:t>
              </w:r>
            </w:hyperlink>
          </w:p>
        </w:tc>
        <w:tc>
          <w:tcPr>
            <w:tcW w:w="40" w:type="dxa"/>
            <w:vAlign w:val="bottom"/>
            <w:gridSpan w:val="2"/>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w:t>
            </w:r>
          </w:p>
        </w:tc>
        <w:tc>
          <w:tcPr>
            <w:tcW w:w="9640" w:type="dxa"/>
            <w:vAlign w:val="bottom"/>
            <w:gridSpan w:val="29"/>
          </w:tcPr>
          <w:p>
            <w:pPr>
              <w:spacing w:after="0"/>
              <w:rPr>
                <w:rFonts w:ascii="Arial" w:cs="Arial" w:eastAsia="Arial" w:hAnsi="Arial"/>
                <w:sz w:val="17"/>
                <w:szCs w:val="17"/>
                <w:color w:val="0000EE"/>
                <w:w w:val="95"/>
              </w:rPr>
            </w:pPr>
            <w:hyperlink r:id="rId196">
              <w:r>
                <w:rPr>
                  <w:rFonts w:ascii="Arial" w:cs="Arial" w:eastAsia="Arial" w:hAnsi="Arial"/>
                  <w:sz w:val="17"/>
                  <w:szCs w:val="17"/>
                  <w:color w:val="0000EE"/>
                  <w:w w:val="95"/>
                </w:rPr>
                <w:t>Eastman Kodak Company 2013 Omnibus Incentive Plan Form of Executive Restricted Stock Unit Award Agreement. (Incorporated by</w:t>
              </w:r>
            </w:hyperlink>
          </w:p>
        </w:tc>
      </w:tr>
      <w:tr>
        <w:trPr>
          <w:trHeight w:val="20"/>
        </w:trPr>
        <w:tc>
          <w:tcPr>
            <w:tcW w:w="1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80" w:type="dxa"/>
            <w:vAlign w:val="bottom"/>
            <w:gridSpan w:val="17"/>
            <w:shd w:val="clear" w:color="auto" w:fill="0000EE"/>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3"/>
              </w:rPr>
            </w:pPr>
            <w:hyperlink r:id="rId196">
              <w:r>
                <w:rPr>
                  <w:rFonts w:ascii="Arial" w:cs="Arial" w:eastAsia="Arial" w:hAnsi="Arial"/>
                  <w:sz w:val="17"/>
                  <w:szCs w:val="17"/>
                  <w:color w:val="0000EE"/>
                  <w:w w:val="93"/>
                </w:rPr>
                <w:t>reference to Exhibit 10.2 of the Company’s Quarterly Report on Form 10-Q for the quarterly period ended September 30, 2013 as filed on</w:t>
              </w:r>
            </w:hyperlink>
          </w:p>
        </w:tc>
      </w:tr>
      <w:tr>
        <w:trPr>
          <w:trHeight w:val="188"/>
        </w:trPr>
        <w:tc>
          <w:tcPr>
            <w:tcW w:w="1600" w:type="dxa"/>
            <w:vAlign w:val="bottom"/>
          </w:tcPr>
          <w:p>
            <w:pPr>
              <w:spacing w:after="0"/>
              <w:rPr>
                <w:sz w:val="16"/>
                <w:szCs w:val="16"/>
                <w:color w:val="auto"/>
              </w:rPr>
            </w:pPr>
          </w:p>
        </w:tc>
        <w:tc>
          <w:tcPr>
            <w:tcW w:w="15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2"/>
              </w:rPr>
            </w:pPr>
            <w:hyperlink r:id="rId196">
              <w:r>
                <w:rPr>
                  <w:rFonts w:ascii="Arial" w:cs="Arial" w:eastAsia="Arial" w:hAnsi="Arial"/>
                  <w:sz w:val="17"/>
                  <w:szCs w:val="17"/>
                  <w:color w:val="0000EE"/>
                  <w:w w:val="92"/>
                </w:rPr>
                <w:t>November 12, 2013).</w:t>
              </w:r>
            </w:hyperlink>
          </w:p>
        </w:tc>
        <w:tc>
          <w:tcPr>
            <w:tcW w:w="8080" w:type="dxa"/>
            <w:vAlign w:val="bottom"/>
            <w:tcBorders>
              <w:top w:val="single" w:sz="8" w:color="0000EE"/>
            </w:tcBorders>
            <w:gridSpan w:val="25"/>
          </w:tcPr>
          <w:p>
            <w:pPr>
              <w:spacing w:after="0"/>
              <w:rPr>
                <w:sz w:val="16"/>
                <w:szCs w:val="16"/>
                <w:color w:val="auto"/>
              </w:rPr>
            </w:pPr>
          </w:p>
        </w:tc>
        <w:tc>
          <w:tcPr>
            <w:tcW w:w="60" w:type="dxa"/>
            <w:vAlign w:val="bottom"/>
            <w:gridSpan w:val="3"/>
          </w:tcPr>
          <w:p>
            <w:pPr>
              <w:spacing w:after="0"/>
              <w:rPr>
                <w:sz w:val="16"/>
                <w:szCs w:val="16"/>
                <w:color w:val="auto"/>
              </w:rPr>
            </w:pPr>
          </w:p>
        </w:tc>
      </w:tr>
      <w:tr>
        <w:trPr>
          <w:trHeight w:val="670"/>
        </w:trPr>
        <w:tc>
          <w:tcPr>
            <w:tcW w:w="1600" w:type="dxa"/>
            <w:vAlign w:val="bottom"/>
          </w:tcPr>
          <w:p>
            <w:pPr>
              <w:spacing w:after="0"/>
              <w:rPr>
                <w:sz w:val="24"/>
                <w:szCs w:val="24"/>
                <w:color w:val="auto"/>
              </w:rPr>
            </w:pPr>
          </w:p>
        </w:tc>
        <w:tc>
          <w:tcPr>
            <w:tcW w:w="6360" w:type="dxa"/>
            <w:vAlign w:val="bottom"/>
            <w:gridSpan w:val="5"/>
          </w:tcPr>
          <w:p>
            <w:pPr>
              <w:ind w:left="3900"/>
              <w:spacing w:after="0"/>
              <w:rPr>
                <w:sz w:val="20"/>
                <w:szCs w:val="20"/>
                <w:color w:val="auto"/>
              </w:rPr>
            </w:pPr>
            <w:r>
              <w:rPr>
                <w:rFonts w:ascii="Arial" w:cs="Arial" w:eastAsia="Arial" w:hAnsi="Arial"/>
                <w:sz w:val="17"/>
                <w:szCs w:val="17"/>
                <w:color w:val="auto"/>
              </w:rPr>
              <w:t>135</w:t>
            </w: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*(10.4)</w:t>
            </w:r>
          </w:p>
        </w:tc>
        <w:tc>
          <w:tcPr>
            <w:tcW w:w="9640" w:type="dxa"/>
            <w:vAlign w:val="bottom"/>
            <w:gridSpan w:val="27"/>
          </w:tcPr>
          <w:p>
            <w:pPr>
              <w:spacing w:after="0"/>
              <w:rPr>
                <w:rFonts w:ascii="Arial" w:cs="Arial" w:eastAsia="Arial" w:hAnsi="Arial"/>
                <w:sz w:val="17"/>
                <w:szCs w:val="17"/>
                <w:color w:val="0000EE"/>
                <w:w w:val="95"/>
              </w:rPr>
            </w:pPr>
            <w:hyperlink r:id="rId199">
              <w:r>
                <w:rPr>
                  <w:rFonts w:ascii="Arial" w:cs="Arial" w:eastAsia="Arial" w:hAnsi="Arial"/>
                  <w:sz w:val="17"/>
                  <w:szCs w:val="17"/>
                  <w:color w:val="0000EE"/>
                  <w:w w:val="95"/>
                </w:rPr>
                <w:t>Eastman Kodak Company 2013 Omnibus Incentive Plan Form of Nonqualified Stock Option Agreement. (Incorporated by reference to</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460" w:type="dxa"/>
            <w:vAlign w:val="bottom"/>
            <w:tcBorders>
              <w:bottom w:val="single" w:sz="8" w:color="0000EE"/>
            </w:tcBorders>
            <w:gridSpan w:val="20"/>
          </w:tcPr>
          <w:p>
            <w:pPr>
              <w:spacing w:after="0" w:line="189" w:lineRule="exact"/>
              <w:rPr>
                <w:rFonts w:ascii="Arial" w:cs="Arial" w:eastAsia="Arial" w:hAnsi="Arial"/>
                <w:sz w:val="17"/>
                <w:szCs w:val="17"/>
                <w:color w:val="0000EE"/>
                <w:w w:val="93"/>
              </w:rPr>
            </w:pPr>
            <w:hyperlink r:id="rId199">
              <w:r>
                <w:rPr>
                  <w:rFonts w:ascii="Arial" w:cs="Arial" w:eastAsia="Arial" w:hAnsi="Arial"/>
                  <w:sz w:val="17"/>
                  <w:szCs w:val="17"/>
                  <w:color w:val="0000EE"/>
                  <w:w w:val="93"/>
                </w:rPr>
                <w:t>Exhibit 10.1 of the Company’s Quarterly Report on Form 10-Q for the quarterly period ended March 31, 2015 as filed on May 7, 2015).</w:t>
              </w:r>
            </w:hyperlink>
          </w:p>
        </w:tc>
        <w:tc>
          <w:tcPr>
            <w:tcW w:w="180" w:type="dxa"/>
            <w:vAlign w:val="bottom"/>
            <w:gridSpan w:val="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*(10.5)</w:t>
            </w:r>
          </w:p>
        </w:tc>
        <w:tc>
          <w:tcPr>
            <w:tcW w:w="9640" w:type="dxa"/>
            <w:vAlign w:val="bottom"/>
            <w:gridSpan w:val="27"/>
          </w:tcPr>
          <w:p>
            <w:pPr>
              <w:spacing w:after="0"/>
              <w:rPr>
                <w:rFonts w:ascii="Arial" w:cs="Arial" w:eastAsia="Arial" w:hAnsi="Arial"/>
                <w:sz w:val="17"/>
                <w:szCs w:val="17"/>
                <w:color w:val="0000EE"/>
                <w:w w:val="94"/>
              </w:rPr>
            </w:pPr>
            <w:hyperlink r:id="rId200">
              <w:r>
                <w:rPr>
                  <w:rFonts w:ascii="Arial" w:cs="Arial" w:eastAsia="Arial" w:hAnsi="Arial"/>
                  <w:sz w:val="17"/>
                  <w:szCs w:val="17"/>
                  <w:color w:val="0000EE"/>
                  <w:w w:val="94"/>
                </w:rPr>
                <w:t>Eastman Kodak Company 2013 Omnibus Incentive Plan Form of Executive Restricted Stock Unit and Nonqualified Stock Option Award</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w w:val="94"/>
              </w:rPr>
            </w:pPr>
            <w:hyperlink r:id="rId200">
              <w:r>
                <w:rPr>
                  <w:rFonts w:ascii="Arial" w:cs="Arial" w:eastAsia="Arial" w:hAnsi="Arial"/>
                  <w:sz w:val="17"/>
                  <w:szCs w:val="17"/>
                  <w:color w:val="0000EE"/>
                  <w:w w:val="94"/>
                </w:rPr>
                <w:t>Agreement (with Modified Accelerated Vesting).(Incorporated by reference to Exhibit 10.5 of the Company’s Annual Report on Form 10-</w:t>
              </w:r>
            </w:hyperlink>
          </w:p>
        </w:tc>
      </w:tr>
      <w:tr>
        <w:trPr>
          <w:trHeight w:val="188"/>
        </w:trPr>
        <w:tc>
          <w:tcPr>
            <w:tcW w:w="1600" w:type="dxa"/>
            <w:vAlign w:val="bottom"/>
          </w:tcPr>
          <w:p>
            <w:pPr>
              <w:spacing w:after="0"/>
              <w:rPr>
                <w:sz w:val="16"/>
                <w:szCs w:val="16"/>
                <w:color w:val="auto"/>
              </w:rPr>
            </w:pPr>
          </w:p>
        </w:tc>
        <w:tc>
          <w:tcPr>
            <w:tcW w:w="9600" w:type="dxa"/>
            <w:vAlign w:val="bottom"/>
            <w:tcBorders>
              <w:top w:val="single" w:sz="8" w:color="0000EE"/>
            </w:tcBorders>
            <w:gridSpan w:val="26"/>
          </w:tcPr>
          <w:p>
            <w:pPr>
              <w:spacing w:after="0" w:line="189" w:lineRule="exact"/>
              <w:rPr>
                <w:rFonts w:ascii="Arial" w:cs="Arial" w:eastAsia="Arial" w:hAnsi="Arial"/>
                <w:sz w:val="17"/>
                <w:szCs w:val="17"/>
                <w:color w:val="0000EE"/>
              </w:rPr>
            </w:pPr>
            <w:hyperlink r:id="rId200">
              <w:r>
                <w:rPr>
                  <w:rFonts w:ascii="Arial" w:cs="Arial" w:eastAsia="Arial" w:hAnsi="Arial"/>
                  <w:sz w:val="17"/>
                  <w:szCs w:val="17"/>
                  <w:color w:val="0000EE"/>
                </w:rPr>
                <w:t>K for the fiscal year ended December 31, 2016 as filed on March 7, 2017).</w:t>
              </w:r>
            </w:hyperlink>
          </w:p>
        </w:tc>
        <w:tc>
          <w:tcPr>
            <w:tcW w:w="40" w:type="dxa"/>
            <w:vAlign w:val="bottom"/>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*(10.6)</w:t>
            </w:r>
          </w:p>
        </w:tc>
        <w:tc>
          <w:tcPr>
            <w:tcW w:w="9640" w:type="dxa"/>
            <w:vAlign w:val="bottom"/>
            <w:gridSpan w:val="27"/>
          </w:tcPr>
          <w:p>
            <w:pPr>
              <w:spacing w:after="0"/>
              <w:rPr>
                <w:rFonts w:ascii="Arial" w:cs="Arial" w:eastAsia="Arial" w:hAnsi="Arial"/>
                <w:sz w:val="17"/>
                <w:szCs w:val="17"/>
                <w:color w:val="0000EE"/>
                <w:w w:val="94"/>
              </w:rPr>
            </w:pPr>
            <w:hyperlink r:id="rId201">
              <w:r>
                <w:rPr>
                  <w:rFonts w:ascii="Arial" w:cs="Arial" w:eastAsia="Arial" w:hAnsi="Arial"/>
                  <w:sz w:val="17"/>
                  <w:szCs w:val="17"/>
                  <w:color w:val="0000EE"/>
                  <w:w w:val="94"/>
                </w:rPr>
                <w:t>Eastman Kodak Company 2013 Omnibus Incentive Plan Form of Executive Restricted Stock Unit and Nonqualified Stock Option Award</w:t>
              </w:r>
            </w:hyperlink>
          </w:p>
        </w:tc>
      </w:tr>
      <w:tr>
        <w:trPr>
          <w:trHeight w:val="188"/>
        </w:trPr>
        <w:tc>
          <w:tcPr>
            <w:tcW w:w="1600" w:type="dxa"/>
            <w:vAlign w:val="bottom"/>
          </w:tcPr>
          <w:p>
            <w:pPr>
              <w:spacing w:after="0"/>
              <w:rPr>
                <w:sz w:val="16"/>
                <w:szCs w:val="16"/>
                <w:color w:val="auto"/>
              </w:rPr>
            </w:pPr>
          </w:p>
        </w:tc>
        <w:tc>
          <w:tcPr>
            <w:tcW w:w="9480" w:type="dxa"/>
            <w:vAlign w:val="bottom"/>
            <w:tcBorders>
              <w:top w:val="single" w:sz="8" w:color="0000EE"/>
              <w:bottom w:val="single" w:sz="8" w:color="0000EE"/>
            </w:tcBorders>
            <w:gridSpan w:val="21"/>
          </w:tcPr>
          <w:p>
            <w:pPr>
              <w:spacing w:after="0" w:line="189" w:lineRule="exact"/>
              <w:rPr>
                <w:rFonts w:ascii="Arial" w:cs="Arial" w:eastAsia="Arial" w:hAnsi="Arial"/>
                <w:sz w:val="17"/>
                <w:szCs w:val="17"/>
                <w:color w:val="0000EE"/>
                <w:w w:val="93"/>
              </w:rPr>
            </w:pPr>
            <w:hyperlink r:id="rId201">
              <w:r>
                <w:rPr>
                  <w:rFonts w:ascii="Arial" w:cs="Arial" w:eastAsia="Arial" w:hAnsi="Arial"/>
                  <w:sz w:val="17"/>
                  <w:szCs w:val="17"/>
                  <w:color w:val="0000EE"/>
                  <w:w w:val="93"/>
                </w:rPr>
                <w:t>Agreement (with Continued Vesting). (Incorporated by reference to Exhibit 10.6 of the Company’s Annual Report on Form 10-K for the</w:t>
              </w:r>
            </w:hyperlink>
          </w:p>
        </w:tc>
        <w:tc>
          <w:tcPr>
            <w:tcW w:w="60" w:type="dxa"/>
            <w:vAlign w:val="bottom"/>
            <w:tcBorders>
              <w:top w:val="single" w:sz="8" w:color="0000EE"/>
            </w:tcBorders>
            <w:gridSpan w:val="2"/>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52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r:id="rId201">
              <w:r>
                <w:rPr>
                  <w:rFonts w:ascii="Arial" w:cs="Arial" w:eastAsia="Arial" w:hAnsi="Arial"/>
                  <w:sz w:val="17"/>
                  <w:szCs w:val="17"/>
                  <w:color w:val="0000EE"/>
                  <w:w w:val="92"/>
                </w:rPr>
                <w:t>fiscal year ended December 31, 2016 as filed on March 7, 2017).</w:t>
              </w:r>
            </w:hyperlink>
          </w:p>
        </w:tc>
        <w:tc>
          <w:tcPr>
            <w:tcW w:w="5120" w:type="dxa"/>
            <w:vAlign w:val="bottom"/>
            <w:gridSpan w:val="19"/>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*(10.7)</w:t>
            </w:r>
          </w:p>
        </w:tc>
        <w:tc>
          <w:tcPr>
            <w:tcW w:w="9640" w:type="dxa"/>
            <w:vAlign w:val="bottom"/>
            <w:gridSpan w:val="27"/>
          </w:tcPr>
          <w:p>
            <w:pPr>
              <w:spacing w:after="0"/>
              <w:rPr>
                <w:rFonts w:ascii="Arial" w:cs="Arial" w:eastAsia="Arial" w:hAnsi="Arial"/>
                <w:sz w:val="17"/>
                <w:szCs w:val="17"/>
                <w:color w:val="0000EE"/>
                <w:w w:val="94"/>
              </w:rPr>
            </w:pPr>
            <w:hyperlink r:id="rId202">
              <w:r>
                <w:rPr>
                  <w:rFonts w:ascii="Arial" w:cs="Arial" w:eastAsia="Arial" w:hAnsi="Arial"/>
                  <w:sz w:val="17"/>
                  <w:szCs w:val="17"/>
                  <w:color w:val="0000EE"/>
                  <w:w w:val="94"/>
                </w:rPr>
                <w:t>Eastman Kodak Company 2013 Omnibus Incentive Plan Form of Executive Restricted Stock Unit and Nonqualified Stock Option Award</w:t>
              </w:r>
            </w:hyperlink>
          </w:p>
        </w:tc>
      </w:tr>
      <w:tr>
        <w:trPr>
          <w:trHeight w:val="188"/>
        </w:trPr>
        <w:tc>
          <w:tcPr>
            <w:tcW w:w="1600" w:type="dxa"/>
            <w:vAlign w:val="bottom"/>
          </w:tcPr>
          <w:p>
            <w:pPr>
              <w:spacing w:after="0"/>
              <w:rPr>
                <w:sz w:val="16"/>
                <w:szCs w:val="16"/>
                <w:color w:val="auto"/>
              </w:rPr>
            </w:pPr>
          </w:p>
        </w:tc>
        <w:tc>
          <w:tcPr>
            <w:tcW w:w="9440" w:type="dxa"/>
            <w:vAlign w:val="bottom"/>
            <w:tcBorders>
              <w:top w:val="single" w:sz="8" w:color="0000EE"/>
              <w:bottom w:val="single" w:sz="8" w:color="0000EE"/>
            </w:tcBorders>
            <w:gridSpan w:val="19"/>
          </w:tcPr>
          <w:p>
            <w:pPr>
              <w:spacing w:after="0" w:line="189" w:lineRule="exact"/>
              <w:rPr>
                <w:rFonts w:ascii="Arial" w:cs="Arial" w:eastAsia="Arial" w:hAnsi="Arial"/>
                <w:sz w:val="17"/>
                <w:szCs w:val="17"/>
                <w:color w:val="0000EE"/>
                <w:w w:val="93"/>
              </w:rPr>
            </w:pPr>
            <w:hyperlink r:id="rId202">
              <w:r>
                <w:rPr>
                  <w:rFonts w:ascii="Arial" w:cs="Arial" w:eastAsia="Arial" w:hAnsi="Arial"/>
                  <w:sz w:val="17"/>
                  <w:szCs w:val="17"/>
                  <w:color w:val="0000EE"/>
                  <w:w w:val="93"/>
                </w:rPr>
                <w:t>Agreement (with Forfeiture upon Termination). (Incorporated by reference to Exhibit 10.2 of the Company’s Quarterly Report on Form</w:t>
              </w:r>
            </w:hyperlink>
          </w:p>
        </w:tc>
        <w:tc>
          <w:tcPr>
            <w:tcW w:w="100" w:type="dxa"/>
            <w:vAlign w:val="bottom"/>
            <w:tcBorders>
              <w:top w:val="single" w:sz="8" w:color="0000EE"/>
            </w:tcBorders>
            <w:gridSpan w:val="4"/>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rPr>
            </w:pPr>
            <w:hyperlink r:id="rId202">
              <w:r>
                <w:rPr>
                  <w:rFonts w:ascii="Arial" w:cs="Arial" w:eastAsia="Arial" w:hAnsi="Arial"/>
                  <w:sz w:val="17"/>
                  <w:szCs w:val="17"/>
                  <w:color w:val="0000EE"/>
                </w:rPr>
                <w:t>10-Q for the quarterly period ended June 30, 2017 as filed on August 9, 2017).</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*(10.8)</w:t>
            </w:r>
          </w:p>
        </w:tc>
        <w:tc>
          <w:tcPr>
            <w:tcW w:w="9280" w:type="dxa"/>
            <w:vAlign w:val="bottom"/>
            <w:tcBorders>
              <w:bottom w:val="single" w:sz="8" w:color="0000EE"/>
            </w:tcBorders>
            <w:gridSpan w:val="16"/>
          </w:tcPr>
          <w:p>
            <w:pPr>
              <w:spacing w:after="0"/>
              <w:rPr>
                <w:rFonts w:ascii="Arial" w:cs="Arial" w:eastAsia="Arial" w:hAnsi="Arial"/>
                <w:sz w:val="17"/>
                <w:szCs w:val="17"/>
                <w:color w:val="0000EE"/>
                <w:w w:val="93"/>
              </w:rPr>
            </w:pPr>
            <w:hyperlink r:id="rId203">
              <w:r>
                <w:rPr>
                  <w:rFonts w:ascii="Arial" w:cs="Arial" w:eastAsia="Arial" w:hAnsi="Arial"/>
                  <w:sz w:val="17"/>
                  <w:szCs w:val="17"/>
                  <w:color w:val="0000EE"/>
                  <w:w w:val="93"/>
                </w:rPr>
                <w:t>Eastman Kodak Company 2013 Omnibus Incentive Plan Form of Director Restricted Stock Unit Award Agreement. (Incorporated by</w:t>
              </w:r>
            </w:hyperlink>
          </w:p>
        </w:tc>
        <w:tc>
          <w:tcPr>
            <w:tcW w:w="360" w:type="dxa"/>
            <w:vAlign w:val="bottom"/>
            <w:gridSpan w:val="11"/>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w w:val="94"/>
              </w:rPr>
            </w:pPr>
            <w:hyperlink r:id="rId203">
              <w:r>
                <w:rPr>
                  <w:rFonts w:ascii="Arial" w:cs="Arial" w:eastAsia="Arial" w:hAnsi="Arial"/>
                  <w:sz w:val="17"/>
                  <w:szCs w:val="17"/>
                  <w:color w:val="0000EE"/>
                  <w:w w:val="94"/>
                </w:rPr>
                <w:t>reference to Exhibit 10.3 of the Company’s Annual Report on Form 10-K for the fiscal year ended December 31, 2013 as filed on March</w:t>
              </w:r>
            </w:hyperlink>
          </w:p>
        </w:tc>
      </w:tr>
      <w:tr>
        <w:trPr>
          <w:trHeight w:val="188"/>
        </w:trPr>
        <w:tc>
          <w:tcPr>
            <w:tcW w:w="1600" w:type="dxa"/>
            <w:vAlign w:val="bottom"/>
          </w:tcPr>
          <w:p>
            <w:pPr>
              <w:spacing w:after="0"/>
              <w:rPr>
                <w:sz w:val="16"/>
                <w:szCs w:val="16"/>
                <w:color w:val="auto"/>
              </w:rPr>
            </w:pPr>
          </w:p>
        </w:tc>
        <w:tc>
          <w:tcPr>
            <w:tcW w:w="72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1"/>
              </w:rPr>
            </w:pPr>
            <w:hyperlink r:id="rId203">
              <w:r>
                <w:rPr>
                  <w:rFonts w:ascii="Arial" w:cs="Arial" w:eastAsia="Arial" w:hAnsi="Arial"/>
                  <w:sz w:val="17"/>
                  <w:szCs w:val="17"/>
                  <w:color w:val="0000EE"/>
                  <w:w w:val="91"/>
                </w:rPr>
                <w:t>19, 2014).</w:t>
              </w:r>
            </w:hyperlink>
          </w:p>
        </w:tc>
        <w:tc>
          <w:tcPr>
            <w:tcW w:w="122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*(10.9)</w:t>
            </w:r>
          </w:p>
        </w:tc>
        <w:tc>
          <w:tcPr>
            <w:tcW w:w="9640" w:type="dxa"/>
            <w:vAlign w:val="bottom"/>
            <w:gridSpan w:val="27"/>
          </w:tcPr>
          <w:p>
            <w:pPr>
              <w:spacing w:after="0"/>
              <w:rPr>
                <w:rFonts w:ascii="Arial" w:cs="Arial" w:eastAsia="Arial" w:hAnsi="Arial"/>
                <w:sz w:val="17"/>
                <w:szCs w:val="17"/>
                <w:color w:val="0000EE"/>
                <w:w w:val="95"/>
              </w:rPr>
            </w:pPr>
            <w:hyperlink r:id="rId204">
              <w:r>
                <w:rPr>
                  <w:rFonts w:ascii="Arial" w:cs="Arial" w:eastAsia="Arial" w:hAnsi="Arial"/>
                  <w:sz w:val="17"/>
                  <w:szCs w:val="17"/>
                  <w:color w:val="0000EE"/>
                  <w:w w:val="95"/>
                </w:rPr>
                <w:t>Eastman Kodak Company 2013 Omnibus Incentive Plan Form of Director Restricted Stock Unit Award Agreement (One Year Vesting).</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w w:val="93"/>
              </w:rPr>
            </w:pPr>
            <w:hyperlink r:id="rId204">
              <w:r>
                <w:rPr>
                  <w:rFonts w:ascii="Arial" w:cs="Arial" w:eastAsia="Arial" w:hAnsi="Arial"/>
                  <w:sz w:val="17"/>
                  <w:szCs w:val="17"/>
                  <w:color w:val="0000EE"/>
                  <w:w w:val="93"/>
                </w:rPr>
                <w:t>(Incorporated by reference to Exhibit 10.3 of the Company’s Quarterly Report on Form 10-Q for the quarterly period ended June 30, 2017</w:t>
              </w:r>
            </w:hyperlink>
          </w:p>
        </w:tc>
      </w:tr>
      <w:tr>
        <w:trPr>
          <w:trHeight w:val="188"/>
        </w:trPr>
        <w:tc>
          <w:tcPr>
            <w:tcW w:w="160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2"/>
              </w:rPr>
            </w:pPr>
            <w:hyperlink r:id="rId204">
              <w:r>
                <w:rPr>
                  <w:rFonts w:ascii="Arial" w:cs="Arial" w:eastAsia="Arial" w:hAnsi="Arial"/>
                  <w:sz w:val="17"/>
                  <w:szCs w:val="17"/>
                  <w:color w:val="0000EE"/>
                  <w:w w:val="92"/>
                </w:rPr>
                <w:t>as filed on August 9, 2017).</w:t>
              </w:r>
            </w:hyperlink>
          </w:p>
        </w:tc>
        <w:tc>
          <w:tcPr>
            <w:tcW w:w="7660" w:type="dxa"/>
            <w:vAlign w:val="bottom"/>
            <w:tcBorders>
              <w:top w:val="single" w:sz="8" w:color="0000EE"/>
            </w:tcBorders>
            <w:gridSpan w:val="23"/>
          </w:tcPr>
          <w:p>
            <w:pPr>
              <w:spacing w:after="0"/>
              <w:rPr>
                <w:sz w:val="16"/>
                <w:szCs w:val="16"/>
                <w:color w:val="auto"/>
              </w:rPr>
            </w:pPr>
          </w:p>
        </w:tc>
        <w:tc>
          <w:tcPr>
            <w:tcW w:w="40" w:type="dxa"/>
            <w:vAlign w:val="bottom"/>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*(10.10)</w:t>
            </w:r>
          </w:p>
        </w:tc>
        <w:tc>
          <w:tcPr>
            <w:tcW w:w="9580" w:type="dxa"/>
            <w:vAlign w:val="bottom"/>
            <w:tcBorders>
              <w:bottom w:val="single" w:sz="8" w:color="0000EE"/>
            </w:tcBorders>
            <w:gridSpan w:val="25"/>
          </w:tcPr>
          <w:p>
            <w:pPr>
              <w:spacing w:after="0"/>
              <w:rPr>
                <w:rFonts w:ascii="Arial" w:cs="Arial" w:eastAsia="Arial" w:hAnsi="Arial"/>
                <w:sz w:val="17"/>
                <w:szCs w:val="17"/>
                <w:color w:val="0000EE"/>
                <w:w w:val="93"/>
              </w:rPr>
            </w:pPr>
            <w:hyperlink r:id="rId205">
              <w:r>
                <w:rPr>
                  <w:rFonts w:ascii="Arial" w:cs="Arial" w:eastAsia="Arial" w:hAnsi="Arial"/>
                  <w:sz w:val="17"/>
                  <w:szCs w:val="17"/>
                  <w:color w:val="0000EE"/>
                  <w:w w:val="93"/>
                </w:rPr>
                <w:t>Eastman Kodak Company 2013 Omnibus Incentive Plan Form of Quarterly Director Restricted Stock Unit Award Agreement (Immediate</w:t>
              </w:r>
            </w:hyperlink>
          </w:p>
        </w:tc>
        <w:tc>
          <w:tcPr>
            <w:tcW w:w="60" w:type="dxa"/>
            <w:vAlign w:val="bottom"/>
            <w:gridSpan w:val="2"/>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26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r:id="rId205">
              <w:r>
                <w:rPr>
                  <w:rFonts w:ascii="Arial" w:cs="Arial" w:eastAsia="Arial" w:hAnsi="Arial"/>
                  <w:sz w:val="17"/>
                  <w:szCs w:val="17"/>
                  <w:color w:val="0000EE"/>
                  <w:w w:val="93"/>
                </w:rPr>
                <w:t>Vesting). (Incorporated by reference to Exhibit 10.1 of the Company’s Quarterly Report on Form 10-Q for the quarterly period ended</w:t>
              </w:r>
            </w:hyperlink>
          </w:p>
        </w:tc>
        <w:tc>
          <w:tcPr>
            <w:tcW w:w="380" w:type="dxa"/>
            <w:vAlign w:val="bottom"/>
            <w:gridSpan w:val="1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rPr>
            </w:pPr>
            <w:hyperlink r:id="rId205">
              <w:r>
                <w:rPr>
                  <w:rFonts w:ascii="Arial" w:cs="Arial" w:eastAsia="Arial" w:hAnsi="Arial"/>
                  <w:sz w:val="17"/>
                  <w:szCs w:val="17"/>
                  <w:color w:val="0000EE"/>
                </w:rPr>
                <w:t>September 30, 2019 as filed on November 7, 2019).</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*(10.11)</w:t>
            </w:r>
          </w:p>
        </w:tc>
        <w:tc>
          <w:tcPr>
            <w:tcW w:w="9160" w:type="dxa"/>
            <w:vAlign w:val="bottom"/>
            <w:tcBorders>
              <w:bottom w:val="single" w:sz="8" w:color="0000EE"/>
            </w:tcBorders>
            <w:gridSpan w:val="13"/>
          </w:tcPr>
          <w:p>
            <w:pPr>
              <w:spacing w:after="0"/>
              <w:rPr>
                <w:rFonts w:ascii="Arial" w:cs="Arial" w:eastAsia="Arial" w:hAnsi="Arial"/>
                <w:sz w:val="17"/>
                <w:szCs w:val="17"/>
                <w:color w:val="0000EE"/>
                <w:w w:val="93"/>
              </w:rPr>
            </w:pPr>
            <w:hyperlink r:id="rId206">
              <w:r>
                <w:rPr>
                  <w:rFonts w:ascii="Arial" w:cs="Arial" w:eastAsia="Arial" w:hAnsi="Arial"/>
                  <w:sz w:val="17"/>
                  <w:szCs w:val="17"/>
                  <w:color w:val="0000EE"/>
                  <w:w w:val="93"/>
                </w:rPr>
                <w:t>Eastman Kodak Company 2013 Omnibus Incentive Plan Form of Executive Nonqualifed Stock Option Award Agreement (multiple</w:t>
              </w:r>
            </w:hyperlink>
          </w:p>
        </w:tc>
        <w:tc>
          <w:tcPr>
            <w:tcW w:w="480" w:type="dxa"/>
            <w:vAlign w:val="bottom"/>
            <w:gridSpan w:val="14"/>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w w:val="95"/>
              </w:rPr>
            </w:pPr>
            <w:hyperlink r:id="rId206">
              <w:r>
                <w:rPr>
                  <w:rFonts w:ascii="Arial" w:cs="Arial" w:eastAsia="Arial" w:hAnsi="Arial"/>
                  <w:sz w:val="17"/>
                  <w:szCs w:val="17"/>
                  <w:color w:val="0000EE"/>
                  <w:w w:val="95"/>
                </w:rPr>
                <w:t>tranches). (Incorporated by reference to Exhibit (10.2) of the Company’s Quarterly Report on Form 10-Q for the quarterly period ended</w:t>
              </w:r>
            </w:hyperlink>
          </w:p>
        </w:tc>
      </w:tr>
      <w:tr>
        <w:trPr>
          <w:trHeight w:val="188"/>
        </w:trPr>
        <w:tc>
          <w:tcPr>
            <w:tcW w:w="160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1"/>
              </w:rPr>
            </w:pPr>
            <w:hyperlink r:id="rId206">
              <w:r>
                <w:rPr>
                  <w:rFonts w:ascii="Arial" w:cs="Arial" w:eastAsia="Arial" w:hAnsi="Arial"/>
                  <w:sz w:val="17"/>
                  <w:szCs w:val="17"/>
                  <w:color w:val="0000EE"/>
                  <w:w w:val="91"/>
                </w:rPr>
                <w:t>September 30, 2020 as filed on November 10, 2020).</w:t>
              </w:r>
            </w:hyperlink>
          </w:p>
        </w:tc>
        <w:tc>
          <w:tcPr>
            <w:tcW w:w="5740" w:type="dxa"/>
            <w:vAlign w:val="bottom"/>
            <w:tcBorders>
              <w:top w:val="single" w:sz="8" w:color="0000EE"/>
            </w:tcBorders>
            <w:gridSpan w:val="12"/>
          </w:tcPr>
          <w:p>
            <w:pPr>
              <w:spacing w:after="0"/>
              <w:rPr>
                <w:sz w:val="16"/>
                <w:szCs w:val="16"/>
                <w:color w:val="auto"/>
              </w:rPr>
            </w:pPr>
          </w:p>
        </w:tc>
        <w:tc>
          <w:tcPr>
            <w:tcW w:w="200" w:type="dxa"/>
            <w:vAlign w:val="bottom"/>
            <w:gridSpan w:val="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*(10.12)</w:t>
            </w:r>
          </w:p>
        </w:tc>
        <w:tc>
          <w:tcPr>
            <w:tcW w:w="9040" w:type="dxa"/>
            <w:vAlign w:val="bottom"/>
            <w:tcBorders>
              <w:bottom w:val="single" w:sz="8" w:color="0000EE"/>
            </w:tcBorders>
            <w:gridSpan w:val="12"/>
          </w:tcPr>
          <w:p>
            <w:pPr>
              <w:spacing w:after="0"/>
              <w:rPr>
                <w:rFonts w:ascii="Arial" w:cs="Arial" w:eastAsia="Arial" w:hAnsi="Arial"/>
                <w:sz w:val="17"/>
                <w:szCs w:val="17"/>
                <w:color w:val="0000EE"/>
                <w:w w:val="94"/>
              </w:rPr>
            </w:pPr>
            <w:hyperlink r:id="rId207">
              <w:r>
                <w:rPr>
                  <w:rFonts w:ascii="Arial" w:cs="Arial" w:eastAsia="Arial" w:hAnsi="Arial"/>
                  <w:sz w:val="17"/>
                  <w:szCs w:val="17"/>
                  <w:color w:val="0000EE"/>
                  <w:w w:val="94"/>
                </w:rPr>
                <w:t>Eastman Kodak Company 2013 Omnibus Incentive Plan Form of Director Nonqualifed Stock Option Award Agreement (multiple</w:t>
              </w:r>
            </w:hyperlink>
          </w:p>
        </w:tc>
        <w:tc>
          <w:tcPr>
            <w:tcW w:w="600" w:type="dxa"/>
            <w:vAlign w:val="bottom"/>
            <w:gridSpan w:val="15"/>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w w:val="95"/>
              </w:rPr>
            </w:pPr>
            <w:hyperlink r:id="rId207">
              <w:r>
                <w:rPr>
                  <w:rFonts w:ascii="Arial" w:cs="Arial" w:eastAsia="Arial" w:hAnsi="Arial"/>
                  <w:sz w:val="17"/>
                  <w:szCs w:val="17"/>
                  <w:color w:val="0000EE"/>
                  <w:w w:val="95"/>
                </w:rPr>
                <w:t>tranches). (Incorporated by reference to Exhibit (10.3) of the Company’s Quarterly Report on Form 10-Q for the quarterly period ended</w:t>
              </w:r>
            </w:hyperlink>
          </w:p>
        </w:tc>
      </w:tr>
      <w:tr>
        <w:trPr>
          <w:trHeight w:val="188"/>
        </w:trPr>
        <w:tc>
          <w:tcPr>
            <w:tcW w:w="160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1"/>
              </w:rPr>
            </w:pPr>
            <w:hyperlink r:id="rId207">
              <w:r>
                <w:rPr>
                  <w:rFonts w:ascii="Arial" w:cs="Arial" w:eastAsia="Arial" w:hAnsi="Arial"/>
                  <w:sz w:val="17"/>
                  <w:szCs w:val="17"/>
                  <w:color w:val="0000EE"/>
                  <w:w w:val="91"/>
                </w:rPr>
                <w:t>September 30, 2020 as filed on November 10, 2020).</w:t>
              </w:r>
            </w:hyperlink>
          </w:p>
        </w:tc>
        <w:tc>
          <w:tcPr>
            <w:tcW w:w="5740" w:type="dxa"/>
            <w:vAlign w:val="bottom"/>
            <w:tcBorders>
              <w:top w:val="single" w:sz="8" w:color="0000EE"/>
            </w:tcBorders>
            <w:gridSpan w:val="12"/>
          </w:tcPr>
          <w:p>
            <w:pPr>
              <w:spacing w:after="0"/>
              <w:rPr>
                <w:sz w:val="16"/>
                <w:szCs w:val="16"/>
                <w:color w:val="auto"/>
              </w:rPr>
            </w:pPr>
          </w:p>
        </w:tc>
        <w:tc>
          <w:tcPr>
            <w:tcW w:w="200" w:type="dxa"/>
            <w:vAlign w:val="bottom"/>
            <w:gridSpan w:val="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*(10.13)</w:t>
            </w:r>
          </w:p>
        </w:tc>
        <w:tc>
          <w:tcPr>
            <w:tcW w:w="9400" w:type="dxa"/>
            <w:vAlign w:val="bottom"/>
            <w:tcBorders>
              <w:bottom w:val="single" w:sz="8" w:color="0000EE"/>
            </w:tcBorders>
            <w:gridSpan w:val="18"/>
          </w:tcPr>
          <w:p>
            <w:pPr>
              <w:spacing w:after="0"/>
              <w:rPr>
                <w:rFonts w:ascii="Arial" w:cs="Arial" w:eastAsia="Arial" w:hAnsi="Arial"/>
                <w:sz w:val="17"/>
                <w:szCs w:val="17"/>
                <w:color w:val="0000EE"/>
                <w:w w:val="94"/>
              </w:rPr>
            </w:pPr>
            <w:hyperlink r:id="rId208">
              <w:r>
                <w:rPr>
                  <w:rFonts w:ascii="Arial" w:cs="Arial" w:eastAsia="Arial" w:hAnsi="Arial"/>
                  <w:sz w:val="17"/>
                  <w:szCs w:val="17"/>
                  <w:color w:val="0000EE"/>
                  <w:w w:val="94"/>
                </w:rPr>
                <w:t>Eastman Kodak Company 2013 Omnibus Incentive Plan Form of Executive Restricted Stock Unit Award Agreement (with Immediate</w:t>
              </w:r>
            </w:hyperlink>
          </w:p>
        </w:tc>
        <w:tc>
          <w:tcPr>
            <w:tcW w:w="240" w:type="dxa"/>
            <w:vAlign w:val="bottom"/>
            <w:gridSpan w:val="9"/>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w w:val="94"/>
              </w:rPr>
            </w:pPr>
            <w:hyperlink r:id="rId208">
              <w:r>
                <w:rPr>
                  <w:rFonts w:ascii="Arial" w:cs="Arial" w:eastAsia="Arial" w:hAnsi="Arial"/>
                  <w:sz w:val="17"/>
                  <w:szCs w:val="17"/>
                  <w:color w:val="0000EE"/>
                  <w:w w:val="94"/>
                </w:rPr>
                <w:t>Vesting) (Incorporated by reference to Exhibit 10.12 of the Company’s Annual Report on Form 10-K for the fiscal year ended December</w:t>
              </w:r>
            </w:hyperlink>
          </w:p>
        </w:tc>
      </w:tr>
      <w:tr>
        <w:trPr>
          <w:trHeight w:val="188"/>
        </w:trPr>
        <w:tc>
          <w:tcPr>
            <w:tcW w:w="1600" w:type="dxa"/>
            <w:vAlign w:val="bottom"/>
          </w:tcPr>
          <w:p>
            <w:pPr>
              <w:spacing w:after="0"/>
              <w:rPr>
                <w:sz w:val="16"/>
                <w:szCs w:val="16"/>
                <w:color w:val="auto"/>
              </w:rPr>
            </w:pPr>
          </w:p>
        </w:tc>
        <w:tc>
          <w:tcPr>
            <w:tcW w:w="950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r:id="rId208">
              <w:r>
                <w:rPr>
                  <w:rFonts w:ascii="Arial" w:cs="Arial" w:eastAsia="Arial" w:hAnsi="Arial"/>
                  <w:sz w:val="17"/>
                  <w:szCs w:val="17"/>
                  <w:color w:val="0000EE"/>
                </w:rPr>
                <w:t>31, 2020 as filed on March 16, 2021).</w:t>
              </w:r>
            </w:hyperlink>
          </w:p>
        </w:tc>
        <w:tc>
          <w:tcPr>
            <w:tcW w:w="140" w:type="dxa"/>
            <w:vAlign w:val="bottom"/>
            <w:gridSpan w:val="5"/>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*(10.14)</w:t>
            </w:r>
          </w:p>
        </w:tc>
        <w:tc>
          <w:tcPr>
            <w:tcW w:w="9240" w:type="dxa"/>
            <w:vAlign w:val="bottom"/>
            <w:tcBorders>
              <w:bottom w:val="single" w:sz="8" w:color="0000EE"/>
            </w:tcBorders>
            <w:gridSpan w:val="14"/>
          </w:tcPr>
          <w:p>
            <w:pPr>
              <w:spacing w:after="0"/>
              <w:rPr>
                <w:rFonts w:ascii="Arial" w:cs="Arial" w:eastAsia="Arial" w:hAnsi="Arial"/>
                <w:sz w:val="17"/>
                <w:szCs w:val="17"/>
                <w:color w:val="0000EE"/>
                <w:w w:val="94"/>
              </w:rPr>
            </w:pPr>
            <w:hyperlink r:id="rId209">
              <w:r>
                <w:rPr>
                  <w:rFonts w:ascii="Arial" w:cs="Arial" w:eastAsia="Arial" w:hAnsi="Arial"/>
                  <w:sz w:val="17"/>
                  <w:szCs w:val="17"/>
                  <w:color w:val="0000EE"/>
                  <w:w w:val="94"/>
                </w:rPr>
                <w:t>Eastman Kodak Company 2013 Omnibus Incentive Plan Form of Executive Restricted Stock Unit Award Agreement (with Modified</w:t>
              </w:r>
            </w:hyperlink>
          </w:p>
        </w:tc>
        <w:tc>
          <w:tcPr>
            <w:tcW w:w="400" w:type="dxa"/>
            <w:vAlign w:val="bottom"/>
            <w:gridSpan w:val="13"/>
          </w:tcPr>
          <w:p>
            <w:pPr>
              <w:spacing w:after="0"/>
              <w:rPr>
                <w:sz w:val="24"/>
                <w:szCs w:val="24"/>
                <w:color w:val="auto"/>
              </w:rPr>
            </w:pPr>
          </w:p>
        </w:tc>
      </w:tr>
      <w:tr>
        <w:trPr>
          <w:trHeight w:val="214"/>
        </w:trPr>
        <w:tc>
          <w:tcPr>
            <w:tcW w:w="1600" w:type="dxa"/>
            <w:vAlign w:val="bottom"/>
          </w:tcPr>
          <w:p>
            <w:pPr>
              <w:spacing w:after="0"/>
              <w:rPr>
                <w:sz w:val="18"/>
                <w:szCs w:val="18"/>
                <w:color w:val="auto"/>
              </w:rPr>
            </w:pPr>
          </w:p>
        </w:tc>
        <w:tc>
          <w:tcPr>
            <w:tcW w:w="9640" w:type="dxa"/>
            <w:vAlign w:val="bottom"/>
            <w:tcBorders>
              <w:bottom w:val="single" w:sz="8" w:color="0000EE"/>
            </w:tcBorders>
            <w:gridSpan w:val="27"/>
          </w:tcPr>
          <w:p>
            <w:pPr>
              <w:spacing w:after="0"/>
              <w:rPr>
                <w:rFonts w:ascii="Arial" w:cs="Arial" w:eastAsia="Arial" w:hAnsi="Arial"/>
                <w:sz w:val="17"/>
                <w:szCs w:val="17"/>
                <w:color w:val="0000EE"/>
                <w:w w:val="93"/>
              </w:rPr>
            </w:pPr>
            <w:hyperlink r:id="rId209">
              <w:r>
                <w:rPr>
                  <w:rFonts w:ascii="Arial" w:cs="Arial" w:eastAsia="Arial" w:hAnsi="Arial"/>
                  <w:sz w:val="17"/>
                  <w:szCs w:val="17"/>
                  <w:color w:val="0000EE"/>
                  <w:w w:val="93"/>
                </w:rPr>
                <w:t>Accelerated Vesting) (Incorporated by reference to Exhibit 10.13 of the Company’s Annual Report on Form 10-K for the fiscal year ended</w:t>
              </w:r>
            </w:hyperlink>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rPr>
            </w:pPr>
            <w:hyperlink r:id="rId209">
              <w:r>
                <w:rPr>
                  <w:rFonts w:ascii="Arial" w:cs="Arial" w:eastAsia="Arial" w:hAnsi="Arial"/>
                  <w:sz w:val="17"/>
                  <w:szCs w:val="17"/>
                  <w:color w:val="0000EE"/>
                </w:rPr>
                <w:t>December 31, 2020 as filed on March 16, 2021).</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*(10.15)</w:t>
            </w:r>
          </w:p>
        </w:tc>
        <w:tc>
          <w:tcPr>
            <w:tcW w:w="9640" w:type="dxa"/>
            <w:vAlign w:val="bottom"/>
            <w:gridSpan w:val="27"/>
          </w:tcPr>
          <w:p>
            <w:pPr>
              <w:spacing w:after="0"/>
              <w:rPr>
                <w:rFonts w:ascii="Arial" w:cs="Arial" w:eastAsia="Arial" w:hAnsi="Arial"/>
                <w:sz w:val="17"/>
                <w:szCs w:val="17"/>
                <w:color w:val="0000EE"/>
                <w:w w:val="93"/>
              </w:rPr>
            </w:pPr>
            <w:hyperlink r:id="rId210">
              <w:r>
                <w:rPr>
                  <w:rFonts w:ascii="Arial" w:cs="Arial" w:eastAsia="Arial" w:hAnsi="Arial"/>
                  <w:sz w:val="17"/>
                  <w:szCs w:val="17"/>
                  <w:color w:val="0000EE"/>
                  <w:w w:val="93"/>
                </w:rPr>
                <w:t>Eastman Kodak Company 2013 Omnibus Incentive Plan Form of Director Restricted Share Award Agreement (Incorporated by reference</w:t>
              </w:r>
            </w:hyperlink>
          </w:p>
        </w:tc>
      </w:tr>
      <w:tr>
        <w:trPr>
          <w:trHeight w:val="188"/>
        </w:trPr>
        <w:tc>
          <w:tcPr>
            <w:tcW w:w="1600" w:type="dxa"/>
            <w:vAlign w:val="bottom"/>
          </w:tcPr>
          <w:p>
            <w:pPr>
              <w:spacing w:after="0"/>
              <w:rPr>
                <w:sz w:val="16"/>
                <w:szCs w:val="16"/>
                <w:color w:val="auto"/>
              </w:rPr>
            </w:pPr>
          </w:p>
        </w:tc>
        <w:tc>
          <w:tcPr>
            <w:tcW w:w="9560" w:type="dxa"/>
            <w:vAlign w:val="bottom"/>
            <w:tcBorders>
              <w:top w:val="single" w:sz="8" w:color="0000EE"/>
            </w:tcBorders>
            <w:gridSpan w:val="24"/>
          </w:tcPr>
          <w:p>
            <w:pPr>
              <w:spacing w:after="0" w:line="189" w:lineRule="exact"/>
              <w:rPr>
                <w:rFonts w:ascii="Arial" w:cs="Arial" w:eastAsia="Arial" w:hAnsi="Arial"/>
                <w:sz w:val="17"/>
                <w:szCs w:val="17"/>
                <w:color w:val="0000EE"/>
                <w:w w:val="95"/>
              </w:rPr>
            </w:pPr>
            <w:hyperlink r:id="rId210">
              <w:r>
                <w:rPr>
                  <w:rFonts w:ascii="Arial" w:cs="Arial" w:eastAsia="Arial" w:hAnsi="Arial"/>
                  <w:sz w:val="17"/>
                  <w:szCs w:val="17"/>
                  <w:color w:val="0000EE"/>
                  <w:w w:val="95"/>
                </w:rPr>
                <w:t>to Exhibit 10.2 of the Company’s Quarterly Report on Form 10-Q for the quarterly period ended June 30, 2021 as filed on August 10,</w:t>
              </w:r>
            </w:hyperlink>
          </w:p>
        </w:tc>
        <w:tc>
          <w:tcPr>
            <w:tcW w:w="80" w:type="dxa"/>
            <w:vAlign w:val="bottom"/>
            <w:gridSpan w:val="3"/>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1"/>
              </w:rPr>
            </w:pPr>
            <w:hyperlink r:id="rId210">
              <w:r>
                <w:rPr>
                  <w:rFonts w:ascii="Arial" w:cs="Arial" w:eastAsia="Arial" w:hAnsi="Arial"/>
                  <w:sz w:val="17"/>
                  <w:szCs w:val="17"/>
                  <w:color w:val="0000EE"/>
                  <w:w w:val="91"/>
                </w:rPr>
                <w:t>2021).</w:t>
              </w:r>
            </w:hyperlink>
          </w:p>
        </w:tc>
        <w:tc>
          <w:tcPr>
            <w:tcW w:w="2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*(10.16)</w:t>
            </w:r>
          </w:p>
        </w:tc>
        <w:tc>
          <w:tcPr>
            <w:tcW w:w="9320" w:type="dxa"/>
            <w:vAlign w:val="bottom"/>
            <w:tcBorders>
              <w:bottom w:val="single" w:sz="8" w:color="0000EE"/>
            </w:tcBorders>
            <w:gridSpan w:val="17"/>
          </w:tcPr>
          <w:p>
            <w:pPr>
              <w:spacing w:after="0"/>
              <w:rPr>
                <w:rFonts w:ascii="Arial" w:cs="Arial" w:eastAsia="Arial" w:hAnsi="Arial"/>
                <w:sz w:val="17"/>
                <w:szCs w:val="17"/>
                <w:color w:val="0000EE"/>
                <w:w w:val="92"/>
              </w:rPr>
            </w:pPr>
            <w:hyperlink r:id="rId211">
              <w:r>
                <w:rPr>
                  <w:rFonts w:ascii="Arial" w:cs="Arial" w:eastAsia="Arial" w:hAnsi="Arial"/>
                  <w:sz w:val="17"/>
                  <w:szCs w:val="17"/>
                  <w:color w:val="0000EE"/>
                  <w:w w:val="92"/>
                </w:rPr>
                <w:t>Eastman Kodak Company Deferred Compensation Plan for Directors dated December 26, 2013. (Incorporated by reference to Exhibit</w:t>
              </w:r>
            </w:hyperlink>
          </w:p>
        </w:tc>
        <w:tc>
          <w:tcPr>
            <w:tcW w:w="320" w:type="dxa"/>
            <w:vAlign w:val="bottom"/>
            <w:gridSpan w:val="10"/>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7"/>
          </w:tcPr>
          <w:p>
            <w:pPr>
              <w:spacing w:after="0" w:line="189" w:lineRule="exact"/>
              <w:rPr>
                <w:rFonts w:ascii="Arial" w:cs="Arial" w:eastAsia="Arial" w:hAnsi="Arial"/>
                <w:sz w:val="17"/>
                <w:szCs w:val="17"/>
                <w:color w:val="0000EE"/>
              </w:rPr>
            </w:pPr>
            <w:hyperlink r:id="rId211">
              <w:r>
                <w:rPr>
                  <w:rFonts w:ascii="Arial" w:cs="Arial" w:eastAsia="Arial" w:hAnsi="Arial"/>
                  <w:sz w:val="17"/>
                  <w:szCs w:val="17"/>
                  <w:color w:val="0000EE"/>
                </w:rPr>
                <w:t>10.</w:t>
              </w:r>
              <w:r>
                <w:rPr>
                  <w:rFonts w:ascii="Arial" w:cs="Arial" w:eastAsia="Arial" w:hAnsi="Arial"/>
                  <w:sz w:val="17"/>
                  <w:szCs w:val="17"/>
                  <w:u w:val="single" w:color="auto"/>
                  <w:color w:val="0000EE"/>
                </w:rPr>
                <w:t>23</w:t>
              </w:r>
              <w:r>
                <w:rPr>
                  <w:rFonts w:ascii="Arial" w:cs="Arial" w:eastAsia="Arial" w:hAnsi="Arial"/>
                  <w:sz w:val="17"/>
                  <w:szCs w:val="17"/>
                  <w:color w:val="0000EE"/>
                </w:rPr>
                <w:t xml:space="preserve"> of the Company’s Annual Report on Form 10-K for the fiscal year ended December 31, 2013 as filed on March 19, 2014).</w:t>
              </w:r>
            </w:hyperlink>
          </w:p>
        </w:tc>
      </w:tr>
      <w:tr>
        <w:trPr>
          <w:trHeight w:val="670"/>
        </w:trPr>
        <w:tc>
          <w:tcPr>
            <w:tcW w:w="1600" w:type="dxa"/>
            <w:vAlign w:val="bottom"/>
          </w:tcPr>
          <w:p>
            <w:pPr>
              <w:spacing w:after="0"/>
              <w:rPr>
                <w:sz w:val="24"/>
                <w:szCs w:val="24"/>
                <w:color w:val="auto"/>
              </w:rPr>
            </w:pPr>
          </w:p>
        </w:tc>
        <w:tc>
          <w:tcPr>
            <w:tcW w:w="4520" w:type="dxa"/>
            <w:vAlign w:val="bottom"/>
            <w:tcBorders>
              <w:top w:val="single" w:sz="8" w:color="0000EE"/>
            </w:tcBorders>
            <w:gridSpan w:val="8"/>
          </w:tcPr>
          <w:p>
            <w:pPr>
              <w:ind w:left="3900"/>
              <w:spacing w:after="0"/>
              <w:rPr>
                <w:sz w:val="20"/>
                <w:szCs w:val="20"/>
                <w:color w:val="auto"/>
              </w:rPr>
            </w:pPr>
            <w:r>
              <w:rPr>
                <w:rFonts w:ascii="Arial" w:cs="Arial" w:eastAsia="Arial" w:hAnsi="Arial"/>
                <w:sz w:val="17"/>
                <w:szCs w:val="17"/>
                <w:color w:val="auto"/>
              </w:rPr>
              <w:t>136</w:t>
            </w:r>
          </w:p>
        </w:tc>
        <w:tc>
          <w:tcPr>
            <w:tcW w:w="6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*(10.17)</w:t>
            </w:r>
          </w:p>
        </w:tc>
        <w:tc>
          <w:tcPr>
            <w:tcW w:w="9640" w:type="dxa"/>
            <w:vAlign w:val="bottom"/>
            <w:tcBorders>
              <w:bottom w:val="single" w:sz="8" w:color="0000EE"/>
            </w:tcBorders>
            <w:gridSpan w:val="31"/>
          </w:tcPr>
          <w:p>
            <w:pPr>
              <w:spacing w:after="0"/>
              <w:rPr>
                <w:rFonts w:ascii="Arial" w:cs="Arial" w:eastAsia="Arial" w:hAnsi="Arial"/>
                <w:sz w:val="17"/>
                <w:szCs w:val="17"/>
                <w:color w:val="0000EE"/>
                <w:w w:val="92"/>
              </w:rPr>
            </w:pPr>
            <w:hyperlink r:id="rId214">
              <w:r>
                <w:rPr>
                  <w:rFonts w:ascii="Arial" w:cs="Arial" w:eastAsia="Arial" w:hAnsi="Arial"/>
                  <w:sz w:val="17"/>
                  <w:szCs w:val="17"/>
                  <w:color w:val="0000EE"/>
                  <w:w w:val="92"/>
                </w:rPr>
                <w:t>Eastman Kodak Company Officer Severance Policy, effective as of November 10, 2015. (Incorporated by reference to Exhibit 10.25 of the</w:t>
              </w:r>
            </w:hyperlink>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rPr>
            </w:pPr>
            <w:hyperlink r:id="rId214">
              <w:r>
                <w:rPr>
                  <w:rFonts w:ascii="Arial" w:cs="Arial" w:eastAsia="Arial" w:hAnsi="Arial"/>
                  <w:sz w:val="17"/>
                  <w:szCs w:val="17"/>
                  <w:color w:val="0000EE"/>
                </w:rPr>
                <w:t>Company’s Annual Report on Form 10-K for the fiscal year ended December 31, 2015 as filed on March 15, 2016).</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*(10.18)</w:t>
            </w:r>
          </w:p>
        </w:tc>
        <w:tc>
          <w:tcPr>
            <w:tcW w:w="8820" w:type="dxa"/>
            <w:vAlign w:val="bottom"/>
            <w:tcBorders>
              <w:bottom w:val="single" w:sz="8" w:color="0000EE"/>
            </w:tcBorders>
            <w:gridSpan w:val="11"/>
          </w:tcPr>
          <w:p>
            <w:pPr>
              <w:spacing w:after="0"/>
              <w:rPr>
                <w:rFonts w:ascii="Arial" w:cs="Arial" w:eastAsia="Arial" w:hAnsi="Arial"/>
                <w:sz w:val="17"/>
                <w:szCs w:val="17"/>
                <w:color w:val="0000EE"/>
                <w:w w:val="91"/>
              </w:rPr>
            </w:pPr>
            <w:hyperlink r:id="rId215">
              <w:r>
                <w:rPr>
                  <w:rFonts w:ascii="Arial" w:cs="Arial" w:eastAsia="Arial" w:hAnsi="Arial"/>
                  <w:sz w:val="17"/>
                  <w:szCs w:val="17"/>
                  <w:color w:val="0000EE"/>
                  <w:w w:val="91"/>
                </w:rPr>
                <w:t>Eastman Kodak Company Executive Compensation for Excellence and Leadership (as amended and restated January 1, 2014).</w:t>
              </w:r>
            </w:hyperlink>
          </w:p>
        </w:tc>
        <w:tc>
          <w:tcPr>
            <w:tcW w:w="820" w:type="dxa"/>
            <w:vAlign w:val="bottom"/>
            <w:gridSpan w:val="20"/>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w w:val="96"/>
              </w:rPr>
            </w:pPr>
            <w:hyperlink r:id="rId215">
              <w:r>
                <w:rPr>
                  <w:rFonts w:ascii="Arial" w:cs="Arial" w:eastAsia="Arial" w:hAnsi="Arial"/>
                  <w:sz w:val="17"/>
                  <w:szCs w:val="17"/>
                  <w:color w:val="0000EE"/>
                  <w:w w:val="96"/>
                </w:rPr>
                <w:t>(Incorporated by reference to Exhibit 10.2 of the Company’s Quarterly Report on Form 10-Q for the quarterly period ended March 31,</w:t>
              </w:r>
            </w:hyperlink>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r:id="rId215">
              <w:r>
                <w:rPr>
                  <w:rFonts w:ascii="Arial" w:cs="Arial" w:eastAsia="Arial" w:hAnsi="Arial"/>
                  <w:sz w:val="17"/>
                  <w:szCs w:val="17"/>
                  <w:color w:val="0000EE"/>
                </w:rPr>
                <w:t>2014 as filed on May 6, 2014).</w:t>
              </w:r>
            </w:hyperlink>
          </w:p>
        </w:tc>
        <w:tc>
          <w:tcPr>
            <w:tcW w:w="300" w:type="dxa"/>
            <w:vAlign w:val="bottom"/>
            <w:gridSpan w:val="9"/>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*(10.19)</w:t>
            </w:r>
          </w:p>
        </w:tc>
        <w:tc>
          <w:tcPr>
            <w:tcW w:w="9640" w:type="dxa"/>
            <w:vAlign w:val="bottom"/>
            <w:gridSpan w:val="31"/>
          </w:tcPr>
          <w:p>
            <w:pPr>
              <w:spacing w:after="0"/>
              <w:rPr>
                <w:rFonts w:ascii="Arial" w:cs="Arial" w:eastAsia="Arial" w:hAnsi="Arial"/>
                <w:sz w:val="17"/>
                <w:szCs w:val="17"/>
                <w:color w:val="0000EE"/>
                <w:w w:val="98"/>
              </w:rPr>
            </w:pPr>
            <w:hyperlink r:id="rId216">
              <w:r>
                <w:rPr>
                  <w:rFonts w:ascii="Arial" w:cs="Arial" w:eastAsia="Arial" w:hAnsi="Arial"/>
                  <w:sz w:val="17"/>
                  <w:szCs w:val="17"/>
                  <w:color w:val="0000EE"/>
                  <w:w w:val="98"/>
                </w:rPr>
                <w:t>Executive Chairman and CEO Agreement between Eastman Kodak Company and James V. Continenza, dated February 26, 2021</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560" w:type="dxa"/>
            <w:vAlign w:val="bottom"/>
            <w:tcBorders>
              <w:bottom w:val="single" w:sz="8" w:color="0000EE"/>
            </w:tcBorders>
            <w:gridSpan w:val="27"/>
          </w:tcPr>
          <w:p>
            <w:pPr>
              <w:spacing w:after="0" w:line="189" w:lineRule="exact"/>
              <w:rPr>
                <w:rFonts w:ascii="Arial" w:cs="Arial" w:eastAsia="Arial" w:hAnsi="Arial"/>
                <w:sz w:val="17"/>
                <w:szCs w:val="17"/>
                <w:color w:val="0000EE"/>
                <w:w w:val="93"/>
              </w:rPr>
            </w:pPr>
            <w:hyperlink r:id="rId216">
              <w:r>
                <w:rPr>
                  <w:rFonts w:ascii="Arial" w:cs="Arial" w:eastAsia="Arial" w:hAnsi="Arial"/>
                  <w:sz w:val="17"/>
                  <w:szCs w:val="17"/>
                  <w:color w:val="0000EE"/>
                  <w:w w:val="93"/>
                </w:rPr>
                <w:t>(Incorporated by reference to Exhibit 10.17 of the Company’s Annual Report on Form 10-K for the fiscal year ended December 31, 2020</w:t>
              </w:r>
            </w:hyperlink>
          </w:p>
        </w:tc>
        <w:tc>
          <w:tcPr>
            <w:tcW w:w="8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198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r:id="rId216">
              <w:r>
                <w:rPr>
                  <w:rFonts w:ascii="Arial" w:cs="Arial" w:eastAsia="Arial" w:hAnsi="Arial"/>
                  <w:sz w:val="17"/>
                  <w:szCs w:val="17"/>
                  <w:color w:val="0000EE"/>
                  <w:w w:val="92"/>
                </w:rPr>
                <w:t>as filed on March 16, 2021).</w:t>
              </w:r>
            </w:hyperlink>
          </w:p>
        </w:tc>
        <w:tc>
          <w:tcPr>
            <w:tcW w:w="7660" w:type="dxa"/>
            <w:vAlign w:val="bottom"/>
            <w:gridSpan w:val="2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*(10.20)</w:t>
            </w:r>
          </w:p>
        </w:tc>
        <w:tc>
          <w:tcPr>
            <w:tcW w:w="9200" w:type="dxa"/>
            <w:vAlign w:val="bottom"/>
            <w:tcBorders>
              <w:bottom w:val="single" w:sz="8" w:color="0000EE"/>
            </w:tcBorders>
            <w:gridSpan w:val="17"/>
          </w:tcPr>
          <w:p>
            <w:pPr>
              <w:spacing w:after="0"/>
              <w:rPr>
                <w:rFonts w:ascii="Arial" w:cs="Arial" w:eastAsia="Arial" w:hAnsi="Arial"/>
                <w:sz w:val="17"/>
                <w:szCs w:val="17"/>
                <w:color w:val="0000EE"/>
                <w:w w:val="91"/>
              </w:rPr>
            </w:pPr>
            <w:hyperlink r:id="rId217">
              <w:r>
                <w:rPr>
                  <w:rFonts w:ascii="Arial" w:cs="Arial" w:eastAsia="Arial" w:hAnsi="Arial"/>
                  <w:sz w:val="17"/>
                  <w:szCs w:val="17"/>
                  <w:color w:val="0000EE"/>
                  <w:w w:val="91"/>
                </w:rPr>
                <w:t>James V. Continenza Consolidated Award Agreements, Tranches 1-4, dated February 20, 2019 (Incorporated by reference to Exhibit</w:t>
              </w:r>
            </w:hyperlink>
          </w:p>
        </w:tc>
        <w:tc>
          <w:tcPr>
            <w:tcW w:w="440" w:type="dxa"/>
            <w:vAlign w:val="bottom"/>
            <w:gridSpan w:val="14"/>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rPr>
            </w:pPr>
            <w:hyperlink r:id="rId217">
              <w:r>
                <w:rPr>
                  <w:rFonts w:ascii="Arial" w:cs="Arial" w:eastAsia="Arial" w:hAnsi="Arial"/>
                  <w:sz w:val="17"/>
                  <w:szCs w:val="17"/>
                  <w:color w:val="0000EE"/>
                </w:rPr>
                <w:t>(10.</w:t>
              </w:r>
              <w:r>
                <w:rPr>
                  <w:rFonts w:ascii="Arial" w:cs="Arial" w:eastAsia="Arial" w:hAnsi="Arial"/>
                  <w:sz w:val="17"/>
                  <w:szCs w:val="17"/>
                  <w:u w:val="single" w:color="auto"/>
                  <w:color w:val="0000EE"/>
                </w:rPr>
                <w:t>24)</w:t>
              </w:r>
              <w:r>
                <w:rPr>
                  <w:rFonts w:ascii="Arial" w:cs="Arial" w:eastAsia="Arial" w:hAnsi="Arial"/>
                  <w:sz w:val="17"/>
                  <w:szCs w:val="17"/>
                  <w:color w:val="0000EE"/>
                </w:rPr>
                <w:t xml:space="preserve"> of the Company’s Annual Report on Form 10-K for the fiscal year ended December 31, 2018 as filed on April 1, 2019).</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*(10.21)</w:t>
            </w:r>
          </w:p>
        </w:tc>
        <w:tc>
          <w:tcPr>
            <w:tcW w:w="9640" w:type="dxa"/>
            <w:vAlign w:val="bottom"/>
            <w:gridSpan w:val="31"/>
          </w:tcPr>
          <w:p>
            <w:pPr>
              <w:spacing w:after="0"/>
              <w:rPr>
                <w:rFonts w:ascii="Arial" w:cs="Arial" w:eastAsia="Arial" w:hAnsi="Arial"/>
                <w:sz w:val="17"/>
                <w:szCs w:val="17"/>
                <w:color w:val="0000EE"/>
                <w:w w:val="93"/>
              </w:rPr>
            </w:pPr>
            <w:hyperlink r:id="rId218">
              <w:r>
                <w:rPr>
                  <w:rFonts w:ascii="Arial" w:cs="Arial" w:eastAsia="Arial" w:hAnsi="Arial"/>
                  <w:sz w:val="17"/>
                  <w:szCs w:val="17"/>
                  <w:color w:val="0000EE"/>
                  <w:w w:val="93"/>
                </w:rPr>
                <w:t>Employment Agreement between Eastman Kodak Company and David E. Bullwinkle, dated June 20, 2016. (Incorporated by reference to</w:t>
              </w:r>
            </w:hyperlink>
          </w:p>
        </w:tc>
      </w:tr>
      <w:tr>
        <w:trPr>
          <w:trHeight w:val="188"/>
        </w:trPr>
        <w:tc>
          <w:tcPr>
            <w:tcW w:w="1600" w:type="dxa"/>
            <w:vAlign w:val="bottom"/>
          </w:tcPr>
          <w:p>
            <w:pPr>
              <w:spacing w:after="0"/>
              <w:rPr>
                <w:sz w:val="16"/>
                <w:szCs w:val="16"/>
                <w:color w:val="auto"/>
              </w:rPr>
            </w:pPr>
          </w:p>
        </w:tc>
        <w:tc>
          <w:tcPr>
            <w:tcW w:w="9560" w:type="dxa"/>
            <w:vAlign w:val="bottom"/>
            <w:tcBorders>
              <w:top w:val="single" w:sz="8" w:color="0000EE"/>
            </w:tcBorders>
            <w:gridSpan w:val="28"/>
          </w:tcPr>
          <w:p>
            <w:pPr>
              <w:spacing w:after="0" w:line="189" w:lineRule="exact"/>
              <w:rPr>
                <w:rFonts w:ascii="Arial" w:cs="Arial" w:eastAsia="Arial" w:hAnsi="Arial"/>
                <w:sz w:val="17"/>
                <w:szCs w:val="17"/>
                <w:color w:val="0000EE"/>
                <w:w w:val="93"/>
              </w:rPr>
            </w:pPr>
            <w:hyperlink r:id="rId218">
              <w:r>
                <w:rPr>
                  <w:rFonts w:ascii="Arial" w:cs="Arial" w:eastAsia="Arial" w:hAnsi="Arial"/>
                  <w:sz w:val="17"/>
                  <w:szCs w:val="17"/>
                  <w:color w:val="0000EE"/>
                  <w:w w:val="93"/>
                </w:rPr>
                <w:t>Exhibit 10.3 of the Company’s Quarterly Report on Form 10-Q for the quarterly period ended June 30, 2016 as filed on August 9, 2016).</w:t>
              </w:r>
            </w:hyperlink>
          </w:p>
        </w:tc>
        <w:tc>
          <w:tcPr>
            <w:tcW w:w="80" w:type="dxa"/>
            <w:vAlign w:val="bottom"/>
            <w:gridSpan w:val="3"/>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*(10.22)</w:t>
            </w:r>
          </w:p>
        </w:tc>
        <w:tc>
          <w:tcPr>
            <w:tcW w:w="9540" w:type="dxa"/>
            <w:vAlign w:val="bottom"/>
            <w:tcBorders>
              <w:bottom w:val="single" w:sz="8" w:color="0000EE"/>
            </w:tcBorders>
            <w:gridSpan w:val="26"/>
          </w:tcPr>
          <w:p>
            <w:pPr>
              <w:spacing w:after="0"/>
              <w:rPr>
                <w:rFonts w:ascii="Arial" w:cs="Arial" w:eastAsia="Arial" w:hAnsi="Arial"/>
                <w:sz w:val="17"/>
                <w:szCs w:val="17"/>
                <w:color w:val="0000EE"/>
                <w:w w:val="94"/>
              </w:rPr>
            </w:pPr>
            <w:hyperlink r:id="rId219">
              <w:r>
                <w:rPr>
                  <w:rFonts w:ascii="Arial" w:cs="Arial" w:eastAsia="Arial" w:hAnsi="Arial"/>
                  <w:sz w:val="17"/>
                  <w:szCs w:val="17"/>
                  <w:color w:val="0000EE"/>
                  <w:w w:val="94"/>
                </w:rPr>
                <w:t>Description of David E. Bullwinkle Compensation Increase. (Incorporated by reference to the description in Item 5.02 in the Company’s</w:t>
              </w:r>
            </w:hyperlink>
          </w:p>
        </w:tc>
        <w:tc>
          <w:tcPr>
            <w:tcW w:w="100" w:type="dxa"/>
            <w:vAlign w:val="bottom"/>
            <w:gridSpan w:val="5"/>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4300" w:type="dxa"/>
            <w:vAlign w:val="bottom"/>
            <w:tcBorders>
              <w:bottom w:val="single" w:sz="8" w:color="0000EE"/>
            </w:tcBorders>
            <w:gridSpan w:val="7"/>
          </w:tcPr>
          <w:p>
            <w:pPr>
              <w:spacing w:after="0" w:line="189" w:lineRule="exact"/>
              <w:rPr>
                <w:rFonts w:ascii="Arial" w:cs="Arial" w:eastAsia="Arial" w:hAnsi="Arial"/>
                <w:sz w:val="17"/>
                <w:szCs w:val="17"/>
                <w:color w:val="0000EE"/>
                <w:w w:val="93"/>
              </w:rPr>
            </w:pPr>
            <w:hyperlink r:id="rId219">
              <w:r>
                <w:rPr>
                  <w:rFonts w:ascii="Arial" w:cs="Arial" w:eastAsia="Arial" w:hAnsi="Arial"/>
                  <w:sz w:val="17"/>
                  <w:szCs w:val="17"/>
                  <w:color w:val="0000EE"/>
                  <w:w w:val="93"/>
                </w:rPr>
                <w:t>Current Report on Form 8-K as filed on November 30, 2018).</w:t>
              </w:r>
            </w:hyperlink>
          </w:p>
        </w:tc>
        <w:tc>
          <w:tcPr>
            <w:tcW w:w="5340" w:type="dxa"/>
            <w:vAlign w:val="bottom"/>
            <w:gridSpan w:val="24"/>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*(10.23)</w:t>
            </w:r>
          </w:p>
        </w:tc>
        <w:tc>
          <w:tcPr>
            <w:tcW w:w="9640" w:type="dxa"/>
            <w:vAlign w:val="bottom"/>
            <w:gridSpan w:val="31"/>
          </w:tcPr>
          <w:p>
            <w:pPr>
              <w:spacing w:after="0"/>
              <w:rPr>
                <w:rFonts w:ascii="Arial" w:cs="Arial" w:eastAsia="Arial" w:hAnsi="Arial"/>
                <w:sz w:val="17"/>
                <w:szCs w:val="17"/>
                <w:color w:val="0000EE"/>
                <w:w w:val="99"/>
              </w:rPr>
            </w:pPr>
            <w:hyperlink r:id="rId220">
              <w:r>
                <w:rPr>
                  <w:rFonts w:ascii="Arial" w:cs="Arial" w:eastAsia="Arial" w:hAnsi="Arial"/>
                  <w:sz w:val="17"/>
                  <w:szCs w:val="17"/>
                  <w:color w:val="0000EE"/>
                  <w:w w:val="99"/>
                </w:rPr>
                <w:t>Description of John O’Grady Compensation Increase. (Incorporated by reference to the description in Item 5.02 in the Company’s</w:t>
              </w:r>
            </w:hyperlink>
          </w:p>
        </w:tc>
      </w:tr>
      <w:tr>
        <w:trPr>
          <w:trHeight w:val="188"/>
        </w:trPr>
        <w:tc>
          <w:tcPr>
            <w:tcW w:w="1600" w:type="dxa"/>
            <w:vAlign w:val="bottom"/>
          </w:tcPr>
          <w:p>
            <w:pPr>
              <w:spacing w:after="0"/>
              <w:rPr>
                <w:sz w:val="16"/>
                <w:szCs w:val="16"/>
                <w:color w:val="auto"/>
              </w:rPr>
            </w:pPr>
          </w:p>
        </w:tc>
        <w:tc>
          <w:tcPr>
            <w:tcW w:w="908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r:id="rId220">
              <w:r>
                <w:rPr>
                  <w:rFonts w:ascii="Arial" w:cs="Arial" w:eastAsia="Arial" w:hAnsi="Arial"/>
                  <w:sz w:val="17"/>
                  <w:szCs w:val="17"/>
                  <w:color w:val="0000EE"/>
                </w:rPr>
                <w:t>Current Report on Form 8-K as filed on April 9, 2018).</w:t>
              </w:r>
            </w:hyperlink>
          </w:p>
        </w:tc>
        <w:tc>
          <w:tcPr>
            <w:tcW w:w="560" w:type="dxa"/>
            <w:vAlign w:val="bottom"/>
            <w:gridSpan w:val="15"/>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*(10.24)</w:t>
            </w:r>
          </w:p>
        </w:tc>
        <w:tc>
          <w:tcPr>
            <w:tcW w:w="9020" w:type="dxa"/>
            <w:vAlign w:val="bottom"/>
            <w:tcBorders>
              <w:bottom w:val="single" w:sz="8" w:color="0000EE"/>
            </w:tcBorders>
            <w:gridSpan w:val="15"/>
          </w:tcPr>
          <w:p>
            <w:pPr>
              <w:spacing w:after="0"/>
              <w:rPr>
                <w:rFonts w:ascii="Arial" w:cs="Arial" w:eastAsia="Arial" w:hAnsi="Arial"/>
                <w:sz w:val="17"/>
                <w:szCs w:val="17"/>
                <w:color w:val="0000EE"/>
                <w:w w:val="91"/>
              </w:rPr>
            </w:pPr>
            <w:hyperlink r:id="rId221">
              <w:r>
                <w:rPr>
                  <w:rFonts w:ascii="Arial" w:cs="Arial" w:eastAsia="Arial" w:hAnsi="Arial"/>
                  <w:sz w:val="17"/>
                  <w:szCs w:val="17"/>
                  <w:color w:val="0000EE"/>
                  <w:w w:val="91"/>
                </w:rPr>
                <w:t>Letter Agreement Regarding Special Severance Plan dated May 31, 2018 between Eastman Kodak Company and Roger W. Byrd,</w:t>
              </w:r>
            </w:hyperlink>
          </w:p>
        </w:tc>
        <w:tc>
          <w:tcPr>
            <w:tcW w:w="620" w:type="dxa"/>
            <w:vAlign w:val="bottom"/>
            <w:gridSpan w:val="1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00" w:type="dxa"/>
            <w:vAlign w:val="bottom"/>
            <w:tcBorders>
              <w:bottom w:val="single" w:sz="8" w:color="0000EE"/>
            </w:tcBorders>
            <w:gridSpan w:val="30"/>
          </w:tcPr>
          <w:p>
            <w:pPr>
              <w:spacing w:after="0" w:line="189" w:lineRule="exact"/>
              <w:rPr>
                <w:rFonts w:ascii="Arial" w:cs="Arial" w:eastAsia="Arial" w:hAnsi="Arial"/>
                <w:sz w:val="17"/>
                <w:szCs w:val="17"/>
                <w:color w:val="0000EE"/>
                <w:w w:val="93"/>
              </w:rPr>
            </w:pPr>
            <w:hyperlink r:id="rId221">
              <w:r>
                <w:rPr>
                  <w:rFonts w:ascii="Arial" w:cs="Arial" w:eastAsia="Arial" w:hAnsi="Arial"/>
                  <w:sz w:val="17"/>
                  <w:szCs w:val="17"/>
                  <w:color w:val="0000EE"/>
                  <w:w w:val="93"/>
                </w:rPr>
                <w:t>Incorporated by reference to Exhibit (10.31) of the Company’s Annual Report on Form 10-K for the fiscal year ended December 31, 2019</w:t>
              </w:r>
            </w:hyperlink>
          </w:p>
        </w:tc>
        <w:tc>
          <w:tcPr>
            <w:tcW w:w="40" w:type="dxa"/>
            <w:vAlign w:val="bottom"/>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198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r:id="rId221">
              <w:r>
                <w:rPr>
                  <w:rFonts w:ascii="Arial" w:cs="Arial" w:eastAsia="Arial" w:hAnsi="Arial"/>
                  <w:sz w:val="17"/>
                  <w:szCs w:val="17"/>
                  <w:color w:val="0000EE"/>
                  <w:w w:val="92"/>
                </w:rPr>
                <w:t>as filed on March 17, 2020).</w:t>
              </w:r>
            </w:hyperlink>
          </w:p>
        </w:tc>
        <w:tc>
          <w:tcPr>
            <w:tcW w:w="7660" w:type="dxa"/>
            <w:vAlign w:val="bottom"/>
            <w:gridSpan w:val="2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(10.25)</w:t>
            </w:r>
          </w:p>
        </w:tc>
        <w:tc>
          <w:tcPr>
            <w:tcW w:w="9640" w:type="dxa"/>
            <w:vAlign w:val="bottom"/>
            <w:tcBorders>
              <w:bottom w:val="single" w:sz="8" w:color="0000EE"/>
            </w:tcBorders>
            <w:gridSpan w:val="31"/>
          </w:tcPr>
          <w:p>
            <w:pPr>
              <w:spacing w:after="0"/>
              <w:rPr>
                <w:rFonts w:ascii="Arial" w:cs="Arial" w:eastAsia="Arial" w:hAnsi="Arial"/>
                <w:sz w:val="17"/>
                <w:szCs w:val="17"/>
                <w:color w:val="0000EE"/>
                <w:w w:val="92"/>
              </w:rPr>
            </w:pPr>
            <w:hyperlink r:id="rId222">
              <w:r>
                <w:rPr>
                  <w:rFonts w:ascii="Arial" w:cs="Arial" w:eastAsia="Arial" w:hAnsi="Arial"/>
                  <w:sz w:val="17"/>
                  <w:szCs w:val="17"/>
                  <w:color w:val="0000EE"/>
                  <w:w w:val="92"/>
                </w:rPr>
                <w:t>Amendment No. 4 to Amended and Restated Credit Agreement (including attached Amended and Restated Credit Agreement), dated as of</w:t>
              </w:r>
            </w:hyperlink>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w w:val="97"/>
              </w:rPr>
            </w:pPr>
            <w:hyperlink r:id="rId222">
              <w:r>
                <w:rPr>
                  <w:rFonts w:ascii="Arial" w:cs="Arial" w:eastAsia="Arial" w:hAnsi="Arial"/>
                  <w:sz w:val="17"/>
                  <w:szCs w:val="17"/>
                  <w:color w:val="0000EE"/>
                  <w:w w:val="97"/>
                </w:rPr>
                <w:t>August 26, 2021 by and among Eastman Kodak Company, the Lenders named therein, the Guarantors named therein and Bank of</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w w:val="97"/>
              </w:rPr>
            </w:pPr>
            <w:hyperlink r:id="rId222">
              <w:r>
                <w:rPr>
                  <w:rFonts w:ascii="Arial" w:cs="Arial" w:eastAsia="Arial" w:hAnsi="Arial"/>
                  <w:sz w:val="17"/>
                  <w:szCs w:val="17"/>
                  <w:color w:val="0000EE"/>
                  <w:w w:val="97"/>
                </w:rPr>
                <w:t>America, N.A., as agent. (Incorporated by reference to Exhibit 10.4 of the Company’s Current Report on Form 8-K as filed March 1,</w:t>
              </w:r>
            </w:hyperlink>
          </w:p>
        </w:tc>
      </w:tr>
      <w:tr>
        <w:trPr>
          <w:trHeight w:val="188"/>
        </w:trPr>
        <w:tc>
          <w:tcPr>
            <w:tcW w:w="160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1"/>
              </w:rPr>
            </w:pPr>
            <w:hyperlink r:id="rId222">
              <w:r>
                <w:rPr>
                  <w:rFonts w:ascii="Arial" w:cs="Arial" w:eastAsia="Arial" w:hAnsi="Arial"/>
                  <w:sz w:val="17"/>
                  <w:szCs w:val="17"/>
                  <w:color w:val="0000EE"/>
                  <w:w w:val="91"/>
                </w:rPr>
                <w:t>2021).</w:t>
              </w:r>
            </w:hyperlink>
          </w:p>
        </w:tc>
        <w:tc>
          <w:tcPr>
            <w:tcW w:w="66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4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(10.26)</w:t>
            </w:r>
          </w:p>
        </w:tc>
        <w:tc>
          <w:tcPr>
            <w:tcW w:w="9560" w:type="dxa"/>
            <w:vAlign w:val="bottom"/>
            <w:tcBorders>
              <w:bottom w:val="single" w:sz="8" w:color="0000EE"/>
            </w:tcBorders>
            <w:gridSpan w:val="28"/>
          </w:tcPr>
          <w:p>
            <w:pPr>
              <w:spacing w:after="0"/>
              <w:rPr>
                <w:rFonts w:ascii="Arial" w:cs="Arial" w:eastAsia="Arial" w:hAnsi="Arial"/>
                <w:sz w:val="17"/>
                <w:szCs w:val="17"/>
                <w:color w:val="0000EE"/>
                <w:w w:val="92"/>
              </w:rPr>
            </w:pPr>
            <w:hyperlink r:id="rId223">
              <w:r>
                <w:rPr>
                  <w:rFonts w:ascii="Arial" w:cs="Arial" w:eastAsia="Arial" w:hAnsi="Arial"/>
                  <w:sz w:val="17"/>
                  <w:szCs w:val="17"/>
                  <w:color w:val="0000EE"/>
                  <w:w w:val="92"/>
                </w:rPr>
                <w:t>Amended and Restated Security Agreement, dated May 26, 2016, from the Grantors referred to therein, as Grantors, to Bank of America,</w:t>
              </w:r>
            </w:hyperlink>
          </w:p>
        </w:tc>
        <w:tc>
          <w:tcPr>
            <w:tcW w:w="80" w:type="dxa"/>
            <w:vAlign w:val="bottom"/>
            <w:gridSpan w:val="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260" w:type="dxa"/>
            <w:vAlign w:val="bottom"/>
            <w:tcBorders>
              <w:bottom w:val="single" w:sz="8" w:color="0000EE"/>
            </w:tcBorders>
            <w:gridSpan w:val="19"/>
          </w:tcPr>
          <w:p>
            <w:pPr>
              <w:spacing w:after="0" w:line="189" w:lineRule="exact"/>
              <w:rPr>
                <w:rFonts w:ascii="Arial" w:cs="Arial" w:eastAsia="Arial" w:hAnsi="Arial"/>
                <w:sz w:val="17"/>
                <w:szCs w:val="17"/>
                <w:color w:val="0000EE"/>
                <w:w w:val="93"/>
              </w:rPr>
            </w:pPr>
            <w:hyperlink r:id="rId223">
              <w:r>
                <w:rPr>
                  <w:rFonts w:ascii="Arial" w:cs="Arial" w:eastAsia="Arial" w:hAnsi="Arial"/>
                  <w:sz w:val="17"/>
                  <w:szCs w:val="17"/>
                  <w:color w:val="0000EE"/>
                  <w:w w:val="93"/>
                </w:rPr>
                <w:t>N.A., as Agent. (Incorporated by reference to Exhibit 10.2 of the Company’s Quarterly Report on Form 10-Q for the quarterly period</w:t>
              </w:r>
            </w:hyperlink>
          </w:p>
        </w:tc>
        <w:tc>
          <w:tcPr>
            <w:tcW w:w="380" w:type="dxa"/>
            <w:vAlign w:val="bottom"/>
            <w:gridSpan w:val="1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rPr>
            </w:pPr>
            <w:hyperlink r:id="rId223">
              <w:r>
                <w:rPr>
                  <w:rFonts w:ascii="Arial" w:cs="Arial" w:eastAsia="Arial" w:hAnsi="Arial"/>
                  <w:sz w:val="17"/>
                  <w:szCs w:val="17"/>
                  <w:color w:val="0000EE"/>
                </w:rPr>
                <w:t>ended June 30, 2016 as filed on August 9, 2016).</w:t>
              </w:r>
            </w:hyperlink>
          </w:p>
        </w:tc>
      </w:tr>
      <w:tr>
        <w:trPr>
          <w:trHeight w:val="20"/>
        </w:trPr>
        <w:tc>
          <w:tcPr>
            <w:tcW w:w="1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(10.27)</w:t>
            </w:r>
          </w:p>
        </w:tc>
        <w:tc>
          <w:tcPr>
            <w:tcW w:w="9540" w:type="dxa"/>
            <w:vAlign w:val="bottom"/>
            <w:tcBorders>
              <w:bottom w:val="single" w:sz="8" w:color="0000EE"/>
            </w:tcBorders>
            <w:gridSpan w:val="26"/>
          </w:tcPr>
          <w:p>
            <w:pPr>
              <w:spacing w:after="0"/>
              <w:rPr>
                <w:rFonts w:ascii="Arial" w:cs="Arial" w:eastAsia="Arial" w:hAnsi="Arial"/>
                <w:sz w:val="17"/>
                <w:szCs w:val="17"/>
                <w:color w:val="0000EE"/>
                <w:w w:val="92"/>
              </w:rPr>
            </w:pPr>
            <w:hyperlink r:id="rId224">
              <w:r>
                <w:rPr>
                  <w:rFonts w:ascii="Arial" w:cs="Arial" w:eastAsia="Arial" w:hAnsi="Arial"/>
                  <w:sz w:val="17"/>
                  <w:szCs w:val="17"/>
                  <w:color w:val="0000EE"/>
                  <w:w w:val="92"/>
                </w:rPr>
                <w:t>Letter of Credit Facility Agreement, dated as of February 26, 2021, by and among Eastman Kodak Company, the Lenders named therein,</w:t>
              </w:r>
            </w:hyperlink>
          </w:p>
        </w:tc>
        <w:tc>
          <w:tcPr>
            <w:tcW w:w="100" w:type="dxa"/>
            <w:vAlign w:val="bottom"/>
            <w:gridSpan w:val="5"/>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w w:val="93"/>
              </w:rPr>
            </w:pPr>
            <w:hyperlink r:id="rId224">
              <w:r>
                <w:rPr>
                  <w:rFonts w:ascii="Arial" w:cs="Arial" w:eastAsia="Arial" w:hAnsi="Arial"/>
                  <w:sz w:val="17"/>
                  <w:szCs w:val="17"/>
                  <w:color w:val="0000EE"/>
                  <w:w w:val="93"/>
                </w:rPr>
                <w:t>the Guarantors named therein, Bank of America, N.A., as administrative agent and collateral agent and Bank of America, N.A., as issuing</w:t>
              </w:r>
            </w:hyperlink>
          </w:p>
        </w:tc>
      </w:tr>
      <w:tr>
        <w:trPr>
          <w:trHeight w:val="188"/>
        </w:trPr>
        <w:tc>
          <w:tcPr>
            <w:tcW w:w="1600" w:type="dxa"/>
            <w:vAlign w:val="bottom"/>
          </w:tcPr>
          <w:p>
            <w:pPr>
              <w:spacing w:after="0"/>
              <w:rPr>
                <w:sz w:val="16"/>
                <w:szCs w:val="16"/>
                <w:color w:val="auto"/>
              </w:rPr>
            </w:pPr>
          </w:p>
        </w:tc>
        <w:tc>
          <w:tcPr>
            <w:tcW w:w="9580" w:type="dxa"/>
            <w:vAlign w:val="bottom"/>
            <w:tcBorders>
              <w:top w:val="single" w:sz="8" w:color="0000EE"/>
            </w:tcBorders>
            <w:gridSpan w:val="29"/>
          </w:tcPr>
          <w:p>
            <w:pPr>
              <w:spacing w:after="0" w:line="189" w:lineRule="exact"/>
              <w:rPr>
                <w:rFonts w:ascii="Arial" w:cs="Arial" w:eastAsia="Arial" w:hAnsi="Arial"/>
                <w:sz w:val="17"/>
                <w:szCs w:val="17"/>
                <w:color w:val="0000EE"/>
              </w:rPr>
            </w:pPr>
            <w:hyperlink r:id="rId224">
              <w:r>
                <w:rPr>
                  <w:rFonts w:ascii="Arial" w:cs="Arial" w:eastAsia="Arial" w:hAnsi="Arial"/>
                  <w:sz w:val="17"/>
                  <w:szCs w:val="17"/>
                  <w:color w:val="0000EE"/>
                </w:rPr>
                <w:t>bank. (Incorporated by reference to Exhibit 10.5 of the Company’s Current Report on Form 8-K as filed March 1, 2021).</w:t>
              </w:r>
            </w:hyperlink>
          </w:p>
        </w:tc>
        <w:tc>
          <w:tcPr>
            <w:tcW w:w="60" w:type="dxa"/>
            <w:vAlign w:val="bottom"/>
            <w:gridSpan w:val="2"/>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80" w:type="dxa"/>
            <w:vAlign w:val="bottom"/>
            <w:gridSpan w:val="6"/>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(10.28)</w:t>
            </w:r>
          </w:p>
        </w:tc>
        <w:tc>
          <w:tcPr>
            <w:tcW w:w="9300" w:type="dxa"/>
            <w:vAlign w:val="bottom"/>
            <w:tcBorders>
              <w:bottom w:val="single" w:sz="8" w:color="0000EE"/>
            </w:tcBorders>
            <w:gridSpan w:val="21"/>
          </w:tcPr>
          <w:p>
            <w:pPr>
              <w:spacing w:after="0"/>
              <w:rPr>
                <w:rFonts w:ascii="Arial" w:cs="Arial" w:eastAsia="Arial" w:hAnsi="Arial"/>
                <w:sz w:val="17"/>
                <w:szCs w:val="17"/>
                <w:color w:val="0000EE"/>
                <w:w w:val="92"/>
              </w:rPr>
            </w:pPr>
            <w:hyperlink r:id="rId225">
              <w:r>
                <w:rPr>
                  <w:rFonts w:ascii="Arial" w:cs="Arial" w:eastAsia="Arial" w:hAnsi="Arial"/>
                  <w:sz w:val="17"/>
                  <w:szCs w:val="17"/>
                  <w:color w:val="0000EE"/>
                  <w:w w:val="92"/>
                </w:rPr>
                <w:t>Security Agreement, dated February 26, 2021, from the Grantors referred to therein, as Grantors, to Bank of America, N.A., as Agent</w:t>
              </w:r>
            </w:hyperlink>
          </w:p>
        </w:tc>
        <w:tc>
          <w:tcPr>
            <w:tcW w:w="340" w:type="dxa"/>
            <w:vAlign w:val="bottom"/>
            <w:gridSpan w:val="10"/>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560" w:type="dxa"/>
            <w:vAlign w:val="bottom"/>
            <w:tcBorders>
              <w:bottom w:val="single" w:sz="8" w:color="0000EE"/>
            </w:tcBorders>
            <w:gridSpan w:val="27"/>
          </w:tcPr>
          <w:p>
            <w:pPr>
              <w:spacing w:after="0" w:line="189" w:lineRule="exact"/>
              <w:rPr>
                <w:rFonts w:ascii="Arial" w:cs="Arial" w:eastAsia="Arial" w:hAnsi="Arial"/>
                <w:sz w:val="17"/>
                <w:szCs w:val="17"/>
                <w:color w:val="0000EE"/>
                <w:w w:val="93"/>
              </w:rPr>
            </w:pPr>
            <w:hyperlink r:id="rId225">
              <w:r>
                <w:rPr>
                  <w:rFonts w:ascii="Arial" w:cs="Arial" w:eastAsia="Arial" w:hAnsi="Arial"/>
                  <w:sz w:val="17"/>
                  <w:szCs w:val="17"/>
                  <w:color w:val="0000EE"/>
                  <w:w w:val="93"/>
                </w:rPr>
                <w:t>(Incorporated by reference to Exhibit 10.26 of the Company’s Annual Report on Form 10-K for the fiscal year ended December 31, 2020</w:t>
              </w:r>
            </w:hyperlink>
          </w:p>
        </w:tc>
        <w:tc>
          <w:tcPr>
            <w:tcW w:w="8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198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r:id="rId225">
              <w:r>
                <w:rPr>
                  <w:rFonts w:ascii="Arial" w:cs="Arial" w:eastAsia="Arial" w:hAnsi="Arial"/>
                  <w:sz w:val="17"/>
                  <w:szCs w:val="17"/>
                  <w:color w:val="0000EE"/>
                  <w:w w:val="92"/>
                </w:rPr>
                <w:t>as filed on March 16, 2021).</w:t>
              </w:r>
            </w:hyperlink>
          </w:p>
        </w:tc>
        <w:tc>
          <w:tcPr>
            <w:tcW w:w="7660" w:type="dxa"/>
            <w:vAlign w:val="bottom"/>
            <w:gridSpan w:val="2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(10.29)</w:t>
            </w:r>
          </w:p>
        </w:tc>
        <w:tc>
          <w:tcPr>
            <w:tcW w:w="9520" w:type="dxa"/>
            <w:vAlign w:val="bottom"/>
            <w:tcBorders>
              <w:bottom w:val="single" w:sz="8" w:color="0000EE"/>
            </w:tcBorders>
            <w:gridSpan w:val="25"/>
          </w:tcPr>
          <w:p>
            <w:pPr>
              <w:spacing w:after="0"/>
              <w:rPr>
                <w:rFonts w:ascii="Arial" w:cs="Arial" w:eastAsia="Arial" w:hAnsi="Arial"/>
                <w:sz w:val="17"/>
                <w:szCs w:val="17"/>
                <w:color w:val="0000EE"/>
                <w:w w:val="91"/>
              </w:rPr>
            </w:pPr>
            <w:hyperlink r:id="rId226">
              <w:r>
                <w:rPr>
                  <w:rFonts w:ascii="Arial" w:cs="Arial" w:eastAsia="Arial" w:hAnsi="Arial"/>
                  <w:sz w:val="17"/>
                  <w:szCs w:val="17"/>
                  <w:color w:val="0000EE"/>
                  <w:w w:val="91"/>
                </w:rPr>
                <w:t>Credit Agreement, dated as of February 26, 2021, by and among Eastman Kodak Company, the Lenders named therein and Alter Domus</w:t>
              </w:r>
            </w:hyperlink>
          </w:p>
        </w:tc>
        <w:tc>
          <w:tcPr>
            <w:tcW w:w="120" w:type="dxa"/>
            <w:vAlign w:val="bottom"/>
            <w:gridSpan w:val="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w w:val="96"/>
              </w:rPr>
            </w:pPr>
            <w:hyperlink r:id="rId226">
              <w:r>
                <w:rPr>
                  <w:rFonts w:ascii="Arial" w:cs="Arial" w:eastAsia="Arial" w:hAnsi="Arial"/>
                  <w:sz w:val="17"/>
                  <w:szCs w:val="17"/>
                  <w:color w:val="0000EE"/>
                  <w:w w:val="96"/>
                </w:rPr>
                <w:t>(US) LLC, as Administrative Agent. (Incorporated by reference to Exhibit 10.6 of the Company’s Current Report on Form 8-K as filed</w:t>
              </w:r>
            </w:hyperlink>
          </w:p>
        </w:tc>
      </w:tr>
      <w:tr>
        <w:trPr>
          <w:trHeight w:val="188"/>
        </w:trPr>
        <w:tc>
          <w:tcPr>
            <w:tcW w:w="1600" w:type="dxa"/>
            <w:vAlign w:val="bottom"/>
          </w:tcPr>
          <w:p>
            <w:pPr>
              <w:spacing w:after="0"/>
              <w:rPr>
                <w:sz w:val="16"/>
                <w:szCs w:val="16"/>
                <w:color w:val="auto"/>
              </w:rPr>
            </w:pPr>
          </w:p>
        </w:tc>
        <w:tc>
          <w:tcPr>
            <w:tcW w:w="9380" w:type="dxa"/>
            <w:vAlign w:val="bottom"/>
            <w:tcBorders>
              <w:top w:val="single" w:sz="8" w:color="0000EE"/>
            </w:tcBorders>
            <w:gridSpan w:val="23"/>
          </w:tcPr>
          <w:p>
            <w:pPr>
              <w:spacing w:after="0" w:line="189" w:lineRule="exact"/>
              <w:rPr>
                <w:rFonts w:ascii="Arial" w:cs="Arial" w:eastAsia="Arial" w:hAnsi="Arial"/>
                <w:sz w:val="17"/>
                <w:szCs w:val="17"/>
                <w:color w:val="0000EE"/>
              </w:rPr>
            </w:pPr>
            <w:hyperlink r:id="rId226">
              <w:r>
                <w:rPr>
                  <w:rFonts w:ascii="Arial" w:cs="Arial" w:eastAsia="Arial" w:hAnsi="Arial"/>
                  <w:sz w:val="17"/>
                  <w:szCs w:val="17"/>
                  <w:color w:val="0000EE"/>
                </w:rPr>
                <w:t>March 1, 2021).</w:t>
              </w:r>
            </w:hyperlink>
          </w:p>
        </w:tc>
        <w:tc>
          <w:tcPr>
            <w:tcW w:w="260" w:type="dxa"/>
            <w:vAlign w:val="bottom"/>
            <w:gridSpan w:val="8"/>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680" w:type="dxa"/>
            <w:vAlign w:val="bottom"/>
            <w:gridSpan w:val="1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(10.30)</w:t>
            </w:r>
          </w:p>
        </w:tc>
        <w:tc>
          <w:tcPr>
            <w:tcW w:w="9280" w:type="dxa"/>
            <w:vAlign w:val="bottom"/>
            <w:tcBorders>
              <w:bottom w:val="single" w:sz="8" w:color="0000EE"/>
            </w:tcBorders>
            <w:gridSpan w:val="20"/>
          </w:tcPr>
          <w:p>
            <w:pPr>
              <w:spacing w:after="0"/>
              <w:rPr>
                <w:rFonts w:ascii="Arial" w:cs="Arial" w:eastAsia="Arial" w:hAnsi="Arial"/>
                <w:sz w:val="17"/>
                <w:szCs w:val="17"/>
                <w:color w:val="0000EE"/>
                <w:w w:val="91"/>
              </w:rPr>
            </w:pPr>
            <w:hyperlink r:id="rId227">
              <w:r>
                <w:rPr>
                  <w:rFonts w:ascii="Arial" w:cs="Arial" w:eastAsia="Arial" w:hAnsi="Arial"/>
                  <w:sz w:val="17"/>
                  <w:szCs w:val="17"/>
                  <w:color w:val="0000EE"/>
                  <w:w w:val="91"/>
                </w:rPr>
                <w:t>Guarantee and Collateral Agreement, dated February 26, 2021, made by the Grantors referred to therein, as Grantors, to Alter Domus</w:t>
              </w:r>
            </w:hyperlink>
          </w:p>
        </w:tc>
        <w:tc>
          <w:tcPr>
            <w:tcW w:w="360" w:type="dxa"/>
            <w:vAlign w:val="bottom"/>
            <w:gridSpan w:val="11"/>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31"/>
          </w:tcPr>
          <w:p>
            <w:pPr>
              <w:spacing w:after="0" w:line="189" w:lineRule="exact"/>
              <w:rPr>
                <w:rFonts w:ascii="Arial" w:cs="Arial" w:eastAsia="Arial" w:hAnsi="Arial"/>
                <w:sz w:val="17"/>
                <w:szCs w:val="17"/>
                <w:color w:val="0000EE"/>
                <w:w w:val="96"/>
              </w:rPr>
            </w:pPr>
            <w:hyperlink r:id="rId227">
              <w:r>
                <w:rPr>
                  <w:rFonts w:ascii="Arial" w:cs="Arial" w:eastAsia="Arial" w:hAnsi="Arial"/>
                  <w:sz w:val="17"/>
                  <w:szCs w:val="17"/>
                  <w:color w:val="0000EE"/>
                  <w:w w:val="96"/>
                </w:rPr>
                <w:t>(US) LLC, as Administrative Agent (Incorporated by reference to Exhibit 10.28 of the Company’s Annual Report on Form 10-K for the</w:t>
              </w:r>
            </w:hyperlink>
          </w:p>
        </w:tc>
      </w:tr>
      <w:tr>
        <w:trPr>
          <w:trHeight w:val="188"/>
        </w:trPr>
        <w:tc>
          <w:tcPr>
            <w:tcW w:w="1600" w:type="dxa"/>
            <w:vAlign w:val="bottom"/>
          </w:tcPr>
          <w:p>
            <w:pPr>
              <w:spacing w:after="0"/>
              <w:rPr>
                <w:sz w:val="16"/>
                <w:szCs w:val="16"/>
                <w:color w:val="auto"/>
              </w:rPr>
            </w:pPr>
          </w:p>
        </w:tc>
        <w:tc>
          <w:tcPr>
            <w:tcW w:w="9500" w:type="dxa"/>
            <w:vAlign w:val="bottom"/>
            <w:tcBorders>
              <w:top w:val="single" w:sz="8" w:color="0000EE"/>
            </w:tcBorders>
            <w:gridSpan w:val="24"/>
          </w:tcPr>
          <w:p>
            <w:pPr>
              <w:spacing w:after="0" w:line="189" w:lineRule="exact"/>
              <w:rPr>
                <w:rFonts w:ascii="Arial" w:cs="Arial" w:eastAsia="Arial" w:hAnsi="Arial"/>
                <w:sz w:val="17"/>
                <w:szCs w:val="17"/>
                <w:color w:val="0000EE"/>
              </w:rPr>
            </w:pPr>
            <w:hyperlink r:id="rId227">
              <w:r>
                <w:rPr>
                  <w:rFonts w:ascii="Arial" w:cs="Arial" w:eastAsia="Arial" w:hAnsi="Arial"/>
                  <w:sz w:val="17"/>
                  <w:szCs w:val="17"/>
                  <w:color w:val="0000EE"/>
                </w:rPr>
                <w:t>fiscal year ended December 31, 2020 as filed on March 16, 2021).</w:t>
              </w:r>
            </w:hyperlink>
          </w:p>
        </w:tc>
        <w:tc>
          <w:tcPr>
            <w:tcW w:w="140" w:type="dxa"/>
            <w:vAlign w:val="bottom"/>
            <w:gridSpan w:val="7"/>
          </w:tcPr>
          <w:p>
            <w:pPr>
              <w:spacing w:after="0"/>
              <w:rPr>
                <w:sz w:val="16"/>
                <w:szCs w:val="16"/>
                <w:color w:val="auto"/>
              </w:rPr>
            </w:pPr>
          </w:p>
        </w:tc>
      </w:tr>
      <w:tr>
        <w:trPr>
          <w:trHeight w:val="436"/>
        </w:trPr>
        <w:tc>
          <w:tcPr>
            <w:tcW w:w="1600" w:type="dxa"/>
            <w:vAlign w:val="bottom"/>
          </w:tcPr>
          <w:p>
            <w:pPr>
              <w:spacing w:after="0"/>
              <w:rPr>
                <w:sz w:val="24"/>
                <w:szCs w:val="24"/>
                <w:color w:val="auto"/>
              </w:rPr>
            </w:pPr>
          </w:p>
        </w:tc>
        <w:tc>
          <w:tcPr>
            <w:tcW w:w="4300" w:type="dxa"/>
            <w:vAlign w:val="bottom"/>
            <w:tcBorders>
              <w:top w:val="single" w:sz="8" w:color="0000EE"/>
            </w:tcBorders>
            <w:gridSpan w:val="7"/>
          </w:tcPr>
          <w:p>
            <w:pPr>
              <w:ind w:left="3900"/>
              <w:spacing w:after="0"/>
              <w:rPr>
                <w:sz w:val="20"/>
                <w:szCs w:val="20"/>
                <w:color w:val="auto"/>
              </w:rPr>
            </w:pPr>
            <w:r>
              <w:rPr>
                <w:rFonts w:ascii="Arial" w:cs="Arial" w:eastAsia="Arial" w:hAnsi="Arial"/>
                <w:sz w:val="17"/>
                <w:szCs w:val="17"/>
                <w:color w:val="auto"/>
              </w:rPr>
              <w:t>137</w:t>
            </w:r>
          </w:p>
        </w:tc>
        <w:tc>
          <w:tcPr>
            <w:tcW w:w="30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(10.31)</w:t>
            </w:r>
          </w:p>
        </w:tc>
        <w:tc>
          <w:tcPr>
            <w:tcW w:w="9580" w:type="dxa"/>
            <w:vAlign w:val="bottom"/>
            <w:tcBorders>
              <w:bottom w:val="single" w:sz="8" w:color="0000EE"/>
            </w:tcBorders>
            <w:gridSpan w:val="27"/>
          </w:tcPr>
          <w:p>
            <w:pPr>
              <w:spacing w:after="0"/>
              <w:rPr>
                <w:rFonts w:ascii="Arial" w:cs="Arial" w:eastAsia="Arial" w:hAnsi="Arial"/>
                <w:sz w:val="17"/>
                <w:szCs w:val="17"/>
                <w:color w:val="0000EE"/>
                <w:w w:val="93"/>
              </w:rPr>
            </w:pPr>
            <w:hyperlink r:id="rId230">
              <w:r>
                <w:rPr>
                  <w:rFonts w:ascii="Arial" w:cs="Arial" w:eastAsia="Arial" w:hAnsi="Arial"/>
                  <w:sz w:val="17"/>
                  <w:szCs w:val="17"/>
                  <w:color w:val="0000EE"/>
                  <w:w w:val="93"/>
                </w:rPr>
                <w:t>Intercreditor Agreement, dated as of February 26, 2021, among Bank of America, N.A., as Representative with respect to the ABL Credit</w:t>
              </w:r>
            </w:hyperlink>
          </w:p>
        </w:tc>
        <w:tc>
          <w:tcPr>
            <w:tcW w:w="60" w:type="dxa"/>
            <w:vAlign w:val="bottom"/>
            <w:gridSpan w:val="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8940" w:type="dxa"/>
            <w:vAlign w:val="bottom"/>
            <w:tcBorders>
              <w:bottom w:val="single" w:sz="8" w:color="0000EE"/>
            </w:tcBorders>
            <w:gridSpan w:val="12"/>
          </w:tcPr>
          <w:p>
            <w:pPr>
              <w:spacing w:after="0" w:line="189" w:lineRule="exact"/>
              <w:rPr>
                <w:rFonts w:ascii="Arial" w:cs="Arial" w:eastAsia="Arial" w:hAnsi="Arial"/>
                <w:sz w:val="17"/>
                <w:szCs w:val="17"/>
                <w:color w:val="0000EE"/>
                <w:w w:val="93"/>
              </w:rPr>
            </w:pPr>
            <w:hyperlink r:id="rId230">
              <w:r>
                <w:rPr>
                  <w:rFonts w:ascii="Arial" w:cs="Arial" w:eastAsia="Arial" w:hAnsi="Arial"/>
                  <w:sz w:val="17"/>
                  <w:szCs w:val="17"/>
                  <w:color w:val="0000EE"/>
                  <w:w w:val="93"/>
                </w:rPr>
                <w:t>Agreement, Bank of America, N.A., as Representative with respect to the LC Credit Agreement, and Alter Domus (US) LLC, as</w:t>
              </w:r>
            </w:hyperlink>
          </w:p>
        </w:tc>
        <w:tc>
          <w:tcPr>
            <w:tcW w:w="700" w:type="dxa"/>
            <w:vAlign w:val="bottom"/>
            <w:gridSpan w:val="17"/>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000" w:type="dxa"/>
            <w:vAlign w:val="bottom"/>
            <w:tcBorders>
              <w:bottom w:val="single" w:sz="8" w:color="0000EE"/>
            </w:tcBorders>
            <w:gridSpan w:val="13"/>
          </w:tcPr>
          <w:p>
            <w:pPr>
              <w:spacing w:after="0" w:line="189" w:lineRule="exact"/>
              <w:rPr>
                <w:rFonts w:ascii="Arial" w:cs="Arial" w:eastAsia="Arial" w:hAnsi="Arial"/>
                <w:sz w:val="17"/>
                <w:szCs w:val="17"/>
                <w:color w:val="0000EE"/>
                <w:w w:val="91"/>
              </w:rPr>
            </w:pPr>
            <w:hyperlink r:id="rId230">
              <w:r>
                <w:rPr>
                  <w:rFonts w:ascii="Arial" w:cs="Arial" w:eastAsia="Arial" w:hAnsi="Arial"/>
                  <w:sz w:val="17"/>
                  <w:szCs w:val="17"/>
                  <w:color w:val="0000EE"/>
                  <w:w w:val="91"/>
                </w:rPr>
                <w:t>Representative with respect to the Term Loan Agreement, Eastman Kodak Company, and each of the other Grantors party thereto</w:t>
              </w:r>
            </w:hyperlink>
          </w:p>
        </w:tc>
        <w:tc>
          <w:tcPr>
            <w:tcW w:w="640" w:type="dxa"/>
            <w:vAlign w:val="bottom"/>
            <w:gridSpan w:val="16"/>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540" w:type="dxa"/>
            <w:vAlign w:val="bottom"/>
            <w:tcBorders>
              <w:bottom w:val="single" w:sz="8" w:color="0000EE"/>
            </w:tcBorders>
            <w:gridSpan w:val="25"/>
          </w:tcPr>
          <w:p>
            <w:pPr>
              <w:spacing w:after="0" w:line="189" w:lineRule="exact"/>
              <w:rPr>
                <w:rFonts w:ascii="Arial" w:cs="Arial" w:eastAsia="Arial" w:hAnsi="Arial"/>
                <w:sz w:val="17"/>
                <w:szCs w:val="17"/>
                <w:color w:val="0000EE"/>
                <w:w w:val="93"/>
              </w:rPr>
            </w:pPr>
            <w:hyperlink r:id="rId230">
              <w:r>
                <w:rPr>
                  <w:rFonts w:ascii="Arial" w:cs="Arial" w:eastAsia="Arial" w:hAnsi="Arial"/>
                  <w:sz w:val="17"/>
                  <w:szCs w:val="17"/>
                  <w:color w:val="0000EE"/>
                  <w:w w:val="93"/>
                </w:rPr>
                <w:t>(Incorporated by reference to Exhibit 10.29 of the Company’s Annual Report on Form 10-K for the fiscal year ended December 31, 2020</w:t>
              </w:r>
            </w:hyperlink>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rPr>
            </w:pPr>
            <w:hyperlink r:id="rId230">
              <w:r>
                <w:rPr>
                  <w:rFonts w:ascii="Arial" w:cs="Arial" w:eastAsia="Arial" w:hAnsi="Arial"/>
                  <w:sz w:val="17"/>
                  <w:szCs w:val="17"/>
                  <w:color w:val="0000EE"/>
                </w:rPr>
                <w:t>as filed on March 16, 2021)</w:t>
              </w:r>
              <w:r>
                <w:rPr>
                  <w:rFonts w:ascii="Arial" w:cs="Arial" w:eastAsia="Arial" w:hAnsi="Arial"/>
                  <w:sz w:val="17"/>
                  <w:szCs w:val="17"/>
                  <w:color w:val="000000"/>
                </w:rPr>
                <w:t>.</w:t>
              </w:r>
            </w:hyperlink>
          </w:p>
        </w:tc>
      </w:tr>
      <w:tr>
        <w:trPr>
          <w:trHeight w:val="20"/>
        </w:trPr>
        <w:tc>
          <w:tcPr>
            <w:tcW w:w="16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(10.32)</w:t>
            </w:r>
          </w:p>
        </w:tc>
        <w:tc>
          <w:tcPr>
            <w:tcW w:w="9580" w:type="dxa"/>
            <w:vAlign w:val="bottom"/>
            <w:tcBorders>
              <w:bottom w:val="single" w:sz="8" w:color="0000EE"/>
            </w:tcBorders>
            <w:gridSpan w:val="27"/>
          </w:tcPr>
          <w:p>
            <w:pPr>
              <w:spacing w:after="0"/>
              <w:rPr>
                <w:rFonts w:ascii="Arial" w:cs="Arial" w:eastAsia="Arial" w:hAnsi="Arial"/>
                <w:sz w:val="17"/>
                <w:szCs w:val="17"/>
                <w:color w:val="0000EE"/>
                <w:w w:val="93"/>
              </w:rPr>
            </w:pPr>
            <w:hyperlink r:id="rId231">
              <w:r>
                <w:rPr>
                  <w:rFonts w:ascii="Arial" w:cs="Arial" w:eastAsia="Arial" w:hAnsi="Arial"/>
                  <w:sz w:val="17"/>
                  <w:szCs w:val="17"/>
                  <w:color w:val="0000EE"/>
                  <w:w w:val="93"/>
                </w:rPr>
                <w:t>Intercreditor Agreement, dated as of February 26, 2021, among Bank of America, N.A., as Representative with respect to the ABL Credit</w:t>
              </w:r>
            </w:hyperlink>
          </w:p>
        </w:tc>
        <w:tc>
          <w:tcPr>
            <w:tcW w:w="60" w:type="dxa"/>
            <w:vAlign w:val="bottom"/>
            <w:gridSpan w:val="2"/>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460" w:type="dxa"/>
            <w:vAlign w:val="bottom"/>
            <w:tcBorders>
              <w:bottom w:val="single" w:sz="8" w:color="0000EE"/>
            </w:tcBorders>
            <w:gridSpan w:val="23"/>
          </w:tcPr>
          <w:p>
            <w:pPr>
              <w:spacing w:after="0" w:line="189" w:lineRule="exact"/>
              <w:rPr>
                <w:rFonts w:ascii="Arial" w:cs="Arial" w:eastAsia="Arial" w:hAnsi="Arial"/>
                <w:sz w:val="17"/>
                <w:szCs w:val="17"/>
                <w:color w:val="0000EE"/>
                <w:w w:val="92"/>
              </w:rPr>
            </w:pPr>
            <w:hyperlink r:id="rId231">
              <w:r>
                <w:rPr>
                  <w:rFonts w:ascii="Arial" w:cs="Arial" w:eastAsia="Arial" w:hAnsi="Arial"/>
                  <w:sz w:val="17"/>
                  <w:szCs w:val="17"/>
                  <w:color w:val="0000EE"/>
                  <w:w w:val="92"/>
                </w:rPr>
                <w:t>Agreement, Bank of America, N.A., as Representative with respect to the LC Credit Agreement, Eastman Kodak Company, and each of</w:t>
              </w:r>
            </w:hyperlink>
          </w:p>
        </w:tc>
        <w:tc>
          <w:tcPr>
            <w:tcW w:w="180" w:type="dxa"/>
            <w:vAlign w:val="bottom"/>
            <w:gridSpan w:val="6"/>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4"/>
              </w:rPr>
            </w:pPr>
            <w:hyperlink r:id="rId231">
              <w:r>
                <w:rPr>
                  <w:rFonts w:ascii="Arial" w:cs="Arial" w:eastAsia="Arial" w:hAnsi="Arial"/>
                  <w:sz w:val="17"/>
                  <w:szCs w:val="17"/>
                  <w:color w:val="0000EE"/>
                  <w:w w:val="94"/>
                </w:rPr>
                <w:t>the other Grantors party thereto (Incorporated by reference to Exhibit 10.30 of the Company’s Annual Report on Form 10-K for the fiscal</w:t>
              </w:r>
            </w:hyperlink>
          </w:p>
        </w:tc>
      </w:tr>
      <w:tr>
        <w:trPr>
          <w:trHeight w:val="188"/>
        </w:trPr>
        <w:tc>
          <w:tcPr>
            <w:tcW w:w="160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1"/>
              </w:rPr>
            </w:pPr>
            <w:hyperlink r:id="rId231">
              <w:r>
                <w:rPr>
                  <w:rFonts w:ascii="Arial" w:cs="Arial" w:eastAsia="Arial" w:hAnsi="Arial"/>
                  <w:sz w:val="17"/>
                  <w:szCs w:val="17"/>
                  <w:color w:val="0000EE"/>
                  <w:w w:val="91"/>
                </w:rPr>
                <w:t>year ended December 31, 2020 as filed on March 16, 2021).</w:t>
              </w:r>
            </w:hyperlink>
          </w:p>
        </w:tc>
        <w:tc>
          <w:tcPr>
            <w:tcW w:w="5360" w:type="dxa"/>
            <w:vAlign w:val="bottom"/>
            <w:tcBorders>
              <w:top w:val="single" w:sz="8" w:color="0000EE"/>
            </w:tcBorders>
            <w:gridSpan w:val="20"/>
          </w:tcPr>
          <w:p>
            <w:pPr>
              <w:spacing w:after="0"/>
              <w:rPr>
                <w:sz w:val="16"/>
                <w:szCs w:val="16"/>
                <w:color w:val="auto"/>
              </w:rPr>
            </w:pPr>
          </w:p>
        </w:tc>
        <w:tc>
          <w:tcPr>
            <w:tcW w:w="80" w:type="dxa"/>
            <w:vAlign w:val="bottom"/>
            <w:gridSpan w:val="3"/>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(10.33)</w:t>
            </w:r>
          </w:p>
        </w:tc>
        <w:tc>
          <w:tcPr>
            <w:tcW w:w="9300" w:type="dxa"/>
            <w:vAlign w:val="bottom"/>
            <w:tcBorders>
              <w:bottom w:val="single" w:sz="8" w:color="0000EE"/>
            </w:tcBorders>
            <w:gridSpan w:val="20"/>
          </w:tcPr>
          <w:p>
            <w:pPr>
              <w:spacing w:after="0"/>
              <w:rPr>
                <w:rFonts w:ascii="Arial" w:cs="Arial" w:eastAsia="Arial" w:hAnsi="Arial"/>
                <w:sz w:val="17"/>
                <w:szCs w:val="17"/>
                <w:color w:val="0000EE"/>
                <w:w w:val="91"/>
              </w:rPr>
            </w:pPr>
            <w:hyperlink r:id="rId232">
              <w:r>
                <w:rPr>
                  <w:rFonts w:ascii="Arial" w:cs="Arial" w:eastAsia="Arial" w:hAnsi="Arial"/>
                  <w:sz w:val="17"/>
                  <w:szCs w:val="17"/>
                  <w:color w:val="0000EE"/>
                  <w:w w:val="91"/>
                </w:rPr>
                <w:t>Series A Preferred Stock Purchase Agreement, dated as of November 7, 2016, by and among Eastman Kodak Company, Southeastern</w:t>
              </w:r>
            </w:hyperlink>
          </w:p>
        </w:tc>
        <w:tc>
          <w:tcPr>
            <w:tcW w:w="340" w:type="dxa"/>
            <w:vAlign w:val="bottom"/>
            <w:gridSpan w:val="9"/>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6"/>
              </w:rPr>
            </w:pPr>
            <w:hyperlink r:id="rId232">
              <w:r>
                <w:rPr>
                  <w:rFonts w:ascii="Arial" w:cs="Arial" w:eastAsia="Arial" w:hAnsi="Arial"/>
                  <w:sz w:val="17"/>
                  <w:szCs w:val="17"/>
                  <w:color w:val="0000EE"/>
                  <w:w w:val="96"/>
                </w:rPr>
                <w:t>Asset Management, Inc., Longleaf Partners Small-Cap Fund, C2W Partners Master Fund Limited and Deseret Mutual Pension Trust.</w:t>
              </w:r>
            </w:hyperlink>
          </w:p>
        </w:tc>
      </w:tr>
      <w:tr>
        <w:trPr>
          <w:trHeight w:val="188"/>
        </w:trPr>
        <w:tc>
          <w:tcPr>
            <w:tcW w:w="1600" w:type="dxa"/>
            <w:vAlign w:val="bottom"/>
          </w:tcPr>
          <w:p>
            <w:pPr>
              <w:spacing w:after="0"/>
              <w:rPr>
                <w:sz w:val="16"/>
                <w:szCs w:val="16"/>
                <w:color w:val="auto"/>
              </w:rPr>
            </w:pPr>
          </w:p>
        </w:tc>
        <w:tc>
          <w:tcPr>
            <w:tcW w:w="92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232">
              <w:r>
                <w:rPr>
                  <w:rFonts w:ascii="Arial" w:cs="Arial" w:eastAsia="Arial" w:hAnsi="Arial"/>
                  <w:sz w:val="17"/>
                  <w:szCs w:val="17"/>
                  <w:color w:val="0000EE"/>
                </w:rPr>
                <w:t>(Incorporated by reference to Exhibit 10.1 of the Company’s Current Report on Form 8-K as filed on November 7, 2016).</w:t>
              </w:r>
            </w:hyperlink>
          </w:p>
        </w:tc>
        <w:tc>
          <w:tcPr>
            <w:tcW w:w="400" w:type="dxa"/>
            <w:vAlign w:val="bottom"/>
            <w:gridSpan w:val="11"/>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(10.34)</w:t>
            </w:r>
          </w:p>
        </w:tc>
        <w:tc>
          <w:tcPr>
            <w:tcW w:w="9220" w:type="dxa"/>
            <w:vAlign w:val="bottom"/>
            <w:tcBorders>
              <w:bottom w:val="single" w:sz="8" w:color="0000EE"/>
            </w:tcBorders>
            <w:gridSpan w:val="17"/>
          </w:tcPr>
          <w:p>
            <w:pPr>
              <w:spacing w:after="0"/>
              <w:rPr>
                <w:rFonts w:ascii="Arial" w:cs="Arial" w:eastAsia="Arial" w:hAnsi="Arial"/>
                <w:sz w:val="17"/>
                <w:szCs w:val="17"/>
                <w:color w:val="0000EE"/>
                <w:w w:val="91"/>
              </w:rPr>
            </w:pPr>
            <w:hyperlink r:id="rId233">
              <w:r>
                <w:rPr>
                  <w:rFonts w:ascii="Arial" w:cs="Arial" w:eastAsia="Arial" w:hAnsi="Arial"/>
                  <w:sz w:val="17"/>
                  <w:szCs w:val="17"/>
                  <w:color w:val="0000EE"/>
                  <w:w w:val="91"/>
                </w:rPr>
                <w:t>Amendment Number One to Series A Preferred Stock Purchase Agreement, dated as of December 24, 2020, by and among Eastman</w:t>
              </w:r>
            </w:hyperlink>
          </w:p>
        </w:tc>
        <w:tc>
          <w:tcPr>
            <w:tcW w:w="420" w:type="dxa"/>
            <w:vAlign w:val="bottom"/>
            <w:gridSpan w:val="12"/>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00" w:type="dxa"/>
            <w:vAlign w:val="bottom"/>
            <w:tcBorders>
              <w:bottom w:val="single" w:sz="8" w:color="0000EE"/>
            </w:tcBorders>
            <w:gridSpan w:val="20"/>
          </w:tcPr>
          <w:p>
            <w:pPr>
              <w:spacing w:after="0" w:line="189" w:lineRule="exact"/>
              <w:rPr>
                <w:rFonts w:ascii="Arial" w:cs="Arial" w:eastAsia="Arial" w:hAnsi="Arial"/>
                <w:sz w:val="17"/>
                <w:szCs w:val="17"/>
                <w:color w:val="0000EE"/>
                <w:w w:val="92"/>
              </w:rPr>
            </w:pPr>
            <w:hyperlink r:id="rId233">
              <w:r>
                <w:rPr>
                  <w:rFonts w:ascii="Arial" w:cs="Arial" w:eastAsia="Arial" w:hAnsi="Arial"/>
                  <w:sz w:val="17"/>
                  <w:szCs w:val="17"/>
                  <w:color w:val="0000EE"/>
                  <w:w w:val="92"/>
                </w:rPr>
                <w:t>Kodak Company, Southeastern Asset Management, Inc., Longleaf Partners Small-Cap Fund, C2W Partners Master Fund Limited and</w:t>
              </w:r>
            </w:hyperlink>
          </w:p>
        </w:tc>
        <w:tc>
          <w:tcPr>
            <w:tcW w:w="340" w:type="dxa"/>
            <w:vAlign w:val="bottom"/>
            <w:gridSpan w:val="9"/>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5"/>
              </w:rPr>
            </w:pPr>
            <w:hyperlink r:id="rId233">
              <w:r>
                <w:rPr>
                  <w:rFonts w:ascii="Arial" w:cs="Arial" w:eastAsia="Arial" w:hAnsi="Arial"/>
                  <w:sz w:val="17"/>
                  <w:szCs w:val="17"/>
                  <w:color w:val="0000EE"/>
                  <w:w w:val="95"/>
                </w:rPr>
                <w:t>Deseret Mutual Pension Trust (Incorporated by reference to Exhibit 10.32 of the Company’s Annual Report on Form 10-K for the fiscal</w:t>
              </w:r>
            </w:hyperlink>
          </w:p>
        </w:tc>
      </w:tr>
      <w:tr>
        <w:trPr>
          <w:trHeight w:val="188"/>
        </w:trPr>
        <w:tc>
          <w:tcPr>
            <w:tcW w:w="160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1"/>
              </w:rPr>
            </w:pPr>
            <w:hyperlink r:id="rId233">
              <w:r>
                <w:rPr>
                  <w:rFonts w:ascii="Arial" w:cs="Arial" w:eastAsia="Arial" w:hAnsi="Arial"/>
                  <w:sz w:val="17"/>
                  <w:szCs w:val="17"/>
                  <w:color w:val="0000EE"/>
                  <w:w w:val="91"/>
                </w:rPr>
                <w:t>year ended December 31, 2020 as filed on March 16, 2021).</w:t>
              </w:r>
            </w:hyperlink>
          </w:p>
        </w:tc>
        <w:tc>
          <w:tcPr>
            <w:tcW w:w="5240" w:type="dxa"/>
            <w:vAlign w:val="bottom"/>
            <w:tcBorders>
              <w:top w:val="single" w:sz="8" w:color="0000EE"/>
            </w:tcBorders>
            <w:gridSpan w:val="16"/>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(10.35)</w:t>
            </w:r>
          </w:p>
        </w:tc>
        <w:tc>
          <w:tcPr>
            <w:tcW w:w="9640" w:type="dxa"/>
            <w:vAlign w:val="bottom"/>
            <w:gridSpan w:val="29"/>
          </w:tcPr>
          <w:p>
            <w:pPr>
              <w:spacing w:after="0"/>
              <w:rPr>
                <w:rFonts w:ascii="Arial" w:cs="Arial" w:eastAsia="Arial" w:hAnsi="Arial"/>
                <w:sz w:val="17"/>
                <w:szCs w:val="17"/>
                <w:color w:val="0000EE"/>
                <w:w w:val="91"/>
              </w:rPr>
            </w:pPr>
            <w:hyperlink r:id="rId234">
              <w:r>
                <w:rPr>
                  <w:rFonts w:ascii="Arial" w:cs="Arial" w:eastAsia="Arial" w:hAnsi="Arial"/>
                  <w:sz w:val="17"/>
                  <w:szCs w:val="17"/>
                  <w:color w:val="0000EE"/>
                  <w:w w:val="91"/>
                </w:rPr>
                <w:t>Series A Preferred Stock Repurchase and Exchange Agreement, dated as of February 26, 2021, by and among Eastman Kodak Company,</w:t>
              </w:r>
            </w:hyperlink>
          </w:p>
        </w:tc>
      </w:tr>
      <w:tr>
        <w:trPr>
          <w:trHeight w:val="188"/>
        </w:trPr>
        <w:tc>
          <w:tcPr>
            <w:tcW w:w="1600" w:type="dxa"/>
            <w:vAlign w:val="bottom"/>
          </w:tcPr>
          <w:p>
            <w:pPr>
              <w:spacing w:after="0"/>
              <w:rPr>
                <w:sz w:val="16"/>
                <w:szCs w:val="16"/>
                <w:color w:val="auto"/>
              </w:rPr>
            </w:pPr>
          </w:p>
        </w:tc>
        <w:tc>
          <w:tcPr>
            <w:tcW w:w="9540" w:type="dxa"/>
            <w:vAlign w:val="bottom"/>
            <w:tcBorders>
              <w:top w:val="single" w:sz="8" w:color="0000EE"/>
            </w:tcBorders>
            <w:gridSpan w:val="25"/>
          </w:tcPr>
          <w:p>
            <w:pPr>
              <w:spacing w:after="0" w:line="189" w:lineRule="exact"/>
              <w:rPr>
                <w:rFonts w:ascii="Arial" w:cs="Arial" w:eastAsia="Arial" w:hAnsi="Arial"/>
                <w:sz w:val="17"/>
                <w:szCs w:val="17"/>
                <w:color w:val="0000EE"/>
                <w:w w:val="96"/>
              </w:rPr>
            </w:pPr>
            <w:hyperlink r:id="rId234">
              <w:r>
                <w:rPr>
                  <w:rFonts w:ascii="Arial" w:cs="Arial" w:eastAsia="Arial" w:hAnsi="Arial"/>
                  <w:sz w:val="17"/>
                  <w:szCs w:val="17"/>
                  <w:color w:val="0000EE"/>
                  <w:w w:val="96"/>
                </w:rPr>
                <w:t>Southeastern Asset Management, Inc., Longleaf Partners Small-Cap Fund, C2W Partners Master Fund Limited and Deseret Mutual</w:t>
              </w:r>
            </w:hyperlink>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140" w:type="dxa"/>
            <w:vAlign w:val="bottom"/>
            <w:tcBorders>
              <w:top w:val="single" w:sz="8" w:color="0000EE"/>
            </w:tcBorders>
            <w:gridSpan w:val="14"/>
          </w:tcPr>
          <w:p>
            <w:pPr>
              <w:spacing w:after="0" w:line="189" w:lineRule="exact"/>
              <w:rPr>
                <w:rFonts w:ascii="Arial" w:cs="Arial" w:eastAsia="Arial" w:hAnsi="Arial"/>
                <w:sz w:val="17"/>
                <w:szCs w:val="17"/>
                <w:color w:val="0000EE"/>
                <w:w w:val="94"/>
              </w:rPr>
            </w:pPr>
            <w:hyperlink r:id="rId234">
              <w:r>
                <w:rPr>
                  <w:rFonts w:ascii="Arial" w:cs="Arial" w:eastAsia="Arial" w:hAnsi="Arial"/>
                  <w:sz w:val="17"/>
                  <w:szCs w:val="17"/>
                  <w:color w:val="0000EE"/>
                  <w:w w:val="94"/>
                </w:rPr>
                <w:t>Pension Trust. (Incorporated by reference to Exhibit 10.1 of the Company’s Current Report on Form 8-K as filed March 1, 2021).</w:t>
              </w:r>
            </w:hyperlink>
          </w:p>
        </w:tc>
        <w:tc>
          <w:tcPr>
            <w:tcW w:w="500" w:type="dxa"/>
            <w:vAlign w:val="bottom"/>
            <w:gridSpan w:val="15"/>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(10.36)</w:t>
            </w:r>
          </w:p>
        </w:tc>
        <w:tc>
          <w:tcPr>
            <w:tcW w:w="9640" w:type="dxa"/>
            <w:vAlign w:val="bottom"/>
            <w:gridSpan w:val="29"/>
          </w:tcPr>
          <w:p>
            <w:pPr>
              <w:spacing w:after="0"/>
              <w:rPr>
                <w:rFonts w:ascii="Arial" w:cs="Arial" w:eastAsia="Arial" w:hAnsi="Arial"/>
                <w:sz w:val="17"/>
                <w:szCs w:val="17"/>
                <w:color w:val="0000EE"/>
                <w:w w:val="96"/>
              </w:rPr>
            </w:pPr>
            <w:hyperlink r:id="rId235">
              <w:r>
                <w:rPr>
                  <w:rFonts w:ascii="Arial" w:cs="Arial" w:eastAsia="Arial" w:hAnsi="Arial"/>
                  <w:sz w:val="17"/>
                  <w:szCs w:val="17"/>
                  <w:color w:val="0000EE"/>
                  <w:w w:val="96"/>
                </w:rPr>
                <w:t>Series C Preferred Stock Purchase Agreement, dated as of February 26, 2021, by and among Eastman Kodak Company and GO EK</w:t>
              </w:r>
            </w:hyperlink>
          </w:p>
        </w:tc>
      </w:tr>
      <w:tr>
        <w:trPr>
          <w:trHeight w:val="20"/>
        </w:trPr>
        <w:tc>
          <w:tcPr>
            <w:tcW w:w="16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280" w:type="dxa"/>
            <w:vAlign w:val="bottom"/>
            <w:tcBorders>
              <w:bottom w:val="single" w:sz="8" w:color="0000EE"/>
            </w:tcBorders>
            <w:gridSpan w:val="19"/>
          </w:tcPr>
          <w:p>
            <w:pPr>
              <w:spacing w:after="0" w:line="189" w:lineRule="exact"/>
              <w:rPr>
                <w:rFonts w:ascii="Arial" w:cs="Arial" w:eastAsia="Arial" w:hAnsi="Arial"/>
                <w:sz w:val="17"/>
                <w:szCs w:val="17"/>
                <w:color w:val="0000EE"/>
                <w:w w:val="93"/>
              </w:rPr>
            </w:pPr>
            <w:hyperlink r:id="rId235">
              <w:r>
                <w:rPr>
                  <w:rFonts w:ascii="Arial" w:cs="Arial" w:eastAsia="Arial" w:hAnsi="Arial"/>
                  <w:sz w:val="17"/>
                  <w:szCs w:val="17"/>
                  <w:color w:val="0000EE"/>
                  <w:w w:val="93"/>
                </w:rPr>
                <w:t>Ventures IV, LLC. (Incorporated by reference to Exhibit 10.2 of the Company’s Current Report on Form 8-K as filed March 1, 2021).</w:t>
              </w:r>
            </w:hyperlink>
          </w:p>
        </w:tc>
        <w:tc>
          <w:tcPr>
            <w:tcW w:w="360" w:type="dxa"/>
            <w:vAlign w:val="bottom"/>
            <w:gridSpan w:val="10"/>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(10.37)</w:t>
            </w:r>
          </w:p>
        </w:tc>
        <w:tc>
          <w:tcPr>
            <w:tcW w:w="9600" w:type="dxa"/>
            <w:vAlign w:val="bottom"/>
            <w:tcBorders>
              <w:bottom w:val="single" w:sz="8" w:color="0000EE"/>
            </w:tcBorders>
            <w:gridSpan w:val="28"/>
          </w:tcPr>
          <w:p>
            <w:pPr>
              <w:spacing w:after="0"/>
              <w:rPr>
                <w:rFonts w:ascii="Arial" w:cs="Arial" w:eastAsia="Arial" w:hAnsi="Arial"/>
                <w:sz w:val="17"/>
                <w:szCs w:val="17"/>
                <w:color w:val="0000EE"/>
                <w:w w:val="91"/>
              </w:rPr>
            </w:pPr>
            <w:hyperlink r:id="rId191">
              <w:r>
                <w:rPr>
                  <w:rFonts w:ascii="Arial" w:cs="Arial" w:eastAsia="Arial" w:hAnsi="Arial"/>
                  <w:sz w:val="17"/>
                  <w:szCs w:val="17"/>
                  <w:color w:val="0000EE"/>
                  <w:w w:val="91"/>
                </w:rPr>
                <w:t>Securities Purchase Agreement, dated as of February 26, 2021, by and among Eastman Kodak Company, Kennedy Lewis Capital Partners</w:t>
              </w:r>
            </w:hyperlink>
          </w:p>
        </w:tc>
        <w:tc>
          <w:tcPr>
            <w:tcW w:w="40" w:type="dxa"/>
            <w:vAlign w:val="bottom"/>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6"/>
              </w:rPr>
            </w:pPr>
            <w:hyperlink r:id="rId191">
              <w:r>
                <w:rPr>
                  <w:rFonts w:ascii="Arial" w:cs="Arial" w:eastAsia="Arial" w:hAnsi="Arial"/>
                  <w:sz w:val="17"/>
                  <w:szCs w:val="17"/>
                  <w:color w:val="0000EE"/>
                  <w:w w:val="96"/>
                </w:rPr>
                <w:t>Master Fund LP and Kennedy Lewis Capital Partners Master Fund II LP. (Incorporated by reference to Exhibit 10.8 of the Company’s</w:t>
              </w:r>
            </w:hyperlink>
          </w:p>
        </w:tc>
      </w:tr>
      <w:tr>
        <w:trPr>
          <w:trHeight w:val="188"/>
        </w:trPr>
        <w:tc>
          <w:tcPr>
            <w:tcW w:w="1600" w:type="dxa"/>
            <w:vAlign w:val="bottom"/>
          </w:tcPr>
          <w:p>
            <w:pPr>
              <w:spacing w:after="0"/>
              <w:rPr>
                <w:sz w:val="16"/>
                <w:szCs w:val="16"/>
                <w:color w:val="auto"/>
              </w:rPr>
            </w:pPr>
          </w:p>
        </w:tc>
        <w:tc>
          <w:tcPr>
            <w:tcW w:w="372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3"/>
              </w:rPr>
            </w:pPr>
            <w:hyperlink r:id="rId191">
              <w:r>
                <w:rPr>
                  <w:rFonts w:ascii="Arial" w:cs="Arial" w:eastAsia="Arial" w:hAnsi="Arial"/>
                  <w:sz w:val="17"/>
                  <w:szCs w:val="17"/>
                  <w:color w:val="0000EE"/>
                  <w:w w:val="93"/>
                </w:rPr>
                <w:t>Current Report on Form 8-K as filed March 1, 2021).</w:t>
              </w:r>
            </w:hyperlink>
          </w:p>
        </w:tc>
        <w:tc>
          <w:tcPr>
            <w:tcW w:w="5600" w:type="dxa"/>
            <w:vAlign w:val="bottom"/>
            <w:tcBorders>
              <w:top w:val="single" w:sz="8" w:color="0000EE"/>
            </w:tcBorders>
            <w:gridSpan w:val="18"/>
          </w:tcPr>
          <w:p>
            <w:pPr>
              <w:spacing w:after="0"/>
              <w:rPr>
                <w:sz w:val="16"/>
                <w:szCs w:val="16"/>
                <w:color w:val="auto"/>
              </w:rPr>
            </w:pPr>
          </w:p>
        </w:tc>
        <w:tc>
          <w:tcPr>
            <w:tcW w:w="320" w:type="dxa"/>
            <w:vAlign w:val="bottom"/>
            <w:gridSpan w:val="8"/>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(10.38)</w:t>
            </w:r>
          </w:p>
        </w:tc>
        <w:tc>
          <w:tcPr>
            <w:tcW w:w="8920" w:type="dxa"/>
            <w:vAlign w:val="bottom"/>
            <w:tcBorders>
              <w:bottom w:val="single" w:sz="8" w:color="0000EE"/>
            </w:tcBorders>
            <w:gridSpan w:val="11"/>
          </w:tcPr>
          <w:p>
            <w:pPr>
              <w:spacing w:after="0"/>
              <w:rPr>
                <w:rFonts w:ascii="Arial" w:cs="Arial" w:eastAsia="Arial" w:hAnsi="Arial"/>
                <w:sz w:val="17"/>
                <w:szCs w:val="17"/>
                <w:color w:val="0000EE"/>
                <w:w w:val="91"/>
              </w:rPr>
            </w:pPr>
            <w:hyperlink r:id="rId236">
              <w:r>
                <w:rPr>
                  <w:rFonts w:ascii="Arial" w:cs="Arial" w:eastAsia="Arial" w:hAnsi="Arial"/>
                  <w:sz w:val="17"/>
                  <w:szCs w:val="17"/>
                  <w:color w:val="0000EE"/>
                  <w:w w:val="91"/>
                </w:rPr>
                <w:t>Amended and Restated Settlement Agreement (Eastman Business Park) between Eastman Kodak Company, the New York State</w:t>
              </w:r>
            </w:hyperlink>
          </w:p>
        </w:tc>
        <w:tc>
          <w:tcPr>
            <w:tcW w:w="720" w:type="dxa"/>
            <w:vAlign w:val="bottom"/>
            <w:gridSpan w:val="18"/>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40" w:type="dxa"/>
            <w:vAlign w:val="bottom"/>
            <w:gridSpan w:val="29"/>
          </w:tcPr>
          <w:p>
            <w:pPr>
              <w:spacing w:after="0" w:line="189" w:lineRule="exact"/>
              <w:rPr>
                <w:rFonts w:ascii="Arial" w:cs="Arial" w:eastAsia="Arial" w:hAnsi="Arial"/>
                <w:sz w:val="17"/>
                <w:szCs w:val="17"/>
                <w:color w:val="0000EE"/>
                <w:w w:val="94"/>
              </w:rPr>
            </w:pPr>
            <w:hyperlink r:id="rId236">
              <w:r>
                <w:rPr>
                  <w:rFonts w:ascii="Arial" w:cs="Arial" w:eastAsia="Arial" w:hAnsi="Arial"/>
                  <w:sz w:val="17"/>
                  <w:szCs w:val="17"/>
                  <w:color w:val="0000EE"/>
                  <w:w w:val="94"/>
                </w:rPr>
                <w:t>Department of Environmental Conservation, and the New York State Urban Development Corporation d/b/a Empire State Development,</w:t>
              </w:r>
            </w:hyperlink>
          </w:p>
        </w:tc>
      </w:tr>
      <w:tr>
        <w:trPr>
          <w:trHeight w:val="188"/>
        </w:trPr>
        <w:tc>
          <w:tcPr>
            <w:tcW w:w="1600" w:type="dxa"/>
            <w:vAlign w:val="bottom"/>
          </w:tcPr>
          <w:p>
            <w:pPr>
              <w:spacing w:after="0"/>
              <w:rPr>
                <w:sz w:val="16"/>
                <w:szCs w:val="16"/>
                <w:color w:val="auto"/>
              </w:rPr>
            </w:pPr>
          </w:p>
        </w:tc>
        <w:tc>
          <w:tcPr>
            <w:tcW w:w="9480" w:type="dxa"/>
            <w:vAlign w:val="bottom"/>
            <w:tcBorders>
              <w:top w:val="single" w:sz="8" w:color="0000EE"/>
            </w:tcBorders>
            <w:gridSpan w:val="24"/>
          </w:tcPr>
          <w:p>
            <w:pPr>
              <w:spacing w:after="0" w:line="189" w:lineRule="exact"/>
              <w:rPr>
                <w:rFonts w:ascii="Arial" w:cs="Arial" w:eastAsia="Arial" w:hAnsi="Arial"/>
                <w:sz w:val="17"/>
                <w:szCs w:val="17"/>
                <w:color w:val="0000EE"/>
                <w:w w:val="95"/>
              </w:rPr>
            </w:pPr>
            <w:hyperlink r:id="rId236">
              <w:r>
                <w:rPr>
                  <w:rFonts w:ascii="Arial" w:cs="Arial" w:eastAsia="Arial" w:hAnsi="Arial"/>
                  <w:sz w:val="17"/>
                  <w:szCs w:val="17"/>
                  <w:color w:val="0000EE"/>
                  <w:w w:val="95"/>
                </w:rPr>
                <w:t>dated August 6, 2013. (Incorporated by reference to Exhibit 10.10 of the Company’s Quarterly Report on Form 10-Q for the quarterly</w:t>
              </w:r>
            </w:hyperlink>
          </w:p>
        </w:tc>
        <w:tc>
          <w:tcPr>
            <w:tcW w:w="160" w:type="dxa"/>
            <w:vAlign w:val="bottom"/>
            <w:gridSpan w:val="5"/>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64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1"/>
              </w:rPr>
            </w:pPr>
            <w:hyperlink r:id="rId236">
              <w:r>
                <w:rPr>
                  <w:rFonts w:ascii="Arial" w:cs="Arial" w:eastAsia="Arial" w:hAnsi="Arial"/>
                  <w:sz w:val="17"/>
                  <w:szCs w:val="17"/>
                  <w:color w:val="0000EE"/>
                  <w:w w:val="91"/>
                </w:rPr>
                <w:t>period ended September 30, 2013 as filed on November 12, 2013).</w:t>
              </w:r>
            </w:hyperlink>
          </w:p>
        </w:tc>
        <w:tc>
          <w:tcPr>
            <w:tcW w:w="4660" w:type="dxa"/>
            <w:vAlign w:val="bottom"/>
            <w:tcBorders>
              <w:top w:val="single" w:sz="8" w:color="0000EE"/>
            </w:tcBorders>
            <w:gridSpan w:val="13"/>
          </w:tcPr>
          <w:p>
            <w:pPr>
              <w:spacing w:after="0"/>
              <w:rPr>
                <w:sz w:val="16"/>
                <w:szCs w:val="16"/>
                <w:color w:val="auto"/>
              </w:rPr>
            </w:pPr>
          </w:p>
        </w:tc>
        <w:tc>
          <w:tcPr>
            <w:tcW w:w="340" w:type="dxa"/>
            <w:vAlign w:val="bottom"/>
            <w:gridSpan w:val="9"/>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(21)</w:t>
            </w:r>
          </w:p>
        </w:tc>
        <w:tc>
          <w:tcPr>
            <w:tcW w:w="400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141">
              <w:r>
                <w:rPr>
                  <w:rFonts w:ascii="Arial" w:cs="Arial" w:eastAsia="Arial" w:hAnsi="Arial"/>
                  <w:sz w:val="17"/>
                  <w:szCs w:val="17"/>
                  <w:color w:val="0000EE"/>
                  <w:w w:val="92"/>
                </w:rPr>
                <w:t>Subsidiaries of Eastman Kodak Company, filed herewith.</w:t>
              </w:r>
            </w:hyperlink>
          </w:p>
        </w:tc>
        <w:tc>
          <w:tcPr>
            <w:tcW w:w="5640" w:type="dxa"/>
            <w:vAlign w:val="bottom"/>
            <w:gridSpan w:val="25"/>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(23.1)</w:t>
            </w:r>
          </w:p>
        </w:tc>
        <w:tc>
          <w:tcPr>
            <w:tcW w:w="674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143">
              <w:r>
                <w:rPr>
                  <w:rFonts w:ascii="Arial" w:cs="Arial" w:eastAsia="Arial" w:hAnsi="Arial"/>
                  <w:sz w:val="17"/>
                  <w:szCs w:val="17"/>
                  <w:color w:val="0000EE"/>
                  <w:w w:val="93"/>
                </w:rPr>
                <w:t>Consent of Ernst &amp; Young LLP, Independent Registered Public Accounting Firm, filed herewith.</w:t>
              </w:r>
            </w:hyperlink>
          </w:p>
        </w:tc>
        <w:tc>
          <w:tcPr>
            <w:tcW w:w="2900" w:type="dxa"/>
            <w:vAlign w:val="bottom"/>
            <w:gridSpan w:val="21"/>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(23.2)</w:t>
            </w:r>
          </w:p>
        </w:tc>
        <w:tc>
          <w:tcPr>
            <w:tcW w:w="742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144">
              <w:r>
                <w:rPr>
                  <w:rFonts w:ascii="Arial" w:cs="Arial" w:eastAsia="Arial" w:hAnsi="Arial"/>
                  <w:sz w:val="17"/>
                  <w:szCs w:val="17"/>
                  <w:color w:val="0000EE"/>
                  <w:w w:val="92"/>
                </w:rPr>
                <w:t>Consent of PricewaterhouseCoopers LLP, Independent Registered Public Accounting Firm, filed herewith.</w:t>
              </w:r>
            </w:hyperlink>
          </w:p>
        </w:tc>
        <w:tc>
          <w:tcPr>
            <w:tcW w:w="2220" w:type="dxa"/>
            <w:vAlign w:val="bottom"/>
            <w:gridSpan w:val="20"/>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(31.1)</w:t>
            </w:r>
          </w:p>
        </w:tc>
        <w:tc>
          <w:tcPr>
            <w:tcW w:w="420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145">
              <w:r>
                <w:rPr>
                  <w:rFonts w:ascii="Arial" w:cs="Arial" w:eastAsia="Arial" w:hAnsi="Arial"/>
                  <w:sz w:val="17"/>
                  <w:szCs w:val="17"/>
                  <w:color w:val="0000EE"/>
                  <w:w w:val="93"/>
                </w:rPr>
                <w:t>Certification signed by James V. Continenza, filed herewith.</w:t>
              </w:r>
            </w:hyperlink>
          </w:p>
        </w:tc>
        <w:tc>
          <w:tcPr>
            <w:tcW w:w="5440" w:type="dxa"/>
            <w:vAlign w:val="bottom"/>
            <w:gridSpan w:val="23"/>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(31.2)</w:t>
            </w:r>
          </w:p>
        </w:tc>
        <w:tc>
          <w:tcPr>
            <w:tcW w:w="4180" w:type="dxa"/>
            <w:vAlign w:val="bottom"/>
            <w:tcBorders>
              <w:bottom w:val="single" w:sz="8" w:color="0000EE"/>
            </w:tcBorders>
            <w:gridSpan w:val="5"/>
          </w:tcPr>
          <w:p>
            <w:pPr>
              <w:spacing w:after="0"/>
              <w:rPr>
                <w:rFonts w:ascii="Arial" w:cs="Arial" w:eastAsia="Arial" w:hAnsi="Arial"/>
                <w:sz w:val="17"/>
                <w:szCs w:val="17"/>
                <w:color w:val="0000EE"/>
                <w:w w:val="96"/>
              </w:rPr>
            </w:pPr>
            <w:hyperlink w:anchor="page146">
              <w:r>
                <w:rPr>
                  <w:rFonts w:ascii="Arial" w:cs="Arial" w:eastAsia="Arial" w:hAnsi="Arial"/>
                  <w:sz w:val="17"/>
                  <w:szCs w:val="17"/>
                  <w:color w:val="0000EE"/>
                  <w:w w:val="96"/>
                </w:rPr>
                <w:t>Certification signed by David E. Bullwinkle, filed herewith.</w:t>
              </w:r>
            </w:hyperlink>
          </w:p>
        </w:tc>
        <w:tc>
          <w:tcPr>
            <w:tcW w:w="5460" w:type="dxa"/>
            <w:vAlign w:val="bottom"/>
            <w:gridSpan w:val="24"/>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(32.1)</w:t>
            </w:r>
          </w:p>
        </w:tc>
        <w:tc>
          <w:tcPr>
            <w:tcW w:w="9200" w:type="dxa"/>
            <w:vAlign w:val="bottom"/>
            <w:tcBorders>
              <w:bottom w:val="single" w:sz="8" w:color="0000EE"/>
            </w:tcBorders>
            <w:gridSpan w:val="16"/>
          </w:tcPr>
          <w:p>
            <w:pPr>
              <w:spacing w:after="0"/>
              <w:rPr>
                <w:rFonts w:ascii="Arial" w:cs="Arial" w:eastAsia="Arial" w:hAnsi="Arial"/>
                <w:sz w:val="17"/>
                <w:szCs w:val="17"/>
                <w:color w:val="0000EE"/>
                <w:w w:val="92"/>
              </w:rPr>
            </w:pPr>
            <w:hyperlink w:anchor="page147">
              <w:r>
                <w:rPr>
                  <w:rFonts w:ascii="Arial" w:cs="Arial" w:eastAsia="Arial" w:hAnsi="Arial"/>
                  <w:sz w:val="17"/>
                  <w:szCs w:val="17"/>
                  <w:color w:val="0000EE"/>
                  <w:w w:val="92"/>
                </w:rPr>
                <w:t>Certification Pursuant to 18 U.S.C. Section 1350, as Adopted Pursuant to Section 906 of the Sarbanes-Oxley Act of 2002, signed by</w:t>
              </w:r>
            </w:hyperlink>
          </w:p>
        </w:tc>
        <w:tc>
          <w:tcPr>
            <w:tcW w:w="440" w:type="dxa"/>
            <w:vAlign w:val="bottom"/>
            <w:gridSpan w:val="1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2560" w:type="dxa"/>
            <w:vAlign w:val="bottom"/>
            <w:tcBorders>
              <w:bottom w:val="single" w:sz="8" w:color="0000EE"/>
            </w:tcBorders>
            <w:gridSpan w:val="2"/>
          </w:tcPr>
          <w:p>
            <w:pPr>
              <w:spacing w:after="0" w:line="189" w:lineRule="exact"/>
              <w:rPr>
                <w:rFonts w:ascii="Arial" w:cs="Arial" w:eastAsia="Arial" w:hAnsi="Arial"/>
                <w:sz w:val="17"/>
                <w:szCs w:val="17"/>
                <w:color w:val="0000EE"/>
                <w:w w:val="92"/>
              </w:rPr>
            </w:pPr>
            <w:hyperlink w:anchor="page147">
              <w:r>
                <w:rPr>
                  <w:rFonts w:ascii="Arial" w:cs="Arial" w:eastAsia="Arial" w:hAnsi="Arial"/>
                  <w:sz w:val="17"/>
                  <w:szCs w:val="17"/>
                  <w:color w:val="0000EE"/>
                  <w:w w:val="92"/>
                </w:rPr>
                <w:t>James V. Continenza, filed herewith.</w:t>
              </w:r>
            </w:hyperlink>
          </w:p>
        </w:tc>
        <w:tc>
          <w:tcPr>
            <w:tcW w:w="7080" w:type="dxa"/>
            <w:vAlign w:val="bottom"/>
            <w:gridSpan w:val="27"/>
          </w:tcPr>
          <w:p>
            <w:pPr>
              <w:spacing w:after="0"/>
              <w:rPr>
                <w:sz w:val="16"/>
                <w:szCs w:val="16"/>
                <w:color w:val="auto"/>
              </w:rPr>
            </w:pPr>
          </w:p>
        </w:tc>
      </w:tr>
      <w:tr>
        <w:trPr>
          <w:trHeight w:val="436"/>
        </w:trPr>
        <w:tc>
          <w:tcPr>
            <w:tcW w:w="1600" w:type="dxa"/>
            <w:vAlign w:val="bottom"/>
          </w:tcPr>
          <w:p>
            <w:pPr>
              <w:spacing w:after="0"/>
              <w:rPr>
                <w:sz w:val="24"/>
                <w:szCs w:val="24"/>
                <w:color w:val="auto"/>
              </w:rPr>
            </w:pPr>
          </w:p>
        </w:tc>
        <w:tc>
          <w:tcPr>
            <w:tcW w:w="4180" w:type="dxa"/>
            <w:vAlign w:val="bottom"/>
            <w:gridSpan w:val="5"/>
          </w:tcPr>
          <w:p>
            <w:pPr>
              <w:ind w:left="3900"/>
              <w:spacing w:after="0"/>
              <w:rPr>
                <w:sz w:val="20"/>
                <w:szCs w:val="20"/>
                <w:color w:val="auto"/>
              </w:rPr>
            </w:pPr>
            <w:r>
              <w:rPr>
                <w:rFonts w:ascii="Arial" w:cs="Arial" w:eastAsia="Arial" w:hAnsi="Arial"/>
                <w:sz w:val="17"/>
                <w:szCs w:val="17"/>
                <w:color w:val="auto"/>
                <w:w w:val="91"/>
              </w:rPr>
              <w:t>138</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(32.2)</w:t>
            </w:r>
          </w:p>
        </w:tc>
        <w:tc>
          <w:tcPr>
            <w:tcW w:w="962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148">
              <w:r>
                <w:rPr>
                  <w:rFonts w:ascii="Arial" w:cs="Arial" w:eastAsia="Arial" w:hAnsi="Arial"/>
                  <w:sz w:val="17"/>
                  <w:szCs w:val="17"/>
                  <w:color w:val="0000EE"/>
                  <w:w w:val="92"/>
                </w:rPr>
                <w:t>Certification Pursuant to 18 U.S.C. Section 1350, as Adopted Pursuant to Section 906 of the Sarbanes-Oxley Act of 2002 signed by David</w:t>
              </w:r>
            </w:hyperlink>
          </w:p>
        </w:tc>
      </w:tr>
      <w:tr>
        <w:trPr>
          <w:trHeight w:val="188"/>
        </w:trPr>
        <w:tc>
          <w:tcPr>
            <w:tcW w:w="1600" w:type="dxa"/>
            <w:vAlign w:val="bottom"/>
          </w:tcPr>
          <w:p>
            <w:pPr>
              <w:spacing w:after="0"/>
              <w:rPr>
                <w:sz w:val="16"/>
                <w:szCs w:val="16"/>
                <w:color w:val="auto"/>
              </w:rPr>
            </w:pPr>
          </w:p>
        </w:tc>
        <w:tc>
          <w:tcPr>
            <w:tcW w:w="9620" w:type="dxa"/>
            <w:vAlign w:val="bottom"/>
            <w:gridSpan w:val="2"/>
          </w:tcPr>
          <w:p>
            <w:pPr>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E. Bullwinkle, filed herewith.</w:t>
              </w:r>
            </w:hyperlink>
          </w:p>
        </w:tc>
      </w:tr>
      <w:tr>
        <w:trPr>
          <w:trHeight w:val="20"/>
        </w:trPr>
        <w:tc>
          <w:tcPr>
            <w:tcW w:w="16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62"/>
        </w:trPr>
        <w:tc>
          <w:tcPr>
            <w:tcW w:w="1600" w:type="dxa"/>
            <w:vAlign w:val="bottom"/>
          </w:tcPr>
          <w:p>
            <w:pPr>
              <w:spacing w:after="0"/>
              <w:rPr>
                <w:sz w:val="20"/>
                <w:szCs w:val="20"/>
                <w:color w:val="auto"/>
              </w:rPr>
            </w:pPr>
            <w:r>
              <w:rPr>
                <w:rFonts w:ascii="Arial" w:cs="Arial" w:eastAsia="Arial" w:hAnsi="Arial"/>
                <w:sz w:val="17"/>
                <w:szCs w:val="17"/>
                <w:color w:val="auto"/>
              </w:rPr>
              <w:t>(101.CAL)</w:t>
            </w:r>
          </w:p>
        </w:tc>
        <w:tc>
          <w:tcPr>
            <w:tcW w:w="9620" w:type="dxa"/>
            <w:vAlign w:val="bottom"/>
            <w:gridSpan w:val="2"/>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(101.INS)</w:t>
            </w:r>
          </w:p>
        </w:tc>
        <w:tc>
          <w:tcPr>
            <w:tcW w:w="9620" w:type="dxa"/>
            <w:vAlign w:val="bottom"/>
            <w:gridSpan w:val="2"/>
          </w:tcPr>
          <w:p>
            <w:pPr>
              <w:spacing w:after="0"/>
              <w:rPr>
                <w:sz w:val="20"/>
                <w:szCs w:val="20"/>
                <w:color w:val="auto"/>
              </w:rPr>
            </w:pPr>
            <w:r>
              <w:rPr>
                <w:rFonts w:ascii="Arial" w:cs="Arial" w:eastAsia="Arial" w:hAnsi="Arial"/>
                <w:sz w:val="17"/>
                <w:szCs w:val="17"/>
                <w:color w:val="auto"/>
              </w:rPr>
              <w:t>XBRL Instance Document.</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(101.LAB)</w:t>
            </w:r>
          </w:p>
        </w:tc>
        <w:tc>
          <w:tcPr>
            <w:tcW w:w="9620" w:type="dxa"/>
            <w:vAlign w:val="bottom"/>
            <w:gridSpan w:val="2"/>
          </w:tcPr>
          <w:p>
            <w:pPr>
              <w:spacing w:after="0"/>
              <w:rPr>
                <w:sz w:val="20"/>
                <w:szCs w:val="20"/>
                <w:color w:val="auto"/>
              </w:rPr>
            </w:pPr>
            <w:r>
              <w:rPr>
                <w:rFonts w:ascii="Arial" w:cs="Arial" w:eastAsia="Arial" w:hAnsi="Arial"/>
                <w:sz w:val="17"/>
                <w:szCs w:val="17"/>
                <w:color w:val="auto"/>
              </w:rPr>
              <w:t>XBRL Taxonomy Extension Label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(101.PRE)</w:t>
            </w:r>
          </w:p>
        </w:tc>
        <w:tc>
          <w:tcPr>
            <w:tcW w:w="9620" w:type="dxa"/>
            <w:vAlign w:val="bottom"/>
            <w:gridSpan w:val="2"/>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(101.SCH)</w:t>
            </w:r>
          </w:p>
        </w:tc>
        <w:tc>
          <w:tcPr>
            <w:tcW w:w="9620" w:type="dxa"/>
            <w:vAlign w:val="bottom"/>
            <w:gridSpan w:val="2"/>
          </w:tcPr>
          <w:p>
            <w:pPr>
              <w:spacing w:after="0"/>
              <w:rPr>
                <w:sz w:val="20"/>
                <w:szCs w:val="20"/>
                <w:color w:val="auto"/>
              </w:rPr>
            </w:pPr>
            <w:r>
              <w:rPr>
                <w:rFonts w:ascii="Arial" w:cs="Arial" w:eastAsia="Arial" w:hAnsi="Arial"/>
                <w:sz w:val="17"/>
                <w:szCs w:val="17"/>
                <w:color w:val="auto"/>
              </w:rPr>
              <w:t>XBRL Taxonomy Extension Scheme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(101.DEF)</w:t>
            </w:r>
          </w:p>
        </w:tc>
        <w:tc>
          <w:tcPr>
            <w:tcW w:w="9620" w:type="dxa"/>
            <w:vAlign w:val="bottom"/>
            <w:gridSpan w:val="2"/>
          </w:tcPr>
          <w:p>
            <w:pPr>
              <w:spacing w:after="0"/>
              <w:rPr>
                <w:sz w:val="20"/>
                <w:szCs w:val="20"/>
                <w:color w:val="auto"/>
              </w:rPr>
            </w:pPr>
            <w:r>
              <w:rPr>
                <w:rFonts w:ascii="Arial" w:cs="Arial" w:eastAsia="Arial" w:hAnsi="Arial"/>
                <w:sz w:val="17"/>
                <w:szCs w:val="17"/>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5" w:lineRule="exact"/>
        <w:rPr>
          <w:sz w:val="20"/>
          <w:szCs w:val="20"/>
          <w:color w:val="auto"/>
        </w:rPr>
      </w:pPr>
    </w:p>
    <w:p>
      <w:pPr>
        <w:ind w:right="100" w:firstLine="4"/>
        <w:spacing w:after="0" w:line="303" w:lineRule="auto"/>
        <w:tabs>
          <w:tab w:leader="none" w:pos="13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EASTMAN KODAK COMPANY</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(Registrant)</w:t>
      </w:r>
    </w:p>
    <w:p>
      <w:pPr>
        <w:spacing w:after="0" w:line="24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15875</wp:posOffset>
            </wp:positionV>
            <wp:extent cx="29356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2935605" cy="8255"/>
                    </a:xfrm>
                    <a:prstGeom prst="rect">
                      <a:avLst/>
                    </a:prstGeom>
                    <a:noFill/>
                  </pic:spPr>
                </pic:pic>
              </a:graphicData>
            </a:graphic>
          </wp:anchor>
        </w:drawing>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James V. Continenza</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Executive Chairman and Chief Executive Officer</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March 15, 2022</w:t>
      </w:r>
    </w:p>
    <w:p>
      <w:pPr>
        <w:spacing w:after="0" w:line="2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680" w:type="dxa"/>
            <w:vAlign w:val="bottom"/>
          </w:tcPr>
          <w:p>
            <w:pPr>
              <w:ind w:left="620"/>
              <w:spacing w:after="0"/>
              <w:rPr>
                <w:sz w:val="20"/>
                <w:szCs w:val="20"/>
                <w:color w:val="auto"/>
              </w:rPr>
            </w:pPr>
            <w:r>
              <w:rPr>
                <w:rFonts w:ascii="Arial" w:cs="Arial" w:eastAsia="Arial" w:hAnsi="Arial"/>
                <w:sz w:val="16"/>
                <w:szCs w:val="16"/>
                <w:b w:val="1"/>
                <w:bCs w:val="1"/>
                <w:color w:val="auto"/>
              </w:rPr>
              <w:t>Signature</w:t>
            </w:r>
          </w:p>
        </w:tc>
        <w:tc>
          <w:tcPr>
            <w:tcW w:w="3700" w:type="dxa"/>
            <w:vAlign w:val="bottom"/>
          </w:tcPr>
          <w:p>
            <w:pPr>
              <w:ind w:left="160"/>
              <w:spacing w:after="0"/>
              <w:rPr>
                <w:sz w:val="20"/>
                <w:szCs w:val="20"/>
                <w:color w:val="auto"/>
              </w:rPr>
            </w:pPr>
            <w:r>
              <w:rPr>
                <w:rFonts w:ascii="Arial" w:cs="Arial" w:eastAsia="Arial" w:hAnsi="Arial"/>
                <w:sz w:val="16"/>
                <w:szCs w:val="16"/>
                <w:b w:val="1"/>
                <w:bCs w:val="1"/>
                <w:color w:val="auto"/>
              </w:rPr>
              <w:t>Title</w:t>
            </w:r>
          </w:p>
        </w:tc>
      </w:tr>
      <w:tr>
        <w:trPr>
          <w:trHeight w:val="356"/>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James V. Continenza</w:t>
            </w:r>
          </w:p>
        </w:tc>
        <w:tc>
          <w:tcPr>
            <w:tcW w:w="3700" w:type="dxa"/>
            <w:vAlign w:val="bottom"/>
          </w:tcPr>
          <w:p>
            <w:pPr>
              <w:ind w:left="160"/>
              <w:spacing w:after="0"/>
              <w:rPr>
                <w:sz w:val="20"/>
                <w:szCs w:val="20"/>
                <w:color w:val="auto"/>
              </w:rPr>
            </w:pPr>
            <w:r>
              <w:rPr>
                <w:rFonts w:ascii="Arial" w:cs="Arial" w:eastAsia="Arial" w:hAnsi="Arial"/>
                <w:sz w:val="17"/>
                <w:szCs w:val="17"/>
                <w:color w:val="auto"/>
                <w:w w:val="97"/>
              </w:rPr>
              <w:t>Executive Chairman and Chief Executive Officer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James V. Continenza</w:t>
            </w:r>
          </w:p>
        </w:tc>
        <w:tc>
          <w:tcPr>
            <w:tcW w:w="3700" w:type="dxa"/>
            <w:vAlign w:val="bottom"/>
          </w:tcPr>
          <w:p>
            <w:pPr>
              <w:ind w:left="400"/>
              <w:spacing w:after="0"/>
              <w:rPr>
                <w:sz w:val="20"/>
                <w:szCs w:val="20"/>
                <w:color w:val="auto"/>
              </w:rPr>
            </w:pPr>
            <w:r>
              <w:rPr>
                <w:rFonts w:ascii="Arial" w:cs="Arial" w:eastAsia="Arial" w:hAnsi="Arial"/>
                <w:sz w:val="17"/>
                <w:szCs w:val="17"/>
                <w:color w:val="auto"/>
              </w:rPr>
              <w:t>(Principal Executive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David E. Bullwinkle</w:t>
            </w:r>
          </w:p>
        </w:tc>
        <w:tc>
          <w:tcPr>
            <w:tcW w:w="3700" w:type="dxa"/>
            <w:vAlign w:val="bottom"/>
          </w:tcPr>
          <w:p>
            <w:pPr>
              <w:ind w:left="160"/>
              <w:spacing w:after="0"/>
              <w:rPr>
                <w:sz w:val="20"/>
                <w:szCs w:val="20"/>
                <w:color w:val="auto"/>
              </w:rPr>
            </w:pPr>
            <w:r>
              <w:rPr>
                <w:rFonts w:ascii="Arial" w:cs="Arial" w:eastAsia="Arial" w:hAnsi="Arial"/>
                <w:sz w:val="17"/>
                <w:szCs w:val="17"/>
                <w:color w:val="auto"/>
              </w:rPr>
              <w:t>Chief Financial Officer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David E. Bullwinkle</w:t>
            </w:r>
          </w:p>
        </w:tc>
        <w:tc>
          <w:tcPr>
            <w:tcW w:w="3700" w:type="dxa"/>
            <w:vAlign w:val="bottom"/>
          </w:tcPr>
          <w:p>
            <w:pPr>
              <w:ind w:left="400"/>
              <w:spacing w:after="0"/>
              <w:rPr>
                <w:sz w:val="20"/>
                <w:szCs w:val="20"/>
                <w:color w:val="auto"/>
              </w:rPr>
            </w:pPr>
            <w:r>
              <w:rPr>
                <w:rFonts w:ascii="Arial" w:cs="Arial" w:eastAsia="Arial" w:hAnsi="Arial"/>
                <w:sz w:val="17"/>
                <w:szCs w:val="17"/>
                <w:color w:val="auto"/>
              </w:rPr>
              <w:t>(Principal Financial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Richard T. Michaels</w:t>
            </w:r>
          </w:p>
        </w:tc>
        <w:tc>
          <w:tcPr>
            <w:tcW w:w="3700" w:type="dxa"/>
            <w:vAlign w:val="bottom"/>
          </w:tcPr>
          <w:p>
            <w:pPr>
              <w:ind w:left="160"/>
              <w:spacing w:after="0"/>
              <w:rPr>
                <w:sz w:val="20"/>
                <w:szCs w:val="20"/>
                <w:color w:val="auto"/>
              </w:rPr>
            </w:pPr>
            <w:r>
              <w:rPr>
                <w:rFonts w:ascii="Arial" w:cs="Arial" w:eastAsia="Arial" w:hAnsi="Arial"/>
                <w:sz w:val="17"/>
                <w:szCs w:val="17"/>
                <w:color w:val="auto"/>
                <w:w w:val="93"/>
              </w:rPr>
              <w:t>Chief Accounting Officer and Corporate Controller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Richard T. Michaels</w:t>
            </w:r>
          </w:p>
        </w:tc>
        <w:tc>
          <w:tcPr>
            <w:tcW w:w="3700" w:type="dxa"/>
            <w:vAlign w:val="bottom"/>
          </w:tcPr>
          <w:p>
            <w:pPr>
              <w:ind w:left="400"/>
              <w:spacing w:after="0"/>
              <w:rPr>
                <w:sz w:val="20"/>
                <w:szCs w:val="20"/>
                <w:color w:val="auto"/>
              </w:rPr>
            </w:pPr>
            <w:r>
              <w:rPr>
                <w:rFonts w:ascii="Arial" w:cs="Arial" w:eastAsia="Arial" w:hAnsi="Arial"/>
                <w:sz w:val="17"/>
                <w:szCs w:val="17"/>
                <w:color w:val="auto"/>
              </w:rPr>
              <w:t>(Principal Accounting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B. Thomas Golisano</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B. Thomas Golisano</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Philippe D. Katz</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Philippe D. Katz</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Kathleen B. Lynch</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Kathleen B. Lynch</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Jason New</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Jason New</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Darren L. Richman</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Darren L. Richman</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Michael E. Sileck, Jr.</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Michael E. Sileck, Jr.</w:t>
            </w:r>
          </w:p>
        </w:tc>
        <w:tc>
          <w:tcPr>
            <w:tcW w:w="3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Date: March 15,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330" w:right="339" w:bottom="1440" w:gutter="0" w:footer="0" w:header="0"/>
        </w:sectPr>
      </w:pPr>
    </w:p>
    <w:bookmarkStart w:id="140" w:name="page141"/>
    <w:bookmarkEnd w:id="140"/>
    <w:p>
      <w:pPr>
        <w:ind w:left="10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361950</wp:posOffset>
            </wp:positionV>
            <wp:extent cx="7198360" cy="69221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98360" cy="6922135"/>
                    </a:xfrm>
                    <a:prstGeom prst="rect">
                      <a:avLst/>
                    </a:prstGeom>
                    <a:noFill/>
                  </pic:spPr>
                </pic:pic>
              </a:graphicData>
            </a:graphic>
          </wp:anchor>
        </w:drawing>
        <w:t>Exhib</w:t>
      </w:r>
    </w:p>
    <w:p>
      <w:pPr>
        <w:spacing w:after="0" w:line="6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Eastman Kodak Company and Subsidiary Companies</w:t>
      </w:r>
    </w:p>
    <w:p>
      <w:pPr>
        <w:spacing w:after="0" w:line="29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Subsidiaries of the Registrant as of December 31, 2021, are listed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auto"/>
            </w:tcBorders>
            <w:shd w:val="clear" w:color="auto" w:fill="D9E2F3"/>
          </w:tcPr>
          <w:p>
            <w:pPr>
              <w:spacing w:after="0"/>
              <w:rPr>
                <w:sz w:val="20"/>
                <w:szCs w:val="20"/>
                <w:color w:val="auto"/>
              </w:rPr>
            </w:pPr>
          </w:p>
        </w:tc>
        <w:tc>
          <w:tcPr>
            <w:tcW w:w="3560" w:type="dxa"/>
            <w:vAlign w:val="bottom"/>
            <w:tcBorders>
              <w:bottom w:val="single" w:sz="8" w:color="auto"/>
              <w:right w:val="single" w:sz="8" w:color="D9E2F3"/>
            </w:tcBorders>
            <w:shd w:val="clear" w:color="auto" w:fill="D9E2F3"/>
          </w:tcPr>
          <w:p>
            <w:pPr>
              <w:spacing w:after="0"/>
              <w:rPr>
                <w:sz w:val="20"/>
                <w:szCs w:val="20"/>
                <w:color w:val="auto"/>
              </w:rPr>
            </w:pPr>
          </w:p>
        </w:tc>
        <w:tc>
          <w:tcPr>
            <w:tcW w:w="2500" w:type="dxa"/>
            <w:vAlign w:val="bottom"/>
            <w:tcBorders>
              <w:bottom w:val="single" w:sz="8" w:color="auto"/>
            </w:tcBorders>
            <w:shd w:val="clear" w:color="auto" w:fill="D9E2F3"/>
          </w:tcPr>
          <w:p>
            <w:pPr>
              <w:spacing w:after="0"/>
              <w:rPr>
                <w:sz w:val="20"/>
                <w:szCs w:val="20"/>
                <w:color w:val="auto"/>
              </w:rPr>
            </w:pPr>
          </w:p>
        </w:tc>
        <w:tc>
          <w:tcPr>
            <w:tcW w:w="80" w:type="dxa"/>
            <w:vAlign w:val="bottom"/>
            <w:tcBorders>
              <w:bottom w:val="single" w:sz="8" w:color="auto"/>
            </w:tcBorders>
            <w:shd w:val="clear" w:color="auto" w:fill="D9E2F3"/>
          </w:tcPr>
          <w:p>
            <w:pPr>
              <w:spacing w:after="0"/>
              <w:rPr>
                <w:sz w:val="20"/>
                <w:szCs w:val="20"/>
                <w:color w:val="auto"/>
              </w:rPr>
            </w:pPr>
          </w:p>
        </w:tc>
      </w:tr>
      <w:tr>
        <w:trPr>
          <w:trHeight w:val="221"/>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1680382 Ontario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Ontario, Canada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Eastman Kodak Holdings B.V.</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Netherlands</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Da Hai (Shanghai) Trading Co Ltd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Eastman Kodak International Capital Company, Inc.</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Eastman Kodak Sarl</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Switzerland</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Far East Development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FPC Inc.</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California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Horsell Graphic Industries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France</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(Australasia) Pty.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Australia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(China) Company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(China) Investment Company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(China)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Hong Kong</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(Malaysia) Sdn. Bhd.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Malaysia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(Near East), Inc.</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New York</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(Shanghai) International Trading Co.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(Singapore) Pte.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Singapore</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(Thailand)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Thailand</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(Xiamen) Digital Imaging Products Company</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A/S</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Denmark</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Americas, Ltd.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New York</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Argentina S.A.I.C.</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Argentina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7"/>
              </w:rPr>
              <w:t>Kodak Brasileira Comércio de Produtos para Imagem e Serviços Ltda.</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Brazil</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Canada ULC</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British Columbia, Canada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Chilena S.A.F.</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Chile</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de Colombia, SAS</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Columbia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de Mexico S.A. de C.V.</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Mexico</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Electronic Products (Shanghai) Company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Film Lab Atlanta, Inc.</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Delaware</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GmbH</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Austria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GmbH</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Graphic Communications EAD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Graphic Communications GmbH</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Graphic Communications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Holding GmbH</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IL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Israel</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India Private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India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International Finance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Japan Ltd.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Japan</w:t>
            </w:r>
          </w:p>
        </w:tc>
      </w:tr>
      <w:tr>
        <w:trPr>
          <w:trHeight w:val="625"/>
        </w:trPr>
        <w:tc>
          <w:tcPr>
            <w:tcW w:w="5200" w:type="dxa"/>
            <w:vAlign w:val="bottom"/>
          </w:tcPr>
          <w:p>
            <w:pPr>
              <w:spacing w:after="0"/>
              <w:rPr>
                <w:sz w:val="24"/>
                <w:szCs w:val="24"/>
                <w:color w:val="auto"/>
              </w:rPr>
            </w:pPr>
          </w:p>
        </w:tc>
        <w:tc>
          <w:tcPr>
            <w:tcW w:w="3560" w:type="dxa"/>
            <w:vAlign w:val="bottom"/>
          </w:tcPr>
          <w:p>
            <w:pPr>
              <w:jc w:val="right"/>
              <w:ind w:right="2913"/>
              <w:spacing w:after="0"/>
              <w:rPr>
                <w:sz w:val="20"/>
                <w:szCs w:val="20"/>
                <w:color w:val="auto"/>
              </w:rPr>
            </w:pPr>
            <w:r>
              <w:rPr>
                <w:rFonts w:ascii="Arial" w:cs="Arial" w:eastAsia="Arial" w:hAnsi="Arial"/>
                <w:sz w:val="17"/>
                <w:szCs w:val="17"/>
                <w:color w:val="auto"/>
              </w:rPr>
              <w:t>- 1 -</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52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570" w:right="23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41"/>
        </w:trPr>
        <w:tc>
          <w:tcPr>
            <w:tcW w:w="4520" w:type="dxa"/>
            <w:vAlign w:val="bottom"/>
            <w:tcBorders>
              <w:top w:val="single" w:sz="8" w:color="auto"/>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Korea Limited</w:t>
            </w:r>
          </w:p>
        </w:tc>
        <w:tc>
          <w:tcPr>
            <w:tcW w:w="4240" w:type="dxa"/>
            <w:vAlign w:val="bottom"/>
            <w:tcBorders>
              <w:top w:val="single" w:sz="8" w:color="auto"/>
              <w:bottom w:val="single" w:sz="8" w:color="auto"/>
              <w:right w:val="single" w:sz="8" w:color="auto"/>
            </w:tcBorders>
            <w:shd w:val="clear" w:color="auto" w:fill="D9E2F3"/>
          </w:tcPr>
          <w:p>
            <w:pPr>
              <w:spacing w:after="0"/>
              <w:rPr>
                <w:sz w:val="20"/>
                <w:szCs w:val="20"/>
                <w:color w:val="auto"/>
              </w:rPr>
            </w:pPr>
          </w:p>
        </w:tc>
        <w:tc>
          <w:tcPr>
            <w:tcW w:w="2580" w:type="dxa"/>
            <w:vAlign w:val="bottom"/>
            <w:tcBorders>
              <w:top w:val="single" w:sz="8" w:color="auto"/>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South Korea</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LB Tech, LLC</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Light Blocking New Materials LLC</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Limited</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Mexicana S.A.de C.V.</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Mexico</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Nederland B.V.</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Netherlands</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New Zealand Limited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New Zealand</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Nordic AB</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Sweden</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OOO</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Russia</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Oy</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Finland</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PE Tech, LLC</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Philippines, Ltd.</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New York</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Polska Sp.zo.o</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Poland</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Polychrome Graphics de Mexico SA de CV</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Mexico</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Polychrome Graphics Company Ltd.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Barbados</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Polychrome Graphics Cono Sur SA</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Uruguay</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Polychrome Graphics Export SAFI</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Uruguay</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Realty, Inc.</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New York</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SA/NV</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Belgium</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Societa per Azioni</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Italy</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Societe Anonyme</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Switzerland</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Unterstützungsgesellschaft GmbH</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Germany</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Sociedad Anonima</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Spain</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KP Services (Jersey) Limited</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Jersey, Channel Islands</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KPG Finance (Barbados) SRL</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Barbados</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KPSH P Co1 Limited</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Jersey, Channel Islands</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KPSH P Co2 Limited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Jersey, Channel Islands</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Laboratories Kodak S.A.S.</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France</w:t>
            </w:r>
          </w:p>
        </w:tc>
      </w:tr>
      <w:tr>
        <w:trPr>
          <w:trHeight w:val="227"/>
        </w:trPr>
        <w:tc>
          <w:tcPr>
            <w:tcW w:w="45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Laser-Pacific Media Corporation</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NPEC Inc.</w:t>
            </w:r>
          </w:p>
        </w:tc>
        <w:tc>
          <w:tcPr>
            <w:tcW w:w="42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California</w:t>
            </w:r>
          </w:p>
        </w:tc>
      </w:tr>
      <w:tr>
        <w:trPr>
          <w:trHeight w:val="833"/>
        </w:trPr>
        <w:tc>
          <w:tcPr>
            <w:tcW w:w="4520" w:type="dxa"/>
            <w:vAlign w:val="bottom"/>
          </w:tcPr>
          <w:p>
            <w:pPr>
              <w:spacing w:after="0"/>
              <w:rPr>
                <w:sz w:val="24"/>
                <w:szCs w:val="24"/>
                <w:color w:val="auto"/>
              </w:rPr>
            </w:pPr>
          </w:p>
        </w:tc>
        <w:tc>
          <w:tcPr>
            <w:tcW w:w="4240" w:type="dxa"/>
            <w:vAlign w:val="bottom"/>
          </w:tcPr>
          <w:p>
            <w:pPr>
              <w:jc w:val="right"/>
              <w:ind w:right="2913"/>
              <w:spacing w:after="0"/>
              <w:rPr>
                <w:sz w:val="20"/>
                <w:szCs w:val="20"/>
                <w:color w:val="auto"/>
              </w:rPr>
            </w:pPr>
            <w:r>
              <w:rPr>
                <w:rFonts w:ascii="Arial" w:cs="Arial" w:eastAsia="Arial" w:hAnsi="Arial"/>
                <w:sz w:val="17"/>
                <w:szCs w:val="17"/>
                <w:color w:val="auto"/>
              </w:rPr>
              <w:t>- 2 -</w:t>
            </w:r>
          </w:p>
        </w:tc>
        <w:tc>
          <w:tcPr>
            <w:tcW w:w="2580" w:type="dxa"/>
            <w:vAlign w:val="bottom"/>
          </w:tcPr>
          <w:p>
            <w:pPr>
              <w:spacing w:after="0"/>
              <w:rPr>
                <w:sz w:val="24"/>
                <w:szCs w:val="24"/>
                <w:color w:val="auto"/>
              </w:rPr>
            </w:pPr>
          </w:p>
        </w:tc>
      </w:tr>
    </w:tbl>
    <w:p>
      <w:pPr>
        <w:sectPr>
          <w:pgSz w:w="11900" w:h="16838" w:orient="portrait"/>
          <w:cols w:equalWidth="0" w:num="1">
            <w:col w:w="11340"/>
          </w:cols>
          <w:pgMar w:left="320" w:top="34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color w:val="auto"/>
        </w:rPr>
        <w:t>Exhibit (23.1)</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56" w:lineRule="exact"/>
        <w:rPr>
          <w:sz w:val="20"/>
          <w:szCs w:val="20"/>
          <w:color w:val="auto"/>
        </w:rPr>
      </w:pPr>
    </w:p>
    <w:p>
      <w:pPr>
        <w:ind w:left="860" w:hanging="426"/>
        <w:spacing w:after="0" w:line="263"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Registration Statement (Form S-8 No. 333-190957) pertaining to the registration of 4,792,480 shares of common stock under the Eastman Kodak Company 2013 Omnibus Incentive Plan,</w:t>
      </w:r>
    </w:p>
    <w:p>
      <w:pPr>
        <w:ind w:left="860" w:hanging="426"/>
        <w:spacing w:after="0" w:line="255"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Registration Statement (Form S-8 No. 333-225437) pertaining to the registration of 1,000,000 shares of common stock under the Eastman Kodak Company 2013 Omnibus Incentive Plan, as amended,</w:t>
      </w:r>
    </w:p>
    <w:p>
      <w:pPr>
        <w:spacing w:after="0" w:line="1" w:lineRule="exact"/>
        <w:rPr>
          <w:rFonts w:ascii="Arial" w:cs="Arial" w:eastAsia="Arial" w:hAnsi="Arial"/>
          <w:sz w:val="17"/>
          <w:szCs w:val="17"/>
          <w:color w:val="auto"/>
        </w:rPr>
      </w:pPr>
    </w:p>
    <w:p>
      <w:pPr>
        <w:ind w:left="860" w:hanging="426"/>
        <w:spacing w:after="0" w:line="255"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Registration Statement (Form S-8 No. 333-250827) pertaining to the registration of 7,500,000 shares of common stock related under the Eastman Kodak Company 2013 Omnibus Incentive Plan, as amended and restated,</w:t>
      </w:r>
    </w:p>
    <w:p>
      <w:pPr>
        <w:spacing w:after="0" w:line="1" w:lineRule="exact"/>
        <w:rPr>
          <w:rFonts w:ascii="Arial" w:cs="Arial" w:eastAsia="Arial" w:hAnsi="Arial"/>
          <w:sz w:val="17"/>
          <w:szCs w:val="17"/>
          <w:color w:val="auto"/>
        </w:rPr>
      </w:pPr>
    </w:p>
    <w:p>
      <w:pPr>
        <w:ind w:left="860" w:hanging="426"/>
        <w:spacing w:after="0" w:line="255"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Registration Statement (Form S-3 No. 333-254352) pertaining to the registration of 44,490,032 shares of common stock of Eastman Kodak Company,</w:t>
      </w:r>
    </w:p>
    <w:p>
      <w:pPr>
        <w:spacing w:after="0" w:line="1" w:lineRule="exact"/>
        <w:rPr>
          <w:rFonts w:ascii="Arial" w:cs="Arial" w:eastAsia="Arial" w:hAnsi="Arial"/>
          <w:sz w:val="17"/>
          <w:szCs w:val="17"/>
          <w:color w:val="auto"/>
        </w:rPr>
      </w:pPr>
    </w:p>
    <w:p>
      <w:pPr>
        <w:ind w:left="860" w:hanging="426"/>
        <w:spacing w:after="0" w:line="255"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Registration Statement (Form S-3 No. 333-254353) pertaining to the registration of common stock, preferred stock, debt securities, warrants, depositary shares, purchase contracts, guarantees and units of Eastman Kodak Company, and</w:t>
      </w:r>
    </w:p>
    <w:p>
      <w:pPr>
        <w:spacing w:after="0" w:line="1" w:lineRule="exact"/>
        <w:rPr>
          <w:rFonts w:ascii="Arial" w:cs="Arial" w:eastAsia="Arial" w:hAnsi="Arial"/>
          <w:sz w:val="17"/>
          <w:szCs w:val="17"/>
          <w:color w:val="auto"/>
        </w:rPr>
      </w:pPr>
    </w:p>
    <w:p>
      <w:pPr>
        <w:ind w:left="860" w:hanging="426"/>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Registration Statement (Form S-8 No. 333-258682) pertaining to the registration of 5,000,000 shares of common stock under the Eastman Kodak Company 2013 Omnibus Incentive Plan, as amended and restated;</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 our reports dated March 15, 2022, with respect to the consolidated financial statements and schedule of Eastman Kodak Company and the effectiveness of internal control over financial reporting of Eastman Kodak Company included in this Annual Report (Form 10-K) of Eastman Kodak Company for the year ended December 31, 2021.</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15, 2022</w:t>
      </w:r>
    </w:p>
    <w:p>
      <w:pPr>
        <w:sectPr>
          <w:pgSz w:w="11900" w:h="16838" w:orient="portrait"/>
          <w:cols w:equalWidth="0" w:num="1">
            <w:col w:w="11240"/>
          </w:cols>
          <w:pgMar w:left="320" w:top="12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color w:val="auto"/>
        </w:rPr>
        <w:t>Exhibit (23.2)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333-190957, 333-225437, 333-250827 and 333-258682) and Form S-3 (Nos. 333-254352 and 333-254353) of Eastman Kodak Company of our report dated March 17, 2020, except for the change in composition of reportable segments discussed in Note 27 (not presented herein) to the consolidated financial statements appearing under Item 8 of the Company’s 2020 Annual Report on Form 10-K, as to which the date is March 16, 2021, relating to the financial statements and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15, 2022</w:t>
      </w:r>
    </w:p>
    <w:p>
      <w:pPr>
        <w:sectPr>
          <w:pgSz w:w="11900" w:h="16838" w:orient="portrait"/>
          <w:cols w:equalWidth="0" w:num="1">
            <w:col w:w="11240"/>
          </w:cols>
          <w:pgMar w:left="320" w:top="12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James V. Continenza, certify that:</w:t>
      </w:r>
    </w:p>
    <w:p>
      <w:pPr>
        <w:spacing w:after="0" w:line="221" w:lineRule="exact"/>
        <w:rPr>
          <w:sz w:val="20"/>
          <w:szCs w:val="20"/>
          <w:color w:val="auto"/>
        </w:rPr>
      </w:pPr>
    </w:p>
    <w:p>
      <w:pPr>
        <w:ind w:left="460" w:hanging="456"/>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Form 10-K of Eastman Kodak Company;</w:t>
      </w:r>
    </w:p>
    <w:p>
      <w:pPr>
        <w:spacing w:after="0" w:line="221" w:lineRule="exact"/>
        <w:rPr>
          <w:rFonts w:ascii="Arial" w:cs="Arial" w:eastAsia="Arial" w:hAnsi="Arial"/>
          <w:sz w:val="17"/>
          <w:szCs w:val="17"/>
          <w:color w:val="auto"/>
        </w:rPr>
      </w:pPr>
    </w:p>
    <w:p>
      <w:pPr>
        <w:ind w:left="460" w:right="200" w:hanging="456"/>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460" w:hanging="456"/>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460" w:right="160" w:hanging="456"/>
        <w:spacing w:after="0" w:line="271"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460" w:right="80" w:firstLine="3"/>
        <w:spacing w:after="0" w:line="271" w:lineRule="auto"/>
        <w:tabs>
          <w:tab w:leader="none" w:pos="6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jc w:val="both"/>
        <w:ind w:left="460" w:right="20" w:firstLine="3"/>
        <w:spacing w:after="0" w:line="271" w:lineRule="auto"/>
        <w:tabs>
          <w:tab w:leader="none" w:pos="69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60" w:right="80" w:firstLine="3"/>
        <w:spacing w:after="0" w:line="286" w:lineRule="auto"/>
        <w:tabs>
          <w:tab w:leader="none" w:pos="6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jc w:val="both"/>
        <w:ind w:left="460" w:right="300" w:firstLine="3"/>
        <w:spacing w:after="0" w:line="271" w:lineRule="auto"/>
        <w:tabs>
          <w:tab w:leader="none" w:pos="69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460" w:right="600" w:hanging="456"/>
        <w:spacing w:after="0" w:line="319"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460" w:firstLine="3"/>
        <w:spacing w:after="0" w:line="286" w:lineRule="auto"/>
        <w:tabs>
          <w:tab w:leader="none" w:pos="67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460" w:right="240" w:firstLine="3"/>
        <w:spacing w:after="0" w:line="286" w:lineRule="auto"/>
        <w:tabs>
          <w:tab w:leader="none" w:pos="6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Arial" w:cs="Arial" w:eastAsia="Arial" w:hAnsi="Arial"/>
                <w:sz w:val="17"/>
                <w:szCs w:val="17"/>
                <w:color w:val="auto"/>
              </w:rPr>
              <w:t>Date: March 15, 2022</w:t>
            </w:r>
          </w:p>
        </w:tc>
        <w:tc>
          <w:tcPr>
            <w:tcW w:w="2560" w:type="dxa"/>
            <w:vAlign w:val="bottom"/>
          </w:tcPr>
          <w:p>
            <w:pPr>
              <w:ind w:left="2060"/>
              <w:spacing w:after="0"/>
              <w:rPr>
                <w:sz w:val="20"/>
                <w:szCs w:val="20"/>
                <w:color w:val="auto"/>
              </w:rPr>
            </w:pPr>
            <w:r>
              <w:rPr>
                <w:rFonts w:ascii="Arial" w:cs="Arial" w:eastAsia="Arial" w:hAnsi="Arial"/>
                <w:sz w:val="17"/>
                <w:szCs w:val="17"/>
                <w:color w:val="auto"/>
              </w:rPr>
              <w:t>By:</w:t>
            </w:r>
          </w:p>
        </w:tc>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/s/ James V. Continenza</w:t>
            </w:r>
          </w:p>
        </w:tc>
        <w:tc>
          <w:tcPr>
            <w:tcW w:w="1760" w:type="dxa"/>
            <w:vAlign w:val="bottom"/>
          </w:tcPr>
          <w:p>
            <w:pPr>
              <w:spacing w:after="0"/>
              <w:rPr>
                <w:sz w:val="16"/>
                <w:szCs w:val="16"/>
                <w:color w:val="auto"/>
              </w:rPr>
            </w:pPr>
          </w:p>
        </w:tc>
      </w:tr>
      <w:tr>
        <w:trPr>
          <w:trHeight w:val="24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James V. Continenza</w:t>
            </w:r>
          </w:p>
        </w:tc>
      </w:tr>
      <w:tr>
        <w:trPr>
          <w:trHeight w:val="221"/>
        </w:trPr>
        <w:tc>
          <w:tcPr>
            <w:tcW w:w="36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w w:val="93"/>
              </w:rPr>
              <w:t>Executive Chairman and Chief Executive Officer</w:t>
            </w:r>
          </w:p>
        </w:tc>
      </w:tr>
    </w:tbl>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 David E. Bullwinkle, certify that:</w:t>
      </w:r>
    </w:p>
    <w:p>
      <w:pPr>
        <w:spacing w:after="0" w:line="221" w:lineRule="exact"/>
        <w:rPr>
          <w:sz w:val="20"/>
          <w:szCs w:val="20"/>
          <w:color w:val="auto"/>
        </w:rPr>
      </w:pPr>
    </w:p>
    <w:p>
      <w:pPr>
        <w:ind w:left="740" w:hanging="371"/>
        <w:spacing w:after="0"/>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Form 10-K of Eastman Kodak Company;</w:t>
      </w:r>
    </w:p>
    <w:p>
      <w:pPr>
        <w:spacing w:after="0" w:line="221" w:lineRule="exact"/>
        <w:rPr>
          <w:rFonts w:ascii="Arial" w:cs="Arial" w:eastAsia="Arial" w:hAnsi="Arial"/>
          <w:sz w:val="17"/>
          <w:szCs w:val="17"/>
          <w:color w:val="auto"/>
        </w:rPr>
      </w:pPr>
    </w:p>
    <w:p>
      <w:pPr>
        <w:ind w:left="740" w:right="20" w:hanging="371"/>
        <w:spacing w:after="0" w:line="271" w:lineRule="auto"/>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740" w:right="160" w:hanging="371"/>
        <w:spacing w:after="0" w:line="319" w:lineRule="auto"/>
        <w:tabs>
          <w:tab w:leader="none" w:pos="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6"/>
          <w:szCs w:val="16"/>
          <w:color w:val="auto"/>
        </w:rPr>
      </w:pPr>
    </w:p>
    <w:p>
      <w:pPr>
        <w:ind w:left="740" w:right="160" w:hanging="371"/>
        <w:spacing w:after="0" w:line="298" w:lineRule="auto"/>
        <w:tabs>
          <w:tab w:leader="none" w:pos="7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08" w:lineRule="exact"/>
        <w:rPr>
          <w:rFonts w:ascii="Arial" w:cs="Arial" w:eastAsia="Arial" w:hAnsi="Arial"/>
          <w:sz w:val="15"/>
          <w:szCs w:val="15"/>
          <w:color w:val="auto"/>
        </w:rPr>
      </w:pPr>
    </w:p>
    <w:p>
      <w:pPr>
        <w:jc w:val="both"/>
        <w:ind w:left="760" w:right="80" w:hanging="6"/>
        <w:spacing w:after="0" w:line="271" w:lineRule="auto"/>
        <w:tabs>
          <w:tab w:leader="none" w:pos="98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760" w:right="320" w:hanging="6"/>
        <w:spacing w:after="0" w:line="271" w:lineRule="auto"/>
        <w:tabs>
          <w:tab w:leader="none" w:pos="99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760" w:right="460" w:hanging="6"/>
        <w:spacing w:after="0" w:line="357" w:lineRule="auto"/>
        <w:tabs>
          <w:tab w:leader="none" w:pos="982"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760" w:right="180" w:hanging="6"/>
        <w:spacing w:after="0" w:line="271" w:lineRule="auto"/>
        <w:tabs>
          <w:tab w:leader="none" w:pos="99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740" w:right="120" w:hanging="371"/>
        <w:spacing w:after="0" w:line="319" w:lineRule="auto"/>
        <w:tabs>
          <w:tab w:leader="none" w:pos="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840" w:right="580" w:firstLine="7"/>
        <w:spacing w:after="0" w:line="319" w:lineRule="auto"/>
        <w:tabs>
          <w:tab w:leader="none" w:pos="1052" w:val="left"/>
        </w:tabs>
        <w:numPr>
          <w:ilvl w:val="2"/>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6"/>
          <w:szCs w:val="16"/>
          <w:color w:val="auto"/>
        </w:rPr>
      </w:pPr>
    </w:p>
    <w:p>
      <w:pPr>
        <w:ind w:left="840" w:right="280" w:firstLine="7"/>
        <w:spacing w:after="0" w:line="286" w:lineRule="auto"/>
        <w:tabs>
          <w:tab w:leader="none" w:pos="1062" w:val="left"/>
        </w:tabs>
        <w:numPr>
          <w:ilvl w:val="2"/>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Arial" w:cs="Arial" w:eastAsia="Arial" w:hAnsi="Arial"/>
                <w:sz w:val="17"/>
                <w:szCs w:val="17"/>
                <w:color w:val="auto"/>
              </w:rPr>
              <w:t>Date: March 15, 2022</w:t>
            </w:r>
          </w:p>
        </w:tc>
        <w:tc>
          <w:tcPr>
            <w:tcW w:w="4060" w:type="dxa"/>
            <w:vAlign w:val="bottom"/>
            <w:gridSpan w:val="3"/>
          </w:tcPr>
          <w:p>
            <w:pPr>
              <w:ind w:left="2060"/>
              <w:spacing w:after="0"/>
              <w:rPr>
                <w:sz w:val="20"/>
                <w:szCs w:val="20"/>
                <w:color w:val="auto"/>
              </w:rPr>
            </w:pPr>
            <w:r>
              <w:rPr>
                <w:rFonts w:ascii="Arial" w:cs="Arial" w:eastAsia="Arial" w:hAnsi="Arial"/>
                <w:sz w:val="17"/>
                <w:szCs w:val="17"/>
                <w:color w:val="auto"/>
              </w:rPr>
              <w:t>By: /s/ David E. Bullwinkle</w:t>
            </w:r>
          </w:p>
        </w:tc>
      </w:tr>
      <w:tr>
        <w:trPr>
          <w:trHeight w:val="240"/>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E. Bullwinkle</w:t>
            </w:r>
          </w:p>
        </w:tc>
        <w:tc>
          <w:tcPr>
            <w:tcW w:w="20" w:type="dxa"/>
            <w:vAlign w:val="bottom"/>
          </w:tcPr>
          <w:p>
            <w:pPr>
              <w:spacing w:after="0"/>
              <w:rPr>
                <w:sz w:val="20"/>
                <w:szCs w:val="20"/>
                <w:color w:val="auto"/>
              </w:rPr>
            </w:pPr>
          </w:p>
        </w:tc>
      </w:tr>
      <w:tr>
        <w:trPr>
          <w:trHeight w:val="221"/>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w w:val="94"/>
              </w:rPr>
              <w:t>Chief Executive Officer</w:t>
            </w:r>
          </w:p>
        </w:tc>
      </w:tr>
    </w:tbl>
    <w:p>
      <w:pPr>
        <w:sectPr>
          <w:pgSz w:w="11900" w:h="16838" w:orient="portrait"/>
          <w:cols w:equalWidth="0" w:num="1">
            <w:col w:w="10780"/>
          </w:cols>
          <w:pgMar w:left="320" w:top="121" w:right="799" w:bottom="1440" w:gutter="0" w:footer="0" w:header="0"/>
        </w:sectPr>
      </w:pPr>
    </w:p>
    <w:bookmarkStart w:id="146" w:name="page147"/>
    <w:bookmarkEnd w:id="146"/>
    <w:p>
      <w:pPr>
        <w:ind w:left="9660"/>
        <w:spacing w:after="0"/>
        <w:rPr>
          <w:sz w:val="20"/>
          <w:szCs w:val="20"/>
          <w:color w:val="auto"/>
        </w:rPr>
      </w:pPr>
      <w:r>
        <w:rPr>
          <w:rFonts w:ascii="Arial" w:cs="Arial" w:eastAsia="Arial" w:hAnsi="Arial"/>
          <w:sz w:val="17"/>
          <w:szCs w:val="17"/>
          <w:b w:val="1"/>
          <w:bCs w:val="1"/>
          <w:color w:val="auto"/>
        </w:rPr>
        <w:t>Exhibit (32.1)</w:t>
      </w:r>
    </w:p>
    <w:p>
      <w:pPr>
        <w:spacing w:after="0" w:line="31"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CERTIFICATION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connection with the Annual Report of Eastman Kodak Company (the "Company") on Form 10-K for the period ended December 31, 2021,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37" w:lineRule="exact"/>
        <w:rPr>
          <w:sz w:val="20"/>
          <w:szCs w:val="20"/>
          <w:color w:val="auto"/>
        </w:rPr>
      </w:pPr>
    </w:p>
    <w:p>
      <w:pPr>
        <w:ind w:left="460" w:hanging="222"/>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1" w:lineRule="exact"/>
        <w:rPr>
          <w:rFonts w:ascii="Arial" w:cs="Arial" w:eastAsia="Arial" w:hAnsi="Arial"/>
          <w:sz w:val="17"/>
          <w:szCs w:val="17"/>
          <w:color w:val="auto"/>
        </w:rPr>
      </w:pPr>
    </w:p>
    <w:p>
      <w:pPr>
        <w:ind w:left="460" w:hanging="22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Arial" w:cs="Arial" w:eastAsia="Arial" w:hAnsi="Arial"/>
                <w:sz w:val="17"/>
                <w:szCs w:val="17"/>
                <w:color w:val="auto"/>
              </w:rPr>
              <w:t>Date: March 15, 2022</w:t>
            </w:r>
          </w:p>
        </w:tc>
        <w:tc>
          <w:tcPr>
            <w:tcW w:w="2580" w:type="dxa"/>
            <w:vAlign w:val="bottom"/>
          </w:tcPr>
          <w:p>
            <w:pPr>
              <w:ind w:left="2060"/>
              <w:spacing w:after="0"/>
              <w:rPr>
                <w:sz w:val="20"/>
                <w:szCs w:val="20"/>
                <w:color w:val="auto"/>
              </w:rPr>
            </w:pPr>
            <w:r>
              <w:rPr>
                <w:rFonts w:ascii="Arial" w:cs="Arial" w:eastAsia="Arial" w:hAnsi="Arial"/>
                <w:sz w:val="17"/>
                <w:szCs w:val="17"/>
                <w:color w:val="auto"/>
              </w:rPr>
              <w:t>By:</w:t>
            </w:r>
          </w:p>
        </w:tc>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/s/ James V. Continenza</w:t>
            </w:r>
          </w:p>
        </w:tc>
        <w:tc>
          <w:tcPr>
            <w:tcW w:w="1760" w:type="dxa"/>
            <w:vAlign w:val="bottom"/>
          </w:tcPr>
          <w:p>
            <w:pPr>
              <w:spacing w:after="0"/>
              <w:rPr>
                <w:sz w:val="16"/>
                <w:szCs w:val="16"/>
                <w:color w:val="auto"/>
              </w:rPr>
            </w:pPr>
          </w:p>
        </w:tc>
      </w:tr>
      <w:tr>
        <w:trPr>
          <w:trHeight w:val="240"/>
        </w:trPr>
        <w:tc>
          <w:tcPr>
            <w:tcW w:w="3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James V. Continenza</w:t>
            </w:r>
          </w:p>
        </w:tc>
      </w:tr>
      <w:tr>
        <w:trPr>
          <w:trHeight w:val="221"/>
        </w:trPr>
        <w:tc>
          <w:tcPr>
            <w:tcW w:w="3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w w:val="93"/>
              </w:rPr>
              <w:t>Executive Chairman and Chief Executive Officer</w:t>
            </w:r>
          </w:p>
        </w:tc>
      </w:tr>
    </w:tbl>
    <w:p>
      <w:pPr>
        <w:sectPr>
          <w:pgSz w:w="11900" w:h="16838" w:orient="portrait"/>
          <w:cols w:equalWidth="0" w:num="1">
            <w:col w:w="11140"/>
          </w:cols>
          <w:pgMar w:left="320" w:top="329"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(32.2)</w:t>
      </w:r>
    </w:p>
    <w:p>
      <w:pPr>
        <w:spacing w:after="0" w:line="31"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CERTIFICATION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1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2021,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55" w:lineRule="exact"/>
        <w:rPr>
          <w:sz w:val="20"/>
          <w:szCs w:val="20"/>
          <w:color w:val="auto"/>
        </w:rPr>
      </w:pPr>
    </w:p>
    <w:p>
      <w:pPr>
        <w:ind w:left="580" w:hanging="225"/>
        <w:spacing w:after="0"/>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1" w:lineRule="exact"/>
        <w:rPr>
          <w:rFonts w:ascii="Arial" w:cs="Arial" w:eastAsia="Arial" w:hAnsi="Arial"/>
          <w:sz w:val="17"/>
          <w:szCs w:val="17"/>
          <w:color w:val="auto"/>
        </w:rPr>
      </w:pPr>
    </w:p>
    <w:p>
      <w:pPr>
        <w:ind w:left="580" w:hanging="225"/>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Arial" w:cs="Arial" w:eastAsia="Arial" w:hAnsi="Arial"/>
                <w:sz w:val="17"/>
                <w:szCs w:val="17"/>
                <w:color w:val="auto"/>
              </w:rPr>
              <w:t>Date: March 15, 2022</w:t>
            </w:r>
          </w:p>
        </w:tc>
        <w:tc>
          <w:tcPr>
            <w:tcW w:w="4040" w:type="dxa"/>
            <w:vAlign w:val="bottom"/>
            <w:gridSpan w:val="2"/>
          </w:tcPr>
          <w:p>
            <w:pPr>
              <w:ind w:left="2060"/>
              <w:spacing w:after="0"/>
              <w:rPr>
                <w:sz w:val="20"/>
                <w:szCs w:val="20"/>
                <w:color w:val="auto"/>
              </w:rPr>
            </w:pPr>
            <w:r>
              <w:rPr>
                <w:rFonts w:ascii="Arial" w:cs="Arial" w:eastAsia="Arial" w:hAnsi="Arial"/>
                <w:sz w:val="17"/>
                <w:szCs w:val="17"/>
                <w:color w:val="auto"/>
                <w:w w:val="99"/>
              </w:rPr>
              <w:t>By: /s/ David E. Bullwinkle</w:t>
            </w:r>
          </w:p>
        </w:tc>
      </w:tr>
      <w:tr>
        <w:trPr>
          <w:trHeight w:val="240"/>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E. Bullwinkle</w:t>
            </w:r>
          </w:p>
        </w:tc>
      </w:tr>
      <w:tr>
        <w:trPr>
          <w:trHeight w:val="221"/>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7"/>
                <w:szCs w:val="17"/>
                <w:color w:val="auto"/>
                <w:w w:val="96"/>
              </w:rPr>
              <w:t>Chief Financial Officer</w:t>
            </w:r>
          </w:p>
        </w:tc>
      </w:tr>
    </w:tbl>
    <w:p>
      <w:pPr>
        <w:spacing w:after="0" w:line="1" w:lineRule="exact"/>
        <w:rPr>
          <w:sz w:val="20"/>
          <w:szCs w:val="20"/>
          <w:color w:val="auto"/>
        </w:rPr>
      </w:pPr>
    </w:p>
    <w:sectPr>
      <w:pgSz w:w="11900" w:h="16838" w:orient="portrait"/>
      <w:cols w:equalWidth="0" w:num="1">
        <w:col w:w="10680"/>
      </w:cols>
      <w:pgMar w:left="320" w:top="33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
      <w:numFmt w:val="bullet"/>
      <w:start w:val="1"/>
    </w:lvl>
  </w:abstractNum>
  <w:abstractNum w:abstractNumId="5">
    <w:nsid w:val="7C3DBD3D"/>
    <w:multiLevelType w:val="hybridMultilevel"/>
    <w:lvl w:ilvl="0">
      <w:lvlJc w:val="left"/>
      <w:lvlText w:val="•"/>
      <w:numFmt w:val="bullet"/>
      <w:start w:val="1"/>
    </w:lvl>
    <w:lvl w:ilvl="1">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o"/>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o"/>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3"/>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172" Type="http://schemas.openxmlformats.org/officeDocument/2006/relationships/hyperlink" Target="http://www.sec.gov/Archives/edgar/data/31235/000119312518324635/d600171dex21.htm" TargetMode="External"/><Relationship Id="rId173" Type="http://schemas.openxmlformats.org/officeDocument/2006/relationships/hyperlink" Target="http://www.sec.gov/Archives/edgar/data/31235/000156459019011066/kodk-ex23_7.htm" TargetMode="External"/><Relationship Id="rId174" Type="http://schemas.openxmlformats.org/officeDocument/2006/relationships/hyperlink" Target="http://www.sec.gov/Archives/edgar/data/31235/000119312518324635/d600171dex22.htm" TargetMode="External"/><Relationship Id="rId175" Type="http://schemas.openxmlformats.org/officeDocument/2006/relationships/hyperlink" Target="http://www.sec.gov/Archives/edgar/data/31235/000119312513354928/d591063dex41.htm" TargetMode="External"/><Relationship Id="rId176" Type="http://schemas.openxmlformats.org/officeDocument/2006/relationships/hyperlink" Target="http://www.sec.gov/Archives/edgar/data/31235/000156459016029358/kodk-ex31_26.htm" TargetMode="External"/><Relationship Id="rId177" Type="http://schemas.openxmlformats.org/officeDocument/2006/relationships/hyperlink" Target="http://www.sec.gov/Archives/edgar/data/31235/000156459020058718/kodk-ex31_14.htm" TargetMode="External"/><Relationship Id="rId178" Type="http://schemas.openxmlformats.org/officeDocument/2006/relationships/hyperlink" Target="http://www.sec.gov/Archives/edgar/data/31235/000119312521062328/d468860dex31.htm" TargetMode="External"/><Relationship Id="rId179" Type="http://schemas.openxmlformats.org/officeDocument/2006/relationships/hyperlink" Target="http://www.sec.gov/Archives/edgar/data/31235/000119312521062328/d468860dex32.htm" TargetMode="External"/><Relationship Id="rId180" Type="http://schemas.openxmlformats.org/officeDocument/2006/relationships/hyperlink" Target="http://www.sec.gov/Archives/edgar/data/31235/000156459020024666/kodk-ex35_31.htm" TargetMode="External"/><Relationship Id="rId181" Type="http://schemas.openxmlformats.org/officeDocument/2006/relationships/hyperlink" Target="http://www.sec.gov/Archives/edgar/data/31235/000119312513355253/d591061dex41.htm" TargetMode="External"/><Relationship Id="rId184" Type="http://schemas.openxmlformats.org/officeDocument/2006/relationships/hyperlink" Target="http://www.sec.gov/Archives/edgar/data/31235/000156459016029358/kodk-ex41_27.htm" TargetMode="External"/><Relationship Id="rId185" Type="http://schemas.openxmlformats.org/officeDocument/2006/relationships/hyperlink" Target="http://www.sec.gov/Archives/edgar/data/31235/000119312517159882/d329572dex46.htm" TargetMode="External"/><Relationship Id="rId186" Type="http://schemas.openxmlformats.org/officeDocument/2006/relationships/hyperlink" Target="http://www.sec.gov/Archives/edgar/data/31235/000119312519152198/d752945dex102.htm" TargetMode="External"/><Relationship Id="rId187" Type="http://schemas.openxmlformats.org/officeDocument/2006/relationships/hyperlink" Target="http://www.sec.gov/Archives/edgar/data/31235/000119312519157203/d753287dex43.htm" TargetMode="External"/><Relationship Id="rId188" Type="http://schemas.openxmlformats.org/officeDocument/2006/relationships/hyperlink" Target="http://www.sec.gov/Archives/edgar/data/31235/000119312521062328/d468860dex103.htm" TargetMode="External"/><Relationship Id="rId189" Type="http://schemas.openxmlformats.org/officeDocument/2006/relationships/hyperlink" Target="http://www.sec.gov/Archives/edgar/data/31235/000119312521062328/d468860dex1011.htm" TargetMode="External"/><Relationship Id="rId190" Type="http://schemas.openxmlformats.org/officeDocument/2006/relationships/hyperlink" Target="http://www.sec.gov/Archives/edgar/data/31235/000119312521062328/d468860dex107.htm" TargetMode="External"/><Relationship Id="rId191" Type="http://schemas.openxmlformats.org/officeDocument/2006/relationships/hyperlink" Target="http://www.sec.gov/Archives/edgar/data/31235/000119312521062328/d468860dex108.htm" TargetMode="External"/><Relationship Id="rId192" Type="http://schemas.openxmlformats.org/officeDocument/2006/relationships/hyperlink" Target="http://www.sec.gov/Archives/edgar/data/31235/000119312521062328/d468860dex109.htm" TargetMode="External"/><Relationship Id="rId193" Type="http://schemas.openxmlformats.org/officeDocument/2006/relationships/hyperlink" Target="http://www.sec.gov/Archives/edgar/data/31235/000156459021013581/kodk-ex411_208.htm" TargetMode="External"/><Relationship Id="rId194" Type="http://schemas.openxmlformats.org/officeDocument/2006/relationships/hyperlink" Target="http://www.sec.gov/Archives/edgar/data/31235/000156459020039315/kodk-ex101_48.htm" TargetMode="External"/><Relationship Id="rId195" Type="http://schemas.openxmlformats.org/officeDocument/2006/relationships/hyperlink" Target="http://www.sec.gov/Archives/edgar/data/31235/000156459021043080/kodk-ex101_64.htm" TargetMode="External"/><Relationship Id="rId196" Type="http://schemas.openxmlformats.org/officeDocument/2006/relationships/hyperlink" Target="http://www.sec.gov/Archives/edgar/data/31235/000119312513438254/d613176dex102.htm" TargetMode="External"/><Relationship Id="rId199" Type="http://schemas.openxmlformats.org/officeDocument/2006/relationships/hyperlink" Target="http://www.sec.gov/Archives/edgar/data/31235/000003123515000004/exhibit101.htm" TargetMode="External"/><Relationship Id="rId200" Type="http://schemas.openxmlformats.org/officeDocument/2006/relationships/hyperlink" Target="http://www.sec.gov/Archives/edgar/data/31235/000156459017003570/kodk-ex105_294.htm" TargetMode="External"/><Relationship Id="rId201" Type="http://schemas.openxmlformats.org/officeDocument/2006/relationships/hyperlink" Target="http://www.sec.gov/Archives/edgar/data/31235/000156459017003570/kodk-ex106_295.htm" TargetMode="External"/><Relationship Id="rId202" Type="http://schemas.openxmlformats.org/officeDocument/2006/relationships/hyperlink" Target="http://www.sec.gov/Archives/edgar/data/31235/000156459017016962/kodk-ex102_16.htm" TargetMode="External"/><Relationship Id="rId203" Type="http://schemas.openxmlformats.org/officeDocument/2006/relationships/hyperlink" Target="http://www.sec.gov/Archives/edgar/data/31235/000119312514106388/d693724dex103.htm" TargetMode="External"/><Relationship Id="rId204" Type="http://schemas.openxmlformats.org/officeDocument/2006/relationships/hyperlink" Target="http://www.sec.gov/Archives/edgar/data/31235/000156459017016962/kodk-ex103_17.htm" TargetMode="External"/><Relationship Id="rId205" Type="http://schemas.openxmlformats.org/officeDocument/2006/relationships/hyperlink" Target="http://www.sec.gov/Archives/edgar/data/31235/000156459019041750/kodk-ex101_87.htm" TargetMode="External"/><Relationship Id="rId206" Type="http://schemas.openxmlformats.org/officeDocument/2006/relationships/hyperlink" Target="http://www.sec.gov/Archives/edgar/data/31235/000156459020052967/kodk-ex102_31.htm" TargetMode="External"/><Relationship Id="rId207" Type="http://schemas.openxmlformats.org/officeDocument/2006/relationships/hyperlink" Target="http://www.sec.gov/Archives/edgar/data/31235/000156459020052967/kodk-ex103_53.htm" TargetMode="External"/><Relationship Id="rId208" Type="http://schemas.openxmlformats.org/officeDocument/2006/relationships/hyperlink" Target="http://www.sec.gov/Archives/edgar/data/31235/000156459021013581/kodk-ex1012_207.htm" TargetMode="External"/><Relationship Id="rId209" Type="http://schemas.openxmlformats.org/officeDocument/2006/relationships/hyperlink" Target="http://www.sec.gov/Archives/edgar/data/31235/000156459021013581/kodk-ex1013_206.htm" TargetMode="External"/><Relationship Id="rId210" Type="http://schemas.openxmlformats.org/officeDocument/2006/relationships/hyperlink" Target="http://www.sec.gov/Archives/edgar/data/31235/000156459021043080/kodk-ex102_65.htm" TargetMode="External"/><Relationship Id="rId211" Type="http://schemas.openxmlformats.org/officeDocument/2006/relationships/hyperlink" Target="http://www.sec.gov/Archives/edgar/data/31235/000119312514106388/d693724dex1023.htm" TargetMode="External"/><Relationship Id="rId214" Type="http://schemas.openxmlformats.org/officeDocument/2006/relationships/hyperlink" Target="http://www.sec.gov/Archives/edgar/data/31235/000119312516505191/d151522dex1025.htm" TargetMode="External"/><Relationship Id="rId215" Type="http://schemas.openxmlformats.org/officeDocument/2006/relationships/hyperlink" Target="http://www.sec.gov/Archives/edgar/data/31235/000003123514000005/ekcexcelplan_q1201410q.htm" TargetMode="External"/><Relationship Id="rId216" Type="http://schemas.openxmlformats.org/officeDocument/2006/relationships/hyperlink" Target="http://www.sec.gov/Archives/edgar/data/31235/000156459021013581/kodk-ex1017_165.htm" TargetMode="External"/><Relationship Id="rId217" Type="http://schemas.openxmlformats.org/officeDocument/2006/relationships/hyperlink" Target="http://www.sec.gov/Archives/edgar/data/31235/000156459019010423/kodk-ex1024_19.htm" TargetMode="External"/><Relationship Id="rId218" Type="http://schemas.openxmlformats.org/officeDocument/2006/relationships/hyperlink" Target="http://www.sec.gov/Archives/edgar/data/31235/000156459016023703/kodk-ex103_328.htm" TargetMode="External"/><Relationship Id="rId219" Type="http://schemas.openxmlformats.org/officeDocument/2006/relationships/hyperlink" Target="http://www.sec.gov/Archives/edgar/data/31235/000156459018030348/kodk-8k_20181126.htm" TargetMode="External"/><Relationship Id="rId220" Type="http://schemas.openxmlformats.org/officeDocument/2006/relationships/hyperlink" Target="http://www.sec.gov/Archives/edgar/data/31235/000156459018007844/kodk-8k_20180409.htm" TargetMode="External"/><Relationship Id="rId221" Type="http://schemas.openxmlformats.org/officeDocument/2006/relationships/hyperlink" Target="http://www.sec.gov/Archives/edgar/data/31235/000156459020011408/kodk-ex103_165.htm" TargetMode="External"/><Relationship Id="rId222" Type="http://schemas.openxmlformats.org/officeDocument/2006/relationships/hyperlink" Target="http://www.sec.gov/Archives/edgar/data/31235/000119312521062328/d468860dex104.htm" TargetMode="External"/><Relationship Id="rId223" Type="http://schemas.openxmlformats.org/officeDocument/2006/relationships/hyperlink" Target="http://www.sec.gov/Archives/edgar/data/31235/000156459016023703/kodk-ex102_272.htm" TargetMode="External"/><Relationship Id="rId224" Type="http://schemas.openxmlformats.org/officeDocument/2006/relationships/hyperlink" Target="http://www.sec.gov/Archives/edgar/data/31235/000119312521062328/d468860dex105.htm" TargetMode="External"/><Relationship Id="rId225" Type="http://schemas.openxmlformats.org/officeDocument/2006/relationships/hyperlink" Target="http://www.sec.gov/Archives/edgar/data/31235/000156459021013581/kodk-ex1026_166.htm" TargetMode="External"/><Relationship Id="rId226" Type="http://schemas.openxmlformats.org/officeDocument/2006/relationships/hyperlink" Target="http://www.sec.gov/Archives/edgar/data/31235/000119312521062328/d468860dex106.htm" TargetMode="External"/><Relationship Id="rId227" Type="http://schemas.openxmlformats.org/officeDocument/2006/relationships/hyperlink" Target="http://www.sec.gov/Archives/edgar/data/31235/000156459021013581/kodk-ex1028_167.htm" TargetMode="External"/><Relationship Id="rId230" Type="http://schemas.openxmlformats.org/officeDocument/2006/relationships/hyperlink" Target="http://www.sec.gov/Archives/edgar/data/31235/000156459021013581/kodk-ex1029_168.htm" TargetMode="External"/><Relationship Id="rId231" Type="http://schemas.openxmlformats.org/officeDocument/2006/relationships/hyperlink" Target="http://www.sec.gov/Archives/edgar/data/31235/000156459021013581/kodk-ex1030_169.htm" TargetMode="External"/><Relationship Id="rId232" Type="http://schemas.openxmlformats.org/officeDocument/2006/relationships/hyperlink" Target="http://www.sec.gov/Archives/edgar/data/31235/000119312516761021/d487651dex101.htm" TargetMode="External"/><Relationship Id="rId233" Type="http://schemas.openxmlformats.org/officeDocument/2006/relationships/hyperlink" Target="http://www.sec.gov/Archives/edgar/data/31235/000156459021013581/kodk-ex1032_170.htm" TargetMode="External"/><Relationship Id="rId234" Type="http://schemas.openxmlformats.org/officeDocument/2006/relationships/hyperlink" Target="http://www.sec.gov/Archives/edgar/data/31235/000119312521062328/d468860dex101.htm" TargetMode="External"/><Relationship Id="rId235" Type="http://schemas.openxmlformats.org/officeDocument/2006/relationships/hyperlink" Target="http://www.sec.gov/Archives/edgar/data/31235/000119312521062328/d468860dex102.htm" TargetMode="External"/><Relationship Id="rId236" Type="http://schemas.openxmlformats.org/officeDocument/2006/relationships/hyperlink" Target="http://www.sec.gov/Archives/edgar/data/31235/000119312513438254/d613176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2022-03-15T15:42:00Z</dcterms:created>
  <dcterms:modified xsi:type="dcterms:W3CDTF">2022-03-15T15:42:00Z</dcterms:modified>
</cp:coreProperties>
</file>