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1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EASTMAN KODAK COMPANY</w:t>
      </w:r>
    </w:p>
    <w:p>
      <w:pPr>
        <w:spacing w:after="0" w:line="44" w:lineRule="exact"/>
        <w:rPr>
          <w:sz w:val="24"/>
          <w:szCs w:val="24"/>
          <w:color w:val="auto"/>
        </w:rPr>
      </w:pPr>
    </w:p>
    <w:tbl>
      <w:tblPr>
        <w:tblLayout w:type="fixed"/>
        <w:tblInd w:w="30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NEW JERSEY</w:t>
            </w: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1-87</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16-0417150</w:t>
            </w:r>
          </w:p>
        </w:tc>
        <w:tc>
          <w:tcPr>
            <w:tcW w:w="0" w:type="dxa"/>
            <w:vAlign w:val="bottom"/>
          </w:tcPr>
          <w:p>
            <w:pPr>
              <w:spacing w:after="0"/>
              <w:rPr>
                <w:sz w:val="1"/>
                <w:szCs w:val="1"/>
                <w:color w:val="auto"/>
              </w:rPr>
            </w:pPr>
          </w:p>
        </w:tc>
      </w:tr>
      <w:tr>
        <w:trPr>
          <w:trHeight w:val="216"/>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(Commission File Number)</w:t>
            </w:r>
          </w:p>
        </w:tc>
        <w:tc>
          <w:tcPr>
            <w:tcW w:w="1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343 State Street</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454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Rochester, NY 14650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45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(800) 356-3259</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91"/>
        </w:trPr>
        <w:tc>
          <w:tcPr>
            <w:tcW w:w="1180" w:type="dxa"/>
            <w:vAlign w:val="bottom"/>
          </w:tcPr>
          <w:p>
            <w:pPr>
              <w:spacing w:after="0"/>
              <w:rPr>
                <w:sz w:val="24"/>
                <w:szCs w:val="24"/>
                <w:color w:val="auto"/>
              </w:rPr>
            </w:pPr>
          </w:p>
        </w:tc>
        <w:tc>
          <w:tcPr>
            <w:tcW w:w="34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313"/>
        </w:trPr>
        <w:tc>
          <w:tcPr>
            <w:tcW w:w="46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Common stock, par value</w:t>
            </w:r>
          </w:p>
        </w:tc>
        <w:tc>
          <w:tcPr>
            <w:tcW w:w="2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KODK</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1180" w:type="dxa"/>
            <w:vAlign w:val="bottom"/>
          </w:tcPr>
          <w:p>
            <w:pPr>
              <w:spacing w:after="0"/>
              <w:rPr>
                <w:sz w:val="20"/>
                <w:szCs w:val="20"/>
                <w:color w:val="auto"/>
              </w:rPr>
            </w:pPr>
          </w:p>
        </w:tc>
        <w:tc>
          <w:tcPr>
            <w:tcW w:w="34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color w:val="auto"/>
                <w:w w:val="99"/>
              </w:rPr>
              <w:t>$0.01 per share</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4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2026 Annual Meeting of Shareholders (the “Annual Meeting”) of Eastman Kodak Company (the “Company”) was held virtually on May 20, 2026 at 9:00 a.m. ET. The Company filed its definitive Proxy Statement for the proposals voted upon at the Annual Meeting with the Securities and Exchange Commission on April 9, 2026. As of March 23, 2026, the record date for the Annual Meeting, there were 97,608,566 shares of common stock issued and outstanding, each representing the right to one vote. Accordingly, a total of 97,608,566 votes were entitled to be cast at the Annual Meeting. Holders of shares representing an aggregate of 82,135,317 votes were present or represented at the Annual Meeting, constituting a quorum for the transaction of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votes on matters submitted to shareholders at the Annual Meeting were as follows:</w:t>
      </w:r>
    </w:p>
    <w:p>
      <w:pPr>
        <w:spacing w:after="0" w:line="225" w:lineRule="exact"/>
        <w:rPr>
          <w:sz w:val="20"/>
          <w:szCs w:val="20"/>
          <w:color w:val="auto"/>
        </w:rPr>
      </w:pPr>
    </w:p>
    <w:p>
      <w:pPr>
        <w:ind w:left="1140" w:right="42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elected each of the Company’s nominees for director to serve a term of one year to expire at the 2027 Annual Meeting of shareholders or until their respective successors are duly elected and qualified, as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640" w:type="dxa"/>
            <w:vAlign w:val="bottom"/>
            <w:tcBorders>
              <w:top w:val="single" w:sz="8" w:color="4F81BD"/>
              <w:bottom w:val="single" w:sz="8" w:color="4F81BD"/>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tcBorders>
              <w:top w:val="single" w:sz="8" w:color="4F81BD"/>
              <w:bottom w:val="single" w:sz="8" w:color="4F81B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00" w:type="dxa"/>
            <w:vAlign w:val="bottom"/>
            <w:tcBorders>
              <w:top w:val="single" w:sz="8" w:color="4F81BD"/>
              <w:bottom w:val="single" w:sz="8" w:color="4F81BD"/>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40" w:type="dxa"/>
            <w:vAlign w:val="bottom"/>
            <w:tcBorders>
              <w:top w:val="single" w:sz="8" w:color="4F81BD"/>
              <w:bottom w:val="single" w:sz="8" w:color="4F81B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20" w:type="dxa"/>
            <w:vAlign w:val="bottom"/>
            <w:tcBorders>
              <w:top w:val="single" w:sz="8" w:color="4F81BD"/>
              <w:bottom w:val="single" w:sz="8" w:color="4F81B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46"/>
        </w:trPr>
        <w:tc>
          <w:tcPr>
            <w:tcW w:w="2640" w:type="dxa"/>
            <w:vAlign w:val="bottom"/>
            <w:tcBorders>
              <w:bottom w:val="single" w:sz="8" w:color="D3DFEE"/>
            </w:tcBorders>
            <w:shd w:val="clear" w:color="auto" w:fill="D3DFEE"/>
          </w:tcPr>
          <w:p>
            <w:pPr>
              <w:ind w:left="120"/>
              <w:spacing w:after="0"/>
              <w:rPr>
                <w:sz w:val="20"/>
                <w:szCs w:val="20"/>
                <w:color w:val="auto"/>
              </w:rPr>
            </w:pPr>
            <w:r>
              <w:rPr>
                <w:rFonts w:ascii="Times New Roman" w:cs="Times New Roman" w:eastAsia="Times New Roman" w:hAnsi="Times New Roman"/>
                <w:sz w:val="18"/>
                <w:szCs w:val="18"/>
                <w:color w:val="auto"/>
              </w:rPr>
              <w:t>James V. Continenza</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8"/>
              </w:rPr>
              <w:t>58,487,014</w:t>
            </w:r>
          </w:p>
        </w:tc>
        <w:tc>
          <w:tcPr>
            <w:tcW w:w="230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9"/>
              </w:rPr>
              <w:t>8,616,958</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rPr>
              <w:t>114,693</w:t>
            </w:r>
          </w:p>
        </w:tc>
        <w:tc>
          <w:tcPr>
            <w:tcW w:w="222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43"/>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David P. Bovenzi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66,694,802</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407,799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116,064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7"/>
        </w:trPr>
        <w:tc>
          <w:tcPr>
            <w:tcW w:w="2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640" w:type="dxa"/>
            <w:vAlign w:val="bottom"/>
            <w:tcBorders>
              <w:bottom w:val="single" w:sz="8" w:color="D3DFEE"/>
            </w:tcBorders>
            <w:shd w:val="clear" w:color="auto" w:fill="D3DFEE"/>
          </w:tcPr>
          <w:p>
            <w:pPr>
              <w:ind w:left="120"/>
              <w:spacing w:after="0"/>
              <w:rPr>
                <w:sz w:val="20"/>
                <w:szCs w:val="20"/>
                <w:color w:val="auto"/>
              </w:rPr>
            </w:pPr>
            <w:r>
              <w:rPr>
                <w:rFonts w:ascii="Times New Roman" w:cs="Times New Roman" w:eastAsia="Times New Roman" w:hAnsi="Times New Roman"/>
                <w:sz w:val="18"/>
                <w:szCs w:val="18"/>
                <w:color w:val="auto"/>
              </w:rPr>
              <w:t>Philippe D. Katz</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8"/>
              </w:rPr>
              <w:t>65,855,852</w:t>
            </w:r>
          </w:p>
        </w:tc>
        <w:tc>
          <w:tcPr>
            <w:tcW w:w="230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9"/>
              </w:rPr>
              <w:t>1,247,453</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rPr>
              <w:t>115,360</w:t>
            </w:r>
          </w:p>
        </w:tc>
        <w:tc>
          <w:tcPr>
            <w:tcW w:w="222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43"/>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Kathleen B. Lynch</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66,657,101</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430,581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130,983</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7"/>
        </w:trPr>
        <w:tc>
          <w:tcPr>
            <w:tcW w:w="2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640" w:type="dxa"/>
            <w:vAlign w:val="bottom"/>
            <w:tcBorders>
              <w:bottom w:val="single" w:sz="8" w:color="D3DFEE"/>
            </w:tcBorders>
            <w:shd w:val="clear" w:color="auto" w:fill="D3DFEE"/>
          </w:tcPr>
          <w:p>
            <w:pPr>
              <w:ind w:left="120"/>
              <w:spacing w:after="0"/>
              <w:rPr>
                <w:sz w:val="20"/>
                <w:szCs w:val="20"/>
                <w:color w:val="auto"/>
              </w:rPr>
            </w:pPr>
            <w:r>
              <w:rPr>
                <w:rFonts w:ascii="Times New Roman" w:cs="Times New Roman" w:eastAsia="Times New Roman" w:hAnsi="Times New Roman"/>
                <w:sz w:val="18"/>
                <w:szCs w:val="18"/>
                <w:color w:val="auto"/>
              </w:rPr>
              <w:t>Jason New</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8"/>
              </w:rPr>
              <w:t>62,652,279</w:t>
            </w:r>
          </w:p>
        </w:tc>
        <w:tc>
          <w:tcPr>
            <w:tcW w:w="230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9"/>
              </w:rPr>
              <w:t>4,449,316</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rPr>
              <w:t>117,070</w:t>
            </w:r>
          </w:p>
        </w:tc>
        <w:tc>
          <w:tcPr>
            <w:tcW w:w="222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43"/>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Darren L. Richman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66,949,546</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146,529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122,590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7"/>
        </w:trPr>
        <w:tc>
          <w:tcPr>
            <w:tcW w:w="2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6"/>
        </w:trPr>
        <w:tc>
          <w:tcPr>
            <w:tcW w:w="2640" w:type="dxa"/>
            <w:vAlign w:val="bottom"/>
            <w:tcBorders>
              <w:bottom w:val="single" w:sz="8" w:color="D3DFEE"/>
            </w:tcBorders>
            <w:shd w:val="clear" w:color="auto" w:fill="D3DFEE"/>
          </w:tcPr>
          <w:p>
            <w:pPr>
              <w:ind w:left="120"/>
              <w:spacing w:after="0"/>
              <w:rPr>
                <w:sz w:val="20"/>
                <w:szCs w:val="20"/>
                <w:color w:val="auto"/>
              </w:rPr>
            </w:pPr>
            <w:r>
              <w:rPr>
                <w:rFonts w:ascii="Times New Roman" w:cs="Times New Roman" w:eastAsia="Times New Roman" w:hAnsi="Times New Roman"/>
                <w:sz w:val="18"/>
                <w:szCs w:val="18"/>
                <w:color w:val="auto"/>
              </w:rPr>
              <w:t>Michael E. Sileck, Jr.</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8"/>
              </w:rPr>
              <w:t>66,938,778</w:t>
            </w:r>
          </w:p>
        </w:tc>
        <w:tc>
          <w:tcPr>
            <w:tcW w:w="230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w w:val="99"/>
              </w:rPr>
              <w:t>157,065</w:t>
            </w:r>
          </w:p>
        </w:tc>
        <w:tc>
          <w:tcPr>
            <w:tcW w:w="2040" w:type="dxa"/>
            <w:vAlign w:val="bottom"/>
            <w:tcBorders>
              <w:bottom w:val="single" w:sz="8" w:color="D9E2F3"/>
            </w:tcBorders>
            <w:shd w:val="clear" w:color="auto" w:fill="D9E2F3"/>
          </w:tcPr>
          <w:p>
            <w:pPr>
              <w:jc w:val="center"/>
              <w:spacing w:after="0"/>
              <w:rPr>
                <w:sz w:val="20"/>
                <w:szCs w:val="20"/>
                <w:color w:val="auto"/>
              </w:rPr>
            </w:pPr>
            <w:r>
              <w:rPr>
                <w:rFonts w:ascii="Times New Roman" w:cs="Times New Roman" w:eastAsia="Times New Roman" w:hAnsi="Times New Roman"/>
                <w:sz w:val="18"/>
                <w:szCs w:val="18"/>
                <w:color w:val="auto"/>
              </w:rPr>
              <w:t>122,822</w:t>
            </w:r>
          </w:p>
        </w:tc>
        <w:tc>
          <w:tcPr>
            <w:tcW w:w="222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14,916,652</w:t>
            </w:r>
          </w:p>
        </w:tc>
      </w:tr>
      <w:tr>
        <w:trPr>
          <w:trHeight w:val="20"/>
        </w:trPr>
        <w:tc>
          <w:tcPr>
            <w:tcW w:w="2640" w:type="dxa"/>
            <w:vAlign w:val="bottom"/>
            <w:shd w:val="clear" w:color="auto" w:fill="4F81BD"/>
          </w:tcPr>
          <w:p>
            <w:pPr>
              <w:spacing w:after="0" w:line="20" w:lineRule="exact"/>
              <w:rPr>
                <w:sz w:val="1"/>
                <w:szCs w:val="1"/>
                <w:color w:val="auto"/>
              </w:rPr>
            </w:pPr>
          </w:p>
        </w:tc>
        <w:tc>
          <w:tcPr>
            <w:tcW w:w="2040" w:type="dxa"/>
            <w:vAlign w:val="bottom"/>
            <w:shd w:val="clear" w:color="auto" w:fill="4F81BD"/>
          </w:tcPr>
          <w:p>
            <w:pPr>
              <w:spacing w:after="0" w:line="20" w:lineRule="exact"/>
              <w:rPr>
                <w:sz w:val="1"/>
                <w:szCs w:val="1"/>
                <w:color w:val="auto"/>
              </w:rPr>
            </w:pPr>
          </w:p>
        </w:tc>
        <w:tc>
          <w:tcPr>
            <w:tcW w:w="2300" w:type="dxa"/>
            <w:vAlign w:val="bottom"/>
            <w:shd w:val="clear" w:color="auto" w:fill="4F81BD"/>
          </w:tcPr>
          <w:p>
            <w:pPr>
              <w:spacing w:after="0" w:line="20" w:lineRule="exact"/>
              <w:rPr>
                <w:sz w:val="1"/>
                <w:szCs w:val="1"/>
                <w:color w:val="auto"/>
              </w:rPr>
            </w:pPr>
          </w:p>
        </w:tc>
        <w:tc>
          <w:tcPr>
            <w:tcW w:w="2040" w:type="dxa"/>
            <w:vAlign w:val="bottom"/>
            <w:shd w:val="clear" w:color="auto" w:fill="4F81BD"/>
          </w:tcPr>
          <w:p>
            <w:pPr>
              <w:spacing w:after="0" w:line="20" w:lineRule="exact"/>
              <w:rPr>
                <w:sz w:val="1"/>
                <w:szCs w:val="1"/>
                <w:color w:val="auto"/>
              </w:rPr>
            </w:pPr>
          </w:p>
        </w:tc>
        <w:tc>
          <w:tcPr>
            <w:tcW w:w="2220" w:type="dxa"/>
            <w:vAlign w:val="bottom"/>
            <w:shd w:val="clear" w:color="auto" w:fill="4F81BD"/>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2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Shareholders approved, through an advisory vote, the compensation of the Company’s Named Executive Officers (as set forth in the</w:t>
            </w:r>
          </w:p>
        </w:tc>
      </w:tr>
      <w:tr>
        <w:trPr>
          <w:trHeight w:val="234"/>
        </w:trPr>
        <w:tc>
          <w:tcPr>
            <w:tcW w:w="1000" w:type="dxa"/>
            <w:vAlign w:val="bottom"/>
          </w:tcPr>
          <w:p>
            <w:pPr>
              <w:spacing w:after="0"/>
              <w:rPr>
                <w:sz w:val="20"/>
                <w:szCs w:val="20"/>
                <w:color w:val="auto"/>
              </w:rPr>
            </w:pPr>
          </w:p>
        </w:tc>
        <w:tc>
          <w:tcPr>
            <w:tcW w:w="5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definitive Proxy Statement), as set forth below:</w:t>
            </w:r>
          </w:p>
        </w:tc>
        <w:tc>
          <w:tcPr>
            <w:tcW w:w="24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16"/>
        </w:trPr>
        <w:tc>
          <w:tcPr>
            <w:tcW w:w="1000" w:type="dxa"/>
            <w:vAlign w:val="bottom"/>
            <w:tcBorders>
              <w:bottom w:val="single" w:sz="8" w:color="4F81BD"/>
            </w:tcBorders>
          </w:tcPr>
          <w:p>
            <w:pPr>
              <w:spacing w:after="0"/>
              <w:rPr>
                <w:sz w:val="18"/>
                <w:szCs w:val="18"/>
                <w:color w:val="auto"/>
              </w:rPr>
            </w:pPr>
          </w:p>
        </w:tc>
        <w:tc>
          <w:tcPr>
            <w:tcW w:w="1500" w:type="dxa"/>
            <w:vAlign w:val="bottom"/>
            <w:tcBorders>
              <w:bottom w:val="single" w:sz="8" w:color="4F81BD"/>
            </w:tcBorders>
          </w:tcPr>
          <w:p>
            <w:pPr>
              <w:spacing w:after="0"/>
              <w:rPr>
                <w:sz w:val="18"/>
                <w:szCs w:val="18"/>
                <w:color w:val="auto"/>
              </w:rPr>
            </w:pPr>
          </w:p>
        </w:tc>
        <w:tc>
          <w:tcPr>
            <w:tcW w:w="1120" w:type="dxa"/>
            <w:vAlign w:val="bottom"/>
            <w:tcBorders>
              <w:bottom w:val="single" w:sz="8" w:color="4F81BD"/>
            </w:tcBorders>
          </w:tcPr>
          <w:p>
            <w:pPr>
              <w:spacing w:after="0"/>
              <w:rPr>
                <w:sz w:val="18"/>
                <w:szCs w:val="18"/>
                <w:color w:val="auto"/>
              </w:rPr>
            </w:pPr>
          </w:p>
        </w:tc>
        <w:tc>
          <w:tcPr>
            <w:tcW w:w="2740" w:type="dxa"/>
            <w:vAlign w:val="bottom"/>
            <w:tcBorders>
              <w:bottom w:val="single" w:sz="8" w:color="4F81BD"/>
            </w:tcBorders>
          </w:tcPr>
          <w:p>
            <w:pPr>
              <w:spacing w:after="0"/>
              <w:rPr>
                <w:sz w:val="18"/>
                <w:szCs w:val="18"/>
                <w:color w:val="auto"/>
              </w:rPr>
            </w:pPr>
          </w:p>
        </w:tc>
        <w:tc>
          <w:tcPr>
            <w:tcW w:w="2400" w:type="dxa"/>
            <w:vAlign w:val="bottom"/>
            <w:tcBorders>
              <w:bottom w:val="single" w:sz="8" w:color="4F81BD"/>
            </w:tcBorders>
          </w:tcPr>
          <w:p>
            <w:pPr>
              <w:spacing w:after="0"/>
              <w:rPr>
                <w:sz w:val="18"/>
                <w:szCs w:val="18"/>
                <w:color w:val="auto"/>
              </w:rPr>
            </w:pPr>
          </w:p>
        </w:tc>
        <w:tc>
          <w:tcPr>
            <w:tcW w:w="2480" w:type="dxa"/>
            <w:vAlign w:val="bottom"/>
            <w:tcBorders>
              <w:bottom w:val="single" w:sz="8" w:color="4F81BD"/>
            </w:tcBorders>
          </w:tcPr>
          <w:p>
            <w:pPr>
              <w:spacing w:after="0"/>
              <w:rPr>
                <w:sz w:val="18"/>
                <w:szCs w:val="18"/>
                <w:color w:val="auto"/>
              </w:rPr>
            </w:pPr>
          </w:p>
        </w:tc>
      </w:tr>
      <w:tr>
        <w:trPr>
          <w:trHeight w:val="234"/>
        </w:trPr>
        <w:tc>
          <w:tcPr>
            <w:tcW w:w="1000" w:type="dxa"/>
            <w:vAlign w:val="bottom"/>
            <w:tcBorders>
              <w:bottom w:val="single" w:sz="8" w:color="4F81BD"/>
            </w:tcBorders>
          </w:tcPr>
          <w:p>
            <w:pPr>
              <w:spacing w:after="0"/>
              <w:rPr>
                <w:sz w:val="20"/>
                <w:szCs w:val="20"/>
                <w:color w:val="auto"/>
              </w:rPr>
            </w:pPr>
          </w:p>
        </w:tc>
        <w:tc>
          <w:tcPr>
            <w:tcW w:w="1500" w:type="dxa"/>
            <w:vAlign w:val="bottom"/>
            <w:tcBorders>
              <w:bottom w:val="single" w:sz="8" w:color="4F81BD"/>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120" w:type="dxa"/>
            <w:vAlign w:val="bottom"/>
            <w:tcBorders>
              <w:bottom w:val="single" w:sz="8" w:color="4F81BD"/>
            </w:tcBorders>
          </w:tcPr>
          <w:p>
            <w:pPr>
              <w:spacing w:after="0"/>
              <w:rPr>
                <w:sz w:val="20"/>
                <w:szCs w:val="20"/>
                <w:color w:val="auto"/>
              </w:rPr>
            </w:pPr>
          </w:p>
        </w:tc>
        <w:tc>
          <w:tcPr>
            <w:tcW w:w="2740" w:type="dxa"/>
            <w:vAlign w:val="bottom"/>
            <w:tcBorders>
              <w:bottom w:val="single" w:sz="8" w:color="4F81BD"/>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00" w:type="dxa"/>
            <w:vAlign w:val="bottom"/>
            <w:tcBorders>
              <w:bottom w:val="single" w:sz="8" w:color="4F81BD"/>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80" w:type="dxa"/>
            <w:vAlign w:val="bottom"/>
            <w:tcBorders>
              <w:bottom w:val="single" w:sz="8" w:color="4F81B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7"/>
        </w:trPr>
        <w:tc>
          <w:tcPr>
            <w:tcW w:w="1000" w:type="dxa"/>
            <w:vAlign w:val="bottom"/>
            <w:tcBorders>
              <w:bottom w:val="single" w:sz="8" w:color="D9E2F3"/>
            </w:tcBorders>
            <w:shd w:val="clear" w:color="auto" w:fill="D9E2F3"/>
          </w:tcPr>
          <w:p>
            <w:pPr>
              <w:spacing w:after="0"/>
              <w:rPr>
                <w:sz w:val="21"/>
                <w:szCs w:val="21"/>
                <w:color w:val="auto"/>
              </w:rPr>
            </w:pPr>
          </w:p>
        </w:tc>
        <w:tc>
          <w:tcPr>
            <w:tcW w:w="1500" w:type="dxa"/>
            <w:vAlign w:val="bottom"/>
            <w:tcBorders>
              <w:bottom w:val="single" w:sz="8" w:color="D9E2F3"/>
            </w:tcBorders>
            <w:shd w:val="clear" w:color="auto" w:fill="D9E2F3"/>
          </w:tcPr>
          <w:p>
            <w:pPr>
              <w:ind w:left="100"/>
              <w:spacing w:after="0"/>
              <w:rPr>
                <w:sz w:val="20"/>
                <w:szCs w:val="20"/>
                <w:color w:val="auto"/>
              </w:rPr>
            </w:pPr>
            <w:r>
              <w:rPr>
                <w:rFonts w:ascii="Times New Roman" w:cs="Times New Roman" w:eastAsia="Times New Roman" w:hAnsi="Times New Roman"/>
                <w:sz w:val="18"/>
                <w:szCs w:val="18"/>
                <w:color w:val="auto"/>
              </w:rPr>
              <w:t>51,722,507</w:t>
            </w:r>
          </w:p>
        </w:tc>
        <w:tc>
          <w:tcPr>
            <w:tcW w:w="1120" w:type="dxa"/>
            <w:vAlign w:val="bottom"/>
            <w:tcBorders>
              <w:bottom w:val="single" w:sz="8" w:color="D9E2F3"/>
            </w:tcBorders>
            <w:shd w:val="clear" w:color="auto" w:fill="D9E2F3"/>
          </w:tcPr>
          <w:p>
            <w:pPr>
              <w:spacing w:after="0"/>
              <w:rPr>
                <w:sz w:val="21"/>
                <w:szCs w:val="21"/>
                <w:color w:val="auto"/>
              </w:rPr>
            </w:pPr>
          </w:p>
        </w:tc>
        <w:tc>
          <w:tcPr>
            <w:tcW w:w="2740" w:type="dxa"/>
            <w:vAlign w:val="bottom"/>
            <w:tcBorders>
              <w:bottom w:val="single" w:sz="8" w:color="D9E2F3"/>
            </w:tcBorders>
            <w:shd w:val="clear" w:color="auto" w:fill="D9E2F3"/>
          </w:tcPr>
          <w:p>
            <w:pPr>
              <w:jc w:val="right"/>
              <w:ind w:right="1410"/>
              <w:spacing w:after="0"/>
              <w:rPr>
                <w:sz w:val="20"/>
                <w:szCs w:val="20"/>
                <w:color w:val="auto"/>
              </w:rPr>
            </w:pPr>
            <w:r>
              <w:rPr>
                <w:rFonts w:ascii="Times New Roman" w:cs="Times New Roman" w:eastAsia="Times New Roman" w:hAnsi="Times New Roman"/>
                <w:sz w:val="18"/>
                <w:szCs w:val="18"/>
                <w:color w:val="auto"/>
              </w:rPr>
              <w:t>15,001,269</w:t>
            </w:r>
          </w:p>
        </w:tc>
        <w:tc>
          <w:tcPr>
            <w:tcW w:w="2400" w:type="dxa"/>
            <w:vAlign w:val="bottom"/>
            <w:tcBorders>
              <w:bottom w:val="single" w:sz="8" w:color="D9E2F3"/>
            </w:tcBorders>
            <w:shd w:val="clear" w:color="auto" w:fill="D9E2F3"/>
          </w:tcPr>
          <w:p>
            <w:pPr>
              <w:jc w:val="center"/>
              <w:ind w:right="330"/>
              <w:spacing w:after="0"/>
              <w:rPr>
                <w:sz w:val="20"/>
                <w:szCs w:val="20"/>
                <w:color w:val="auto"/>
              </w:rPr>
            </w:pPr>
            <w:r>
              <w:rPr>
                <w:rFonts w:ascii="Times New Roman" w:cs="Times New Roman" w:eastAsia="Times New Roman" w:hAnsi="Times New Roman"/>
                <w:sz w:val="18"/>
                <w:szCs w:val="18"/>
                <w:color w:val="auto"/>
                <w:w w:val="99"/>
              </w:rPr>
              <w:t>494,889</w:t>
            </w:r>
          </w:p>
        </w:tc>
        <w:tc>
          <w:tcPr>
            <w:tcW w:w="2480" w:type="dxa"/>
            <w:vAlign w:val="bottom"/>
            <w:tcBorders>
              <w:bottom w:val="single" w:sz="8" w:color="D3DFEE"/>
            </w:tcBorders>
            <w:shd w:val="clear" w:color="auto" w:fill="D3DFEE"/>
          </w:tcPr>
          <w:p>
            <w:pPr>
              <w:jc w:val="right"/>
              <w:ind w:right="750"/>
              <w:spacing w:after="0"/>
              <w:rPr>
                <w:sz w:val="20"/>
                <w:szCs w:val="20"/>
                <w:color w:val="auto"/>
              </w:rPr>
            </w:pPr>
            <w:r>
              <w:rPr>
                <w:rFonts w:ascii="Times New Roman" w:cs="Times New Roman" w:eastAsia="Times New Roman" w:hAnsi="Times New Roman"/>
                <w:sz w:val="18"/>
                <w:szCs w:val="18"/>
                <w:color w:val="auto"/>
              </w:rPr>
              <w:t>14,916,652</w:t>
            </w:r>
          </w:p>
        </w:tc>
      </w:tr>
      <w:tr>
        <w:trPr>
          <w:trHeight w:val="407"/>
        </w:trPr>
        <w:tc>
          <w:tcPr>
            <w:tcW w:w="1000" w:type="dxa"/>
            <w:vAlign w:val="bottom"/>
            <w:tcBorders>
              <w:top w:val="single" w:sz="8" w:color="4F81BD"/>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240" w:type="dxa"/>
            <w:vAlign w:val="bottom"/>
            <w:tcBorders>
              <w:top w:val="single" w:sz="8" w:color="4F81BD"/>
            </w:tcBorders>
            <w:gridSpan w:val="5"/>
          </w:tcPr>
          <w:p>
            <w:pPr>
              <w:ind w:left="140"/>
              <w:spacing w:after="0"/>
              <w:rPr>
                <w:sz w:val="20"/>
                <w:szCs w:val="20"/>
                <w:color w:val="auto"/>
              </w:rPr>
            </w:pPr>
            <w:r>
              <w:rPr>
                <w:rFonts w:ascii="Times New Roman" w:cs="Times New Roman" w:eastAsia="Times New Roman" w:hAnsi="Times New Roman"/>
                <w:sz w:val="18"/>
                <w:szCs w:val="18"/>
                <w:color w:val="auto"/>
                <w:w w:val="99"/>
              </w:rPr>
              <w:t>Shareholders voted, on an advisory basis, for the frequency of future advisory votes on the compensation of our named executive officers to</w:t>
            </w:r>
          </w:p>
        </w:tc>
      </w:tr>
      <w:tr>
        <w:trPr>
          <w:trHeight w:val="234"/>
        </w:trPr>
        <w:tc>
          <w:tcPr>
            <w:tcW w:w="100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 as set forth below:</w:t>
            </w:r>
          </w:p>
        </w:tc>
        <w:tc>
          <w:tcPr>
            <w:tcW w:w="2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16"/>
        </w:trPr>
        <w:tc>
          <w:tcPr>
            <w:tcW w:w="2500" w:type="dxa"/>
            <w:vAlign w:val="bottom"/>
            <w:tcBorders>
              <w:bottom w:val="single" w:sz="8" w:color="4F81BD"/>
            </w:tcBorders>
            <w:gridSpan w:val="2"/>
          </w:tcPr>
          <w:p>
            <w:pPr>
              <w:spacing w:after="0"/>
              <w:rPr>
                <w:sz w:val="18"/>
                <w:szCs w:val="18"/>
                <w:color w:val="auto"/>
              </w:rPr>
            </w:pPr>
          </w:p>
        </w:tc>
        <w:tc>
          <w:tcPr>
            <w:tcW w:w="1120" w:type="dxa"/>
            <w:vAlign w:val="bottom"/>
            <w:tcBorders>
              <w:bottom w:val="single" w:sz="8" w:color="4F81BD"/>
            </w:tcBorders>
          </w:tcPr>
          <w:p>
            <w:pPr>
              <w:spacing w:after="0"/>
              <w:rPr>
                <w:sz w:val="18"/>
                <w:szCs w:val="18"/>
                <w:color w:val="auto"/>
              </w:rPr>
            </w:pPr>
          </w:p>
        </w:tc>
        <w:tc>
          <w:tcPr>
            <w:tcW w:w="2740" w:type="dxa"/>
            <w:vAlign w:val="bottom"/>
            <w:tcBorders>
              <w:bottom w:val="single" w:sz="8" w:color="4F81BD"/>
            </w:tcBorders>
          </w:tcPr>
          <w:p>
            <w:pPr>
              <w:spacing w:after="0"/>
              <w:rPr>
                <w:sz w:val="18"/>
                <w:szCs w:val="18"/>
                <w:color w:val="auto"/>
              </w:rPr>
            </w:pPr>
          </w:p>
        </w:tc>
        <w:tc>
          <w:tcPr>
            <w:tcW w:w="2400" w:type="dxa"/>
            <w:vAlign w:val="bottom"/>
            <w:tcBorders>
              <w:bottom w:val="single" w:sz="8" w:color="4F81BD"/>
            </w:tcBorders>
          </w:tcPr>
          <w:p>
            <w:pPr>
              <w:spacing w:after="0"/>
              <w:rPr>
                <w:sz w:val="18"/>
                <w:szCs w:val="18"/>
                <w:color w:val="auto"/>
              </w:rPr>
            </w:pPr>
          </w:p>
        </w:tc>
        <w:tc>
          <w:tcPr>
            <w:tcW w:w="2480" w:type="dxa"/>
            <w:vAlign w:val="bottom"/>
            <w:tcBorders>
              <w:bottom w:val="single" w:sz="8" w:color="4F81BD"/>
            </w:tcBorders>
          </w:tcPr>
          <w:p>
            <w:pPr>
              <w:spacing w:after="0"/>
              <w:rPr>
                <w:sz w:val="18"/>
                <w:szCs w:val="18"/>
                <w:color w:val="auto"/>
              </w:rPr>
            </w:pPr>
          </w:p>
        </w:tc>
      </w:tr>
      <w:tr>
        <w:trPr>
          <w:trHeight w:val="234"/>
        </w:trPr>
        <w:tc>
          <w:tcPr>
            <w:tcW w:w="2500" w:type="dxa"/>
            <w:vAlign w:val="bottom"/>
            <w:tcBorders>
              <w:bottom w:val="single" w:sz="8" w:color="4F81BD"/>
            </w:tcBorders>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1120" w:type="dxa"/>
            <w:vAlign w:val="bottom"/>
            <w:tcBorders>
              <w:bottom w:val="single" w:sz="8" w:color="4F81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740" w:type="dxa"/>
            <w:vAlign w:val="bottom"/>
            <w:tcBorders>
              <w:bottom w:val="single" w:sz="8" w:color="4F81BD"/>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2400" w:type="dxa"/>
            <w:vAlign w:val="bottom"/>
            <w:tcBorders>
              <w:bottom w:val="single" w:sz="8" w:color="4F81BD"/>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80" w:type="dxa"/>
            <w:vAlign w:val="bottom"/>
            <w:tcBorders>
              <w:bottom w:val="single" w:sz="8" w:color="4F81BD"/>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7"/>
        </w:trPr>
        <w:tc>
          <w:tcPr>
            <w:tcW w:w="2500" w:type="dxa"/>
            <w:vAlign w:val="bottom"/>
            <w:tcBorders>
              <w:bottom w:val="single" w:sz="8" w:color="D3DFEE"/>
            </w:tcBorders>
            <w:gridSpan w:val="2"/>
            <w:shd w:val="clear" w:color="auto" w:fill="D3DFEE"/>
          </w:tcPr>
          <w:p>
            <w:pPr>
              <w:jc w:val="right"/>
              <w:ind w:right="1030"/>
              <w:spacing w:after="0"/>
              <w:rPr>
                <w:sz w:val="20"/>
                <w:szCs w:val="20"/>
                <w:color w:val="auto"/>
              </w:rPr>
            </w:pPr>
            <w:r>
              <w:rPr>
                <w:rFonts w:ascii="Times New Roman" w:cs="Times New Roman" w:eastAsia="Times New Roman" w:hAnsi="Times New Roman"/>
                <w:sz w:val="18"/>
                <w:szCs w:val="18"/>
                <w:color w:val="auto"/>
              </w:rPr>
              <w:t>39,558,616</w:t>
            </w:r>
          </w:p>
        </w:tc>
        <w:tc>
          <w:tcPr>
            <w:tcW w:w="1120" w:type="dxa"/>
            <w:vAlign w:val="bottom"/>
            <w:tcBorders>
              <w:bottom w:val="single" w:sz="8" w:color="D3DFEE"/>
            </w:tcBorders>
            <w:shd w:val="clear" w:color="auto" w:fill="D3DFEE"/>
          </w:tcPr>
          <w:p>
            <w:pPr>
              <w:ind w:left="120"/>
              <w:spacing w:after="0"/>
              <w:rPr>
                <w:sz w:val="20"/>
                <w:szCs w:val="20"/>
                <w:color w:val="auto"/>
              </w:rPr>
            </w:pPr>
            <w:r>
              <w:rPr>
                <w:rFonts w:ascii="Times New Roman" w:cs="Times New Roman" w:eastAsia="Times New Roman" w:hAnsi="Times New Roman"/>
                <w:sz w:val="18"/>
                <w:szCs w:val="18"/>
                <w:color w:val="auto"/>
              </w:rPr>
              <w:t>15,226,550</w:t>
            </w:r>
          </w:p>
        </w:tc>
        <w:tc>
          <w:tcPr>
            <w:tcW w:w="2740" w:type="dxa"/>
            <w:vAlign w:val="bottom"/>
            <w:tcBorders>
              <w:bottom w:val="single" w:sz="8" w:color="D3DFEE"/>
            </w:tcBorders>
            <w:shd w:val="clear" w:color="auto" w:fill="D3DFEE"/>
          </w:tcPr>
          <w:p>
            <w:pPr>
              <w:jc w:val="right"/>
              <w:ind w:right="630"/>
              <w:spacing w:after="0"/>
              <w:rPr>
                <w:sz w:val="20"/>
                <w:szCs w:val="20"/>
                <w:color w:val="auto"/>
              </w:rPr>
            </w:pPr>
            <w:r>
              <w:rPr>
                <w:rFonts w:ascii="Times New Roman" w:cs="Times New Roman" w:eastAsia="Times New Roman" w:hAnsi="Times New Roman"/>
                <w:sz w:val="18"/>
                <w:szCs w:val="18"/>
                <w:color w:val="auto"/>
              </w:rPr>
              <w:t>12,319,099</w:t>
            </w:r>
          </w:p>
        </w:tc>
        <w:tc>
          <w:tcPr>
            <w:tcW w:w="2400" w:type="dxa"/>
            <w:vAlign w:val="bottom"/>
            <w:tcBorders>
              <w:bottom w:val="single" w:sz="8" w:color="D3DFEE"/>
            </w:tcBorders>
            <w:shd w:val="clear" w:color="auto" w:fill="D3DFEE"/>
          </w:tcPr>
          <w:p>
            <w:pPr>
              <w:jc w:val="center"/>
              <w:ind w:right="310"/>
              <w:spacing w:after="0"/>
              <w:rPr>
                <w:sz w:val="20"/>
                <w:szCs w:val="20"/>
                <w:color w:val="auto"/>
              </w:rPr>
            </w:pPr>
            <w:r>
              <w:rPr>
                <w:rFonts w:ascii="Times New Roman" w:cs="Times New Roman" w:eastAsia="Times New Roman" w:hAnsi="Times New Roman"/>
                <w:sz w:val="18"/>
                <w:szCs w:val="18"/>
                <w:color w:val="auto"/>
              </w:rPr>
              <w:t>114,400</w:t>
            </w:r>
          </w:p>
        </w:tc>
        <w:tc>
          <w:tcPr>
            <w:tcW w:w="2480" w:type="dxa"/>
            <w:vAlign w:val="bottom"/>
            <w:tcBorders>
              <w:bottom w:val="single" w:sz="8" w:color="D3DFEE"/>
            </w:tcBorders>
            <w:shd w:val="clear" w:color="auto" w:fill="D3DFEE"/>
          </w:tcPr>
          <w:p>
            <w:pPr>
              <w:jc w:val="right"/>
              <w:ind w:right="930"/>
              <w:spacing w:after="0"/>
              <w:rPr>
                <w:sz w:val="20"/>
                <w:szCs w:val="20"/>
                <w:color w:val="auto"/>
              </w:rPr>
            </w:pPr>
            <w:r>
              <w:rPr>
                <w:rFonts w:ascii="Times New Roman" w:cs="Times New Roman" w:eastAsia="Times New Roman" w:hAnsi="Times New Roman"/>
                <w:sz w:val="18"/>
                <w:szCs w:val="18"/>
                <w:color w:val="auto"/>
              </w:rPr>
              <w:t>14,916,652</w:t>
            </w:r>
          </w:p>
        </w:tc>
      </w:tr>
      <w:tr>
        <w:trPr>
          <w:trHeight w:val="407"/>
        </w:trPr>
        <w:tc>
          <w:tcPr>
            <w:tcW w:w="1000" w:type="dxa"/>
            <w:vAlign w:val="bottom"/>
            <w:tcBorders>
              <w:top w:val="single" w:sz="8" w:color="4F81BD"/>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240" w:type="dxa"/>
            <w:vAlign w:val="bottom"/>
            <w:tcBorders>
              <w:top w:val="single" w:sz="8" w:color="4F81BD"/>
            </w:tcBorders>
            <w:gridSpan w:val="5"/>
          </w:tcPr>
          <w:p>
            <w:pPr>
              <w:ind w:left="140"/>
              <w:spacing w:after="0"/>
              <w:rPr>
                <w:sz w:val="20"/>
                <w:szCs w:val="20"/>
                <w:color w:val="auto"/>
              </w:rPr>
            </w:pPr>
            <w:r>
              <w:rPr>
                <w:rFonts w:ascii="Times New Roman" w:cs="Times New Roman" w:eastAsia="Times New Roman" w:hAnsi="Times New Roman"/>
                <w:sz w:val="18"/>
                <w:szCs w:val="18"/>
                <w:color w:val="auto"/>
              </w:rPr>
              <w:t>Shareholders approved the Third Amendment to the Amended and Restated 2013 Omnibus Incentive Plan of the Company, as set forth</w:t>
            </w:r>
          </w:p>
        </w:tc>
      </w:tr>
      <w:tr>
        <w:trPr>
          <w:trHeight w:val="234"/>
        </w:trPr>
        <w:tc>
          <w:tcPr>
            <w:tcW w:w="1000" w:type="dxa"/>
            <w:vAlign w:val="bottom"/>
          </w:tcPr>
          <w:p>
            <w:pPr>
              <w:spacing w:after="0"/>
              <w:rPr>
                <w:sz w:val="20"/>
                <w:szCs w:val="20"/>
                <w:color w:val="auto"/>
              </w:rPr>
            </w:pP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below:</w:t>
            </w:r>
          </w:p>
        </w:tc>
        <w:tc>
          <w:tcPr>
            <w:tcW w:w="1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16"/>
        </w:trPr>
        <w:tc>
          <w:tcPr>
            <w:tcW w:w="1000" w:type="dxa"/>
            <w:vAlign w:val="bottom"/>
            <w:tcBorders>
              <w:bottom w:val="single" w:sz="8" w:color="4F81BD"/>
            </w:tcBorders>
          </w:tcPr>
          <w:p>
            <w:pPr>
              <w:spacing w:after="0"/>
              <w:rPr>
                <w:sz w:val="18"/>
                <w:szCs w:val="18"/>
                <w:color w:val="auto"/>
              </w:rPr>
            </w:pPr>
          </w:p>
        </w:tc>
        <w:tc>
          <w:tcPr>
            <w:tcW w:w="1500" w:type="dxa"/>
            <w:vAlign w:val="bottom"/>
            <w:tcBorders>
              <w:bottom w:val="single" w:sz="8" w:color="4F81BD"/>
            </w:tcBorders>
          </w:tcPr>
          <w:p>
            <w:pPr>
              <w:spacing w:after="0"/>
              <w:rPr>
                <w:sz w:val="18"/>
                <w:szCs w:val="18"/>
                <w:color w:val="auto"/>
              </w:rPr>
            </w:pPr>
          </w:p>
        </w:tc>
        <w:tc>
          <w:tcPr>
            <w:tcW w:w="1120" w:type="dxa"/>
            <w:vAlign w:val="bottom"/>
            <w:tcBorders>
              <w:bottom w:val="single" w:sz="8" w:color="4F81BD"/>
            </w:tcBorders>
          </w:tcPr>
          <w:p>
            <w:pPr>
              <w:spacing w:after="0"/>
              <w:rPr>
                <w:sz w:val="18"/>
                <w:szCs w:val="18"/>
                <w:color w:val="auto"/>
              </w:rPr>
            </w:pPr>
          </w:p>
        </w:tc>
        <w:tc>
          <w:tcPr>
            <w:tcW w:w="2740" w:type="dxa"/>
            <w:vAlign w:val="bottom"/>
            <w:tcBorders>
              <w:bottom w:val="single" w:sz="8" w:color="4F81BD"/>
            </w:tcBorders>
          </w:tcPr>
          <w:p>
            <w:pPr>
              <w:spacing w:after="0"/>
              <w:rPr>
                <w:sz w:val="18"/>
                <w:szCs w:val="18"/>
                <w:color w:val="auto"/>
              </w:rPr>
            </w:pPr>
          </w:p>
        </w:tc>
        <w:tc>
          <w:tcPr>
            <w:tcW w:w="2400" w:type="dxa"/>
            <w:vAlign w:val="bottom"/>
            <w:tcBorders>
              <w:bottom w:val="single" w:sz="8" w:color="4F81BD"/>
            </w:tcBorders>
          </w:tcPr>
          <w:p>
            <w:pPr>
              <w:spacing w:after="0"/>
              <w:rPr>
                <w:sz w:val="18"/>
                <w:szCs w:val="18"/>
                <w:color w:val="auto"/>
              </w:rPr>
            </w:pPr>
          </w:p>
        </w:tc>
        <w:tc>
          <w:tcPr>
            <w:tcW w:w="2480" w:type="dxa"/>
            <w:vAlign w:val="bottom"/>
            <w:tcBorders>
              <w:bottom w:val="single" w:sz="8" w:color="4F81BD"/>
            </w:tcBorders>
          </w:tcPr>
          <w:p>
            <w:pPr>
              <w:spacing w:after="0"/>
              <w:rPr>
                <w:sz w:val="18"/>
                <w:szCs w:val="18"/>
                <w:color w:val="auto"/>
              </w:rPr>
            </w:pPr>
          </w:p>
        </w:tc>
      </w:tr>
      <w:tr>
        <w:trPr>
          <w:trHeight w:val="234"/>
        </w:trPr>
        <w:tc>
          <w:tcPr>
            <w:tcW w:w="1000" w:type="dxa"/>
            <w:vAlign w:val="bottom"/>
            <w:tcBorders>
              <w:bottom w:val="single" w:sz="8" w:color="4F81BD"/>
            </w:tcBorders>
          </w:tcPr>
          <w:p>
            <w:pPr>
              <w:spacing w:after="0"/>
              <w:rPr>
                <w:sz w:val="20"/>
                <w:szCs w:val="20"/>
                <w:color w:val="auto"/>
              </w:rPr>
            </w:pPr>
          </w:p>
        </w:tc>
        <w:tc>
          <w:tcPr>
            <w:tcW w:w="1500" w:type="dxa"/>
            <w:vAlign w:val="bottom"/>
            <w:tcBorders>
              <w:bottom w:val="single" w:sz="8" w:color="4F81BD"/>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120" w:type="dxa"/>
            <w:vAlign w:val="bottom"/>
            <w:tcBorders>
              <w:bottom w:val="single" w:sz="8" w:color="4F81BD"/>
            </w:tcBorders>
          </w:tcPr>
          <w:p>
            <w:pPr>
              <w:spacing w:after="0"/>
              <w:rPr>
                <w:sz w:val="20"/>
                <w:szCs w:val="20"/>
                <w:color w:val="auto"/>
              </w:rPr>
            </w:pPr>
          </w:p>
        </w:tc>
        <w:tc>
          <w:tcPr>
            <w:tcW w:w="2740" w:type="dxa"/>
            <w:vAlign w:val="bottom"/>
            <w:tcBorders>
              <w:bottom w:val="single" w:sz="8" w:color="4F81BD"/>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00" w:type="dxa"/>
            <w:vAlign w:val="bottom"/>
            <w:tcBorders>
              <w:bottom w:val="single" w:sz="8" w:color="4F81BD"/>
            </w:tcBorders>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80" w:type="dxa"/>
            <w:vAlign w:val="bottom"/>
            <w:tcBorders>
              <w:bottom w:val="single" w:sz="8" w:color="4F81BD"/>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7"/>
        </w:trPr>
        <w:tc>
          <w:tcPr>
            <w:tcW w:w="1000" w:type="dxa"/>
            <w:vAlign w:val="bottom"/>
            <w:tcBorders>
              <w:bottom w:val="single" w:sz="8" w:color="D3DFEE"/>
            </w:tcBorders>
            <w:shd w:val="clear" w:color="auto" w:fill="D3DFEE"/>
          </w:tcPr>
          <w:p>
            <w:pPr>
              <w:spacing w:after="0"/>
              <w:rPr>
                <w:sz w:val="21"/>
                <w:szCs w:val="21"/>
                <w:color w:val="auto"/>
              </w:rPr>
            </w:pPr>
          </w:p>
        </w:tc>
        <w:tc>
          <w:tcPr>
            <w:tcW w:w="1500" w:type="dxa"/>
            <w:vAlign w:val="bottom"/>
            <w:tcBorders>
              <w:bottom w:val="single" w:sz="8" w:color="D3DFEE"/>
            </w:tcBorders>
            <w:shd w:val="clear" w:color="auto" w:fill="D3DFEE"/>
          </w:tcPr>
          <w:p>
            <w:pPr>
              <w:ind w:left="100"/>
              <w:spacing w:after="0"/>
              <w:rPr>
                <w:sz w:val="20"/>
                <w:szCs w:val="20"/>
                <w:color w:val="auto"/>
              </w:rPr>
            </w:pPr>
            <w:r>
              <w:rPr>
                <w:rFonts w:ascii="Times New Roman" w:cs="Times New Roman" w:eastAsia="Times New Roman" w:hAnsi="Times New Roman"/>
                <w:sz w:val="18"/>
                <w:szCs w:val="18"/>
                <w:color w:val="auto"/>
              </w:rPr>
              <w:t>51,924,803</w:t>
            </w:r>
          </w:p>
        </w:tc>
        <w:tc>
          <w:tcPr>
            <w:tcW w:w="1120" w:type="dxa"/>
            <w:vAlign w:val="bottom"/>
            <w:tcBorders>
              <w:bottom w:val="single" w:sz="8" w:color="D3DFEE"/>
            </w:tcBorders>
            <w:shd w:val="clear" w:color="auto" w:fill="D3DFEE"/>
          </w:tcPr>
          <w:p>
            <w:pPr>
              <w:spacing w:after="0"/>
              <w:rPr>
                <w:sz w:val="21"/>
                <w:szCs w:val="21"/>
                <w:color w:val="auto"/>
              </w:rPr>
            </w:pPr>
          </w:p>
        </w:tc>
        <w:tc>
          <w:tcPr>
            <w:tcW w:w="2740" w:type="dxa"/>
            <w:vAlign w:val="bottom"/>
            <w:tcBorders>
              <w:bottom w:val="single" w:sz="8" w:color="D3DFEE"/>
            </w:tcBorders>
            <w:shd w:val="clear" w:color="auto" w:fill="D3DFEE"/>
          </w:tcPr>
          <w:p>
            <w:pPr>
              <w:jc w:val="right"/>
              <w:ind w:right="1530"/>
              <w:spacing w:after="0"/>
              <w:rPr>
                <w:sz w:val="20"/>
                <w:szCs w:val="20"/>
                <w:color w:val="auto"/>
              </w:rPr>
            </w:pPr>
            <w:r>
              <w:rPr>
                <w:rFonts w:ascii="Times New Roman" w:cs="Times New Roman" w:eastAsia="Times New Roman" w:hAnsi="Times New Roman"/>
                <w:sz w:val="18"/>
                <w:szCs w:val="18"/>
                <w:color w:val="auto"/>
              </w:rPr>
              <w:t>15,102,388</w:t>
            </w:r>
          </w:p>
        </w:tc>
        <w:tc>
          <w:tcPr>
            <w:tcW w:w="2400" w:type="dxa"/>
            <w:vAlign w:val="bottom"/>
            <w:tcBorders>
              <w:bottom w:val="single" w:sz="8" w:color="D3DFEE"/>
            </w:tcBorders>
            <w:shd w:val="clear" w:color="auto" w:fill="D3DFEE"/>
          </w:tcPr>
          <w:p>
            <w:pPr>
              <w:jc w:val="right"/>
              <w:ind w:right="1410"/>
              <w:spacing w:after="0"/>
              <w:rPr>
                <w:sz w:val="20"/>
                <w:szCs w:val="20"/>
                <w:color w:val="auto"/>
              </w:rPr>
            </w:pPr>
            <w:r>
              <w:rPr>
                <w:rFonts w:ascii="Times New Roman" w:cs="Times New Roman" w:eastAsia="Times New Roman" w:hAnsi="Times New Roman"/>
                <w:sz w:val="18"/>
                <w:szCs w:val="18"/>
                <w:color w:val="auto"/>
              </w:rPr>
              <w:t>191,474</w:t>
            </w:r>
          </w:p>
        </w:tc>
        <w:tc>
          <w:tcPr>
            <w:tcW w:w="2480" w:type="dxa"/>
            <w:vAlign w:val="bottom"/>
            <w:tcBorders>
              <w:bottom w:val="single" w:sz="8" w:color="D3DFEE"/>
            </w:tcBorders>
            <w:shd w:val="clear" w:color="auto" w:fill="D3DFEE"/>
          </w:tcPr>
          <w:p>
            <w:pPr>
              <w:jc w:val="right"/>
              <w:ind w:right="990"/>
              <w:spacing w:after="0"/>
              <w:rPr>
                <w:sz w:val="20"/>
                <w:szCs w:val="20"/>
                <w:color w:val="auto"/>
              </w:rPr>
            </w:pPr>
            <w:r>
              <w:rPr>
                <w:rFonts w:ascii="Times New Roman" w:cs="Times New Roman" w:eastAsia="Times New Roman" w:hAnsi="Times New Roman"/>
                <w:sz w:val="18"/>
                <w:szCs w:val="18"/>
                <w:color w:val="auto"/>
              </w:rPr>
              <w:t>14,916,652</w:t>
            </w:r>
          </w:p>
        </w:tc>
      </w:tr>
      <w:tr>
        <w:trPr>
          <w:trHeight w:val="407"/>
        </w:trPr>
        <w:tc>
          <w:tcPr>
            <w:tcW w:w="1000" w:type="dxa"/>
            <w:vAlign w:val="bottom"/>
            <w:tcBorders>
              <w:top w:val="single" w:sz="8" w:color="4F81BD"/>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240" w:type="dxa"/>
            <w:vAlign w:val="bottom"/>
            <w:tcBorders>
              <w:top w:val="single" w:sz="8" w:color="4F81BD"/>
            </w:tcBorders>
            <w:gridSpan w:val="5"/>
          </w:tcPr>
          <w:p>
            <w:pPr>
              <w:ind w:left="140"/>
              <w:spacing w:after="0"/>
              <w:rPr>
                <w:sz w:val="20"/>
                <w:szCs w:val="20"/>
                <w:color w:val="auto"/>
              </w:rPr>
            </w:pPr>
            <w:r>
              <w:rPr>
                <w:rFonts w:ascii="Times New Roman" w:cs="Times New Roman" w:eastAsia="Times New Roman" w:hAnsi="Times New Roman"/>
                <w:sz w:val="18"/>
                <w:szCs w:val="18"/>
                <w:color w:val="auto"/>
              </w:rPr>
              <w:t>Shareholders ratified the selection of Ernst &amp; Young LLP as the Company’s independent registered public accounting firm as set forth</w:t>
            </w:r>
          </w:p>
        </w:tc>
      </w:tr>
      <w:tr>
        <w:trPr>
          <w:trHeight w:val="234"/>
        </w:trPr>
        <w:tc>
          <w:tcPr>
            <w:tcW w:w="1000" w:type="dxa"/>
            <w:vAlign w:val="bottom"/>
          </w:tcPr>
          <w:p>
            <w:pPr>
              <w:spacing w:after="0"/>
              <w:rPr>
                <w:sz w:val="20"/>
                <w:szCs w:val="20"/>
                <w:color w:val="auto"/>
              </w:rPr>
            </w:pP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below:</w:t>
            </w:r>
          </w:p>
        </w:tc>
        <w:tc>
          <w:tcPr>
            <w:tcW w:w="1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16"/>
        </w:trPr>
        <w:tc>
          <w:tcPr>
            <w:tcW w:w="1000" w:type="dxa"/>
            <w:vAlign w:val="bottom"/>
            <w:tcBorders>
              <w:bottom w:val="single" w:sz="8" w:color="4F81BD"/>
            </w:tcBorders>
          </w:tcPr>
          <w:p>
            <w:pPr>
              <w:spacing w:after="0"/>
              <w:rPr>
                <w:sz w:val="18"/>
                <w:szCs w:val="18"/>
                <w:color w:val="auto"/>
              </w:rPr>
            </w:pPr>
          </w:p>
        </w:tc>
        <w:tc>
          <w:tcPr>
            <w:tcW w:w="1500" w:type="dxa"/>
            <w:vAlign w:val="bottom"/>
            <w:tcBorders>
              <w:bottom w:val="single" w:sz="8" w:color="4F81BD"/>
            </w:tcBorders>
          </w:tcPr>
          <w:p>
            <w:pPr>
              <w:spacing w:after="0"/>
              <w:rPr>
                <w:sz w:val="18"/>
                <w:szCs w:val="18"/>
                <w:color w:val="auto"/>
              </w:rPr>
            </w:pPr>
          </w:p>
        </w:tc>
        <w:tc>
          <w:tcPr>
            <w:tcW w:w="1120" w:type="dxa"/>
            <w:vAlign w:val="bottom"/>
            <w:tcBorders>
              <w:bottom w:val="single" w:sz="8" w:color="4F81BD"/>
            </w:tcBorders>
          </w:tcPr>
          <w:p>
            <w:pPr>
              <w:spacing w:after="0"/>
              <w:rPr>
                <w:sz w:val="18"/>
                <w:szCs w:val="18"/>
                <w:color w:val="auto"/>
              </w:rPr>
            </w:pPr>
          </w:p>
        </w:tc>
        <w:tc>
          <w:tcPr>
            <w:tcW w:w="2740" w:type="dxa"/>
            <w:vAlign w:val="bottom"/>
            <w:tcBorders>
              <w:bottom w:val="single" w:sz="8" w:color="4F81BD"/>
            </w:tcBorders>
          </w:tcPr>
          <w:p>
            <w:pPr>
              <w:spacing w:after="0"/>
              <w:rPr>
                <w:sz w:val="18"/>
                <w:szCs w:val="18"/>
                <w:color w:val="auto"/>
              </w:rPr>
            </w:pPr>
          </w:p>
        </w:tc>
        <w:tc>
          <w:tcPr>
            <w:tcW w:w="2400" w:type="dxa"/>
            <w:vAlign w:val="bottom"/>
            <w:tcBorders>
              <w:bottom w:val="single" w:sz="8" w:color="4F81BD"/>
            </w:tcBorders>
          </w:tcPr>
          <w:p>
            <w:pPr>
              <w:spacing w:after="0"/>
              <w:rPr>
                <w:sz w:val="18"/>
                <w:szCs w:val="18"/>
                <w:color w:val="auto"/>
              </w:rPr>
            </w:pPr>
          </w:p>
        </w:tc>
        <w:tc>
          <w:tcPr>
            <w:tcW w:w="2480" w:type="dxa"/>
            <w:vAlign w:val="bottom"/>
            <w:tcBorders>
              <w:bottom w:val="single" w:sz="8" w:color="4F81BD"/>
            </w:tcBorders>
          </w:tcPr>
          <w:p>
            <w:pPr>
              <w:spacing w:after="0"/>
              <w:rPr>
                <w:sz w:val="18"/>
                <w:szCs w:val="18"/>
                <w:color w:val="auto"/>
              </w:rPr>
            </w:pPr>
          </w:p>
        </w:tc>
      </w:tr>
      <w:tr>
        <w:trPr>
          <w:trHeight w:val="234"/>
        </w:trPr>
        <w:tc>
          <w:tcPr>
            <w:tcW w:w="1000" w:type="dxa"/>
            <w:vAlign w:val="bottom"/>
            <w:tcBorders>
              <w:bottom w:val="single" w:sz="8" w:color="4F81BD"/>
            </w:tcBorders>
          </w:tcPr>
          <w:p>
            <w:pPr>
              <w:spacing w:after="0"/>
              <w:rPr>
                <w:sz w:val="20"/>
                <w:szCs w:val="20"/>
                <w:color w:val="auto"/>
              </w:rPr>
            </w:pPr>
          </w:p>
        </w:tc>
        <w:tc>
          <w:tcPr>
            <w:tcW w:w="1500" w:type="dxa"/>
            <w:vAlign w:val="bottom"/>
            <w:tcBorders>
              <w:bottom w:val="single" w:sz="8" w:color="4F81BD"/>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120" w:type="dxa"/>
            <w:vAlign w:val="bottom"/>
            <w:tcBorders>
              <w:bottom w:val="single" w:sz="8" w:color="4F81BD"/>
            </w:tcBorders>
          </w:tcPr>
          <w:p>
            <w:pPr>
              <w:spacing w:after="0"/>
              <w:rPr>
                <w:sz w:val="20"/>
                <w:szCs w:val="20"/>
                <w:color w:val="auto"/>
              </w:rPr>
            </w:pPr>
          </w:p>
        </w:tc>
        <w:tc>
          <w:tcPr>
            <w:tcW w:w="2740" w:type="dxa"/>
            <w:vAlign w:val="bottom"/>
            <w:tcBorders>
              <w:bottom w:val="single" w:sz="8" w:color="4F81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00" w:type="dxa"/>
            <w:vAlign w:val="bottom"/>
            <w:tcBorders>
              <w:bottom w:val="single" w:sz="8" w:color="4F81BD"/>
            </w:tcBorders>
          </w:tcPr>
          <w:p>
            <w:pPr>
              <w:spacing w:after="0"/>
              <w:rPr>
                <w:sz w:val="20"/>
                <w:szCs w:val="20"/>
                <w:color w:val="auto"/>
              </w:rPr>
            </w:pPr>
          </w:p>
        </w:tc>
        <w:tc>
          <w:tcPr>
            <w:tcW w:w="2480" w:type="dxa"/>
            <w:vAlign w:val="bottom"/>
            <w:tcBorders>
              <w:bottom w:val="single" w:sz="8" w:color="4F81BD"/>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32"/>
        </w:trPr>
        <w:tc>
          <w:tcPr>
            <w:tcW w:w="1000" w:type="dxa"/>
            <w:vAlign w:val="bottom"/>
            <w:tcBorders>
              <w:bottom w:val="single" w:sz="8" w:color="D9E2F3"/>
            </w:tcBorders>
            <w:shd w:val="clear" w:color="auto" w:fill="D9E2F3"/>
          </w:tcPr>
          <w:p>
            <w:pPr>
              <w:spacing w:after="0"/>
              <w:rPr>
                <w:sz w:val="20"/>
                <w:szCs w:val="20"/>
                <w:color w:val="auto"/>
              </w:rPr>
            </w:pPr>
          </w:p>
        </w:tc>
        <w:tc>
          <w:tcPr>
            <w:tcW w:w="1500" w:type="dxa"/>
            <w:vAlign w:val="bottom"/>
            <w:tcBorders>
              <w:bottom w:val="single" w:sz="8" w:color="D9E2F3"/>
            </w:tcBorders>
            <w:shd w:val="clear" w:color="auto" w:fill="D9E2F3"/>
          </w:tcPr>
          <w:p>
            <w:pPr>
              <w:ind w:left="560"/>
              <w:spacing w:after="0"/>
              <w:rPr>
                <w:sz w:val="20"/>
                <w:szCs w:val="20"/>
                <w:color w:val="auto"/>
              </w:rPr>
            </w:pPr>
            <w:r>
              <w:rPr>
                <w:rFonts w:ascii="Times New Roman" w:cs="Times New Roman" w:eastAsia="Times New Roman" w:hAnsi="Times New Roman"/>
                <w:sz w:val="18"/>
                <w:szCs w:val="18"/>
                <w:color w:val="auto"/>
              </w:rPr>
              <w:t>81,948,733</w:t>
            </w:r>
          </w:p>
        </w:tc>
        <w:tc>
          <w:tcPr>
            <w:tcW w:w="1120" w:type="dxa"/>
            <w:vAlign w:val="bottom"/>
            <w:tcBorders>
              <w:bottom w:val="single" w:sz="8" w:color="D9E2F3"/>
            </w:tcBorders>
            <w:shd w:val="clear" w:color="auto" w:fill="D9E2F3"/>
          </w:tcPr>
          <w:p>
            <w:pPr>
              <w:spacing w:after="0"/>
              <w:rPr>
                <w:sz w:val="20"/>
                <w:szCs w:val="20"/>
                <w:color w:val="auto"/>
              </w:rPr>
            </w:pPr>
          </w:p>
        </w:tc>
        <w:tc>
          <w:tcPr>
            <w:tcW w:w="2740" w:type="dxa"/>
            <w:vAlign w:val="bottom"/>
            <w:tcBorders>
              <w:bottom w:val="single" w:sz="8" w:color="D9E2F3"/>
            </w:tcBorders>
            <w:shd w:val="clear" w:color="auto" w:fill="D9E2F3"/>
          </w:tcPr>
          <w:p>
            <w:pPr>
              <w:jc w:val="right"/>
              <w:ind w:right="270"/>
              <w:spacing w:after="0"/>
              <w:rPr>
                <w:sz w:val="20"/>
                <w:szCs w:val="20"/>
                <w:color w:val="auto"/>
              </w:rPr>
            </w:pPr>
            <w:r>
              <w:rPr>
                <w:rFonts w:ascii="Times New Roman" w:cs="Times New Roman" w:eastAsia="Times New Roman" w:hAnsi="Times New Roman"/>
                <w:sz w:val="18"/>
                <w:szCs w:val="18"/>
                <w:color w:val="auto"/>
              </w:rPr>
              <w:t>106,339</w:t>
            </w:r>
          </w:p>
        </w:tc>
        <w:tc>
          <w:tcPr>
            <w:tcW w:w="2400" w:type="dxa"/>
            <w:vAlign w:val="bottom"/>
            <w:tcBorders>
              <w:bottom w:val="single" w:sz="8" w:color="D9E2F3"/>
            </w:tcBorders>
            <w:shd w:val="clear" w:color="auto" w:fill="D9E2F3"/>
          </w:tcPr>
          <w:p>
            <w:pPr>
              <w:spacing w:after="0"/>
              <w:rPr>
                <w:sz w:val="20"/>
                <w:szCs w:val="20"/>
                <w:color w:val="auto"/>
              </w:rPr>
            </w:pPr>
          </w:p>
        </w:tc>
        <w:tc>
          <w:tcPr>
            <w:tcW w:w="2480" w:type="dxa"/>
            <w:vAlign w:val="bottom"/>
            <w:tcBorders>
              <w:bottom w:val="single" w:sz="8" w:color="D9E2F3"/>
            </w:tcBorders>
            <w:shd w:val="clear" w:color="auto" w:fill="D9E2F3"/>
          </w:tcPr>
          <w:p>
            <w:pPr>
              <w:jc w:val="right"/>
              <w:ind w:right="1570"/>
              <w:spacing w:after="0"/>
              <w:rPr>
                <w:sz w:val="20"/>
                <w:szCs w:val="20"/>
                <w:color w:val="auto"/>
              </w:rPr>
            </w:pPr>
            <w:r>
              <w:rPr>
                <w:rFonts w:ascii="Times New Roman" w:cs="Times New Roman" w:eastAsia="Times New Roman" w:hAnsi="Times New Roman"/>
                <w:sz w:val="18"/>
                <w:szCs w:val="18"/>
                <w:color w:val="auto"/>
              </w:rPr>
              <w:t>80,245</w:t>
            </w:r>
          </w:p>
        </w:tc>
      </w:tr>
      <w:tr>
        <w:trPr>
          <w:trHeight w:val="20"/>
        </w:trPr>
        <w:tc>
          <w:tcPr>
            <w:tcW w:w="1000" w:type="dxa"/>
            <w:vAlign w:val="bottom"/>
            <w:shd w:val="clear" w:color="auto" w:fill="4F81BD"/>
          </w:tcPr>
          <w:p>
            <w:pPr>
              <w:spacing w:after="0" w:line="20" w:lineRule="exact"/>
              <w:rPr>
                <w:sz w:val="1"/>
                <w:szCs w:val="1"/>
                <w:color w:val="auto"/>
              </w:rPr>
            </w:pPr>
          </w:p>
        </w:tc>
        <w:tc>
          <w:tcPr>
            <w:tcW w:w="1500" w:type="dxa"/>
            <w:vAlign w:val="bottom"/>
            <w:shd w:val="clear" w:color="auto" w:fill="4F81BD"/>
          </w:tcPr>
          <w:p>
            <w:pPr>
              <w:spacing w:after="0" w:line="20" w:lineRule="exact"/>
              <w:rPr>
                <w:sz w:val="1"/>
                <w:szCs w:val="1"/>
                <w:color w:val="auto"/>
              </w:rPr>
            </w:pPr>
          </w:p>
        </w:tc>
        <w:tc>
          <w:tcPr>
            <w:tcW w:w="1120" w:type="dxa"/>
            <w:vAlign w:val="bottom"/>
            <w:shd w:val="clear" w:color="auto" w:fill="4F81BD"/>
          </w:tcPr>
          <w:p>
            <w:pPr>
              <w:spacing w:after="0" w:line="20" w:lineRule="exact"/>
              <w:rPr>
                <w:sz w:val="1"/>
                <w:szCs w:val="1"/>
                <w:color w:val="auto"/>
              </w:rPr>
            </w:pPr>
          </w:p>
        </w:tc>
        <w:tc>
          <w:tcPr>
            <w:tcW w:w="2740" w:type="dxa"/>
            <w:vAlign w:val="bottom"/>
            <w:shd w:val="clear" w:color="auto" w:fill="4F81BD"/>
          </w:tcPr>
          <w:p>
            <w:pPr>
              <w:spacing w:after="0" w:line="20" w:lineRule="exact"/>
              <w:rPr>
                <w:sz w:val="1"/>
                <w:szCs w:val="1"/>
                <w:color w:val="auto"/>
              </w:rPr>
            </w:pPr>
          </w:p>
        </w:tc>
        <w:tc>
          <w:tcPr>
            <w:tcW w:w="2400" w:type="dxa"/>
            <w:vAlign w:val="bottom"/>
            <w:shd w:val="clear" w:color="auto" w:fill="4F81BD"/>
          </w:tcPr>
          <w:p>
            <w:pPr>
              <w:spacing w:after="0" w:line="20" w:lineRule="exact"/>
              <w:rPr>
                <w:sz w:val="1"/>
                <w:szCs w:val="1"/>
                <w:color w:val="auto"/>
              </w:rPr>
            </w:pPr>
          </w:p>
        </w:tc>
        <w:tc>
          <w:tcPr>
            <w:tcW w:w="2480" w:type="dxa"/>
            <w:vAlign w:val="bottom"/>
            <w:shd w:val="clear" w:color="auto" w:fill="4F81BD"/>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In light of the results above and consistent with a determination of the Company’s Board of Directors, the Company will conduct an advisory vote on the compensation of its named executive officers every year until the next required shareholder vote on the frequency of such votes. The next required advisory vote on the frequency of future advisory votes on executive compensation will take place no later than the 2032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EASTMAN KODAK COMPANY</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/s/ Roger W.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-7620</wp:posOffset>
            </wp:positionV>
            <wp:extent cx="948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Roger W. Byrd</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General Counsel, Secretary and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13" w:right="1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2026-05-22T15:39:13Z</dcterms:created>
  <dcterms:modified xsi:type="dcterms:W3CDTF">2026-05-22T15:39:13Z</dcterms:modified>
</cp:coreProperties>
</file>