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kodk-20260331.htm"/>
        <w:bookmarkStart w:id="1" w:name="kskodk20260331"/>
        <w:bookmarkEnd w:id="0"/>
        <w:bookmarkEnd w:id="1"/>
        <w:r>
          <w:rPr>
            <w:rStyle w:val="InternetLink"/>
            <w:rFonts w:ascii="sans-serif" w:hAnsi="sans-serif"/>
            <w:b/>
            <w:color w:val="0000FF"/>
            <w:sz w:val="20"/>
            <w:u w:val="single"/>
          </w:rPr>
          <w:t>Table of Contents</w:t>
        </w:r>
      </w:hyperlink>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center"/>
        <w:rPr>
          <w:rFonts w:ascii="sans-serif" w:hAnsi="sans-serif"/>
          <w:b/>
          <w:color w:val="000000"/>
          <w:sz w:val="36"/>
        </w:rPr>
      </w:pPr>
      <w:r>
        <w:rPr>
          <w:rFonts w:ascii="sans-serif" w:hAnsi="sans-serif"/>
          <w:b/>
          <w:color w:val="000000"/>
          <w:sz w:val="36"/>
        </w:rPr>
        <w:t>UNITED STATES</w:t>
      </w:r>
    </w:p>
    <w:p>
      <w:pPr>
        <w:pStyle w:val="TextBody"/>
        <w:bidi w:val="0"/>
        <w:jc w:val="center"/>
        <w:rPr>
          <w:rFonts w:ascii="sans-serif" w:hAnsi="sans-serif"/>
          <w:b/>
          <w:color w:val="000000"/>
          <w:sz w:val="36"/>
        </w:rPr>
      </w:pPr>
      <w:r>
        <w:rPr>
          <w:rFonts w:ascii="sans-serif" w:hAnsi="sans-serif"/>
          <w:b/>
          <w:color w:val="000000"/>
          <w:sz w:val="36"/>
        </w:rPr>
        <w:t>SECURITIES AND EXCHANGE COMMISSION</w:t>
      </w:r>
    </w:p>
    <w:p>
      <w:pPr>
        <w:pStyle w:val="TextBody"/>
        <w:bidi w:val="0"/>
        <w:jc w:val="center"/>
        <w:rPr>
          <w:rFonts w:ascii="sans-serif" w:hAnsi="sans-serif"/>
          <w:b/>
          <w:color w:val="000000"/>
          <w:sz w:val="24"/>
        </w:rPr>
      </w:pPr>
      <w:r>
        <w:rPr>
          <w:rFonts w:ascii="sans-serif" w:hAnsi="sans-serif"/>
          <w:b/>
          <w:color w:val="000000"/>
          <w:sz w:val="24"/>
        </w:rPr>
        <w:t>Washington, D.C. 20549</w:t>
      </w:r>
    </w:p>
    <w:p>
      <w:pPr>
        <w:pStyle w:val="TextBody"/>
        <w:pBdr>
          <w:bottom w:val="single" w:sz="6" w:space="1" w:color="000000"/>
        </w:pBdr>
        <w:bidi w:val="0"/>
        <w:jc w:val="center"/>
        <w:rPr/>
      </w:pPr>
      <w:r>
        <w:rPr/>
        <w:t> </w:t>
      </w:r>
    </w:p>
    <w:p>
      <w:pPr>
        <w:pStyle w:val="TextBody"/>
        <w:bidi w:val="0"/>
        <w:spacing w:before="120" w:after="120"/>
        <w:jc w:val="center"/>
        <w:rPr>
          <w:rFonts w:ascii="sans-serif" w:hAnsi="sans-serif"/>
          <w:b/>
          <w:color w:val="000000"/>
          <w:sz w:val="36"/>
        </w:rPr>
      </w:pPr>
      <w:r>
        <w:rPr>
          <w:rFonts w:ascii="sans-serif" w:hAnsi="sans-serif"/>
          <w:b/>
          <w:color w:val="000000"/>
          <w:sz w:val="36"/>
        </w:rPr>
        <w:t>FORM 10-Q</w:t>
      </w:r>
    </w:p>
    <w:p>
      <w:pPr>
        <w:pStyle w:val="TextBody"/>
        <w:pBdr>
          <w:top w:val="single" w:sz="6" w:space="1" w:color="000000"/>
        </w:pBdr>
        <w:bidi w:val="0"/>
        <w:jc w:val="center"/>
        <w:rPr/>
      </w:pPr>
      <w:r>
        <w:rPr/>
        <w:t> </w:t>
      </w:r>
    </w:p>
    <w:tbl>
      <w:tblPr>
        <w:tblW w:w="10127" w:type="dxa"/>
        <w:jc w:val="left"/>
        <w:tblInd w:w="0" w:type="dxa"/>
        <w:tblLayout w:type="fixed"/>
        <w:tblCellMar>
          <w:top w:w="28" w:type="dxa"/>
          <w:left w:w="28" w:type="dxa"/>
          <w:bottom w:w="28" w:type="dxa"/>
          <w:right w:w="28" w:type="dxa"/>
        </w:tblCellMar>
      </w:tblPr>
      <w:tblGrid>
        <w:gridCol w:w="331"/>
        <w:gridCol w:w="9796"/>
      </w:tblGrid>
      <w:tr>
        <w:trPr/>
        <w:tc>
          <w:tcPr>
            <w:tcW w:w="331" w:type="dxa"/>
            <w:tcBorders/>
            <w:vAlign w:val="center"/>
          </w:tcPr>
          <w:p>
            <w:pPr>
              <w:pStyle w:val="TableContents"/>
              <w:bidi w:val="0"/>
              <w:spacing w:before="0" w:after="283"/>
              <w:jc w:val="left"/>
              <w:rPr>
                <w:sz w:val="4"/>
                <w:szCs w:val="4"/>
              </w:rPr>
            </w:pPr>
            <w:r>
              <w:rPr>
                <w:sz w:val="4"/>
                <w:szCs w:val="4"/>
              </w:rPr>
            </w:r>
          </w:p>
        </w:tc>
        <w:tc>
          <w:tcPr>
            <w:tcW w:w="97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Quarterly report pursuant to Section</w:t>
            </w:r>
            <w:r>
              <w:rPr>
                <w:rFonts w:ascii="Times New Roman" w:hAnsi="Times New Roman"/>
                <w:color w:val="000000"/>
                <w:sz w:val="20"/>
              </w:rPr>
              <w:t xml:space="preserve"> </w:t>
            </w:r>
            <w:r>
              <w:rPr>
                <w:rFonts w:ascii="sans-serif" w:hAnsi="sans-serif"/>
                <w:b/>
                <w:color w:val="000000"/>
                <w:sz w:val="20"/>
              </w:rPr>
              <w:t>13 or 15(d) of the Securities Exchange Act of 1934</w:t>
            </w:r>
          </w:p>
        </w:tc>
      </w:tr>
    </w:tbl>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For the quarterly period ended: March 31, 2026</w:t>
      </w:r>
    </w:p>
    <w:p>
      <w:pPr>
        <w:pStyle w:val="TextBody"/>
        <w:bidi w:val="0"/>
        <w:spacing w:before="120" w:after="283"/>
        <w:jc w:val="center"/>
        <w:rPr>
          <w:rFonts w:ascii="sans-serif" w:hAnsi="sans-serif"/>
          <w:b/>
          <w:color w:val="000000"/>
          <w:sz w:val="20"/>
        </w:rPr>
      </w:pPr>
      <w:r>
        <w:rPr>
          <w:rFonts w:ascii="sans-serif" w:hAnsi="sans-serif"/>
          <w:b/>
          <w:color w:val="000000"/>
          <w:sz w:val="20"/>
        </w:rPr>
        <w:t>or</w:t>
      </w:r>
    </w:p>
    <w:p>
      <w:pPr>
        <w:pStyle w:val="TextBody"/>
        <w:bidi w:val="0"/>
        <w:jc w:val="center"/>
        <w:rPr/>
      </w:pPr>
      <w:r>
        <w:rPr/>
        <w:t> </w:t>
      </w:r>
    </w:p>
    <w:tbl>
      <w:tblPr>
        <w:tblW w:w="10202" w:type="dxa"/>
        <w:jc w:val="left"/>
        <w:tblInd w:w="0" w:type="dxa"/>
        <w:tblLayout w:type="fixed"/>
        <w:tblCellMar>
          <w:top w:w="28" w:type="dxa"/>
          <w:left w:w="28" w:type="dxa"/>
          <w:bottom w:w="28" w:type="dxa"/>
          <w:right w:w="28" w:type="dxa"/>
        </w:tblCellMar>
      </w:tblPr>
      <w:tblGrid>
        <w:gridCol w:w="331"/>
        <w:gridCol w:w="9871"/>
      </w:tblGrid>
      <w:tr>
        <w:trPr/>
        <w:tc>
          <w:tcPr>
            <w:tcW w:w="331" w:type="dxa"/>
            <w:tcBorders/>
            <w:vAlign w:val="center"/>
          </w:tcPr>
          <w:p>
            <w:pPr>
              <w:pStyle w:val="TableContents"/>
              <w:bidi w:val="0"/>
              <w:spacing w:before="0" w:after="283"/>
              <w:jc w:val="left"/>
              <w:rPr>
                <w:sz w:val="4"/>
                <w:szCs w:val="4"/>
              </w:rPr>
            </w:pPr>
            <w:r>
              <w:rPr>
                <w:sz w:val="4"/>
                <w:szCs w:val="4"/>
              </w:rPr>
            </w:r>
          </w:p>
        </w:tc>
        <w:tc>
          <w:tcPr>
            <w:tcW w:w="98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Transition report pursuant to Section</w:t>
            </w:r>
            <w:r>
              <w:rPr>
                <w:rFonts w:ascii="Times New Roman" w:hAnsi="Times New Roman"/>
                <w:color w:val="000000"/>
                <w:sz w:val="20"/>
              </w:rPr>
              <w:t xml:space="preserve"> </w:t>
            </w:r>
            <w:r>
              <w:rPr>
                <w:rFonts w:ascii="sans-serif" w:hAnsi="sans-serif"/>
                <w:b/>
                <w:color w:val="000000"/>
                <w:sz w:val="20"/>
              </w:rPr>
              <w:t>13 or 15(d) of the Securities Exchange Act of 1934</w:t>
            </w:r>
          </w:p>
        </w:tc>
      </w:tr>
    </w:tbl>
    <w:p>
      <w:pPr>
        <w:pStyle w:val="TextBody"/>
        <w:bidi w:val="0"/>
        <w:spacing w:before="120" w:after="283"/>
        <w:jc w:val="center"/>
        <w:rPr>
          <w:rFonts w:ascii="Times New Roman" w:hAnsi="Times New Roman"/>
          <w:sz w:val="20"/>
        </w:rPr>
      </w:pPr>
      <w:r>
        <w:rPr>
          <w:rFonts w:ascii="sans-serif" w:hAnsi="sans-serif"/>
          <w:b/>
          <w:color w:val="000000"/>
          <w:sz w:val="20"/>
        </w:rPr>
        <w:t>For the transition period from</w:t>
      </w:r>
      <w:r>
        <w:rPr>
          <w:rFonts w:ascii="Times New Roman" w:hAnsi="Times New Roman"/>
          <w:color w:val="000000"/>
          <w:sz w:val="20"/>
          <w:u w:val="single"/>
        </w:rPr>
        <w:t xml:space="preserve"> </w:t>
      </w:r>
      <w:r>
        <w:rPr>
          <w:rFonts w:ascii="sans-serif" w:hAnsi="sans-serif"/>
          <w:b/>
          <w:color w:val="000000"/>
          <w:sz w:val="20"/>
        </w:rPr>
        <w:t>to</w:t>
      </w:r>
      <w:r>
        <w:rPr>
          <w:rFonts w:ascii="Times New Roman" w:hAnsi="Times New Roman"/>
          <w:color w:val="000000"/>
          <w:sz w:val="20"/>
        </w:rPr>
        <w:t xml:space="preserve"> </w:t>
      </w:r>
    </w:p>
    <w:p>
      <w:pPr>
        <w:pStyle w:val="TextBody"/>
        <w:bidi w:val="0"/>
        <w:spacing w:before="120" w:after="283"/>
        <w:jc w:val="center"/>
        <w:rPr>
          <w:rFonts w:ascii="sans-serif" w:hAnsi="sans-serif"/>
          <w:b/>
          <w:color w:val="000000"/>
          <w:sz w:val="20"/>
        </w:rPr>
      </w:pPr>
      <w:r>
        <w:rPr>
          <w:rFonts w:ascii="sans-serif" w:hAnsi="sans-serif"/>
          <w:b/>
          <w:color w:val="000000"/>
          <w:sz w:val="20"/>
        </w:rPr>
        <w:t>Commission File Number</w:t>
      </w:r>
    </w:p>
    <w:p>
      <w:pPr>
        <w:pStyle w:val="TextBody"/>
        <w:bidi w:val="0"/>
        <w:jc w:val="center"/>
        <w:rPr>
          <w:rFonts w:ascii="sans-serif" w:hAnsi="sans-serif"/>
          <w:b/>
          <w:color w:val="000000"/>
          <w:sz w:val="20"/>
        </w:rPr>
      </w:pPr>
      <w:r>
        <w:rPr>
          <w:rFonts w:ascii="sans-serif" w:hAnsi="sans-serif"/>
          <w:b/>
          <w:color w:val="000000"/>
          <w:sz w:val="20"/>
        </w:rPr>
        <w:t>1-00087</w:t>
      </w:r>
    </w:p>
    <w:p>
      <w:pPr>
        <w:pStyle w:val="TextBody"/>
        <w:pBdr>
          <w:bottom w:val="single" w:sz="6" w:space="1" w:color="000000"/>
        </w:pBdr>
        <w:bidi w:val="0"/>
        <w:jc w:val="center"/>
        <w:rPr/>
      </w:pPr>
      <w:r>
        <w:rPr/>
        <w:t> </w:t>
      </w:r>
    </w:p>
    <w:p>
      <w:pPr>
        <w:pStyle w:val="TextBody"/>
        <w:bidi w:val="0"/>
        <w:spacing w:before="120" w:after="283"/>
        <w:jc w:val="center"/>
        <w:rPr>
          <w:rFonts w:ascii="sans-serif" w:hAnsi="sans-serif"/>
          <w:b/>
          <w:color w:val="000000"/>
          <w:sz w:val="40"/>
        </w:rPr>
      </w:pPr>
      <w:r>
        <w:rPr>
          <w:rFonts w:ascii="sans-serif" w:hAnsi="sans-serif"/>
          <w:b/>
          <w:color w:val="000000"/>
          <w:sz w:val="40"/>
        </w:rPr>
        <w:t>EASTMAN KODAK COMPANY</w:t>
      </w:r>
    </w:p>
    <w:p>
      <w:pPr>
        <w:pStyle w:val="TextBody"/>
        <w:bidi w:val="0"/>
        <w:spacing w:before="0" w:after="120"/>
        <w:jc w:val="center"/>
        <w:rPr>
          <w:rFonts w:ascii="sans-serif" w:hAnsi="sans-serif"/>
          <w:b/>
          <w:color w:val="000000"/>
          <w:sz w:val="18"/>
        </w:rPr>
      </w:pPr>
      <w:r>
        <w:rPr>
          <w:rFonts w:ascii="sans-serif" w:hAnsi="sans-serif"/>
          <w:b/>
          <w:color w:val="000000"/>
          <w:sz w:val="18"/>
        </w:rPr>
        <w:t>(Exact name of Registrant as specified in its charter)</w:t>
      </w:r>
    </w:p>
    <w:p>
      <w:pPr>
        <w:pStyle w:val="TextBody"/>
        <w:pBdr>
          <w:top w:val="single" w:sz="6" w:space="1" w:color="000000"/>
        </w:pBdr>
        <w:bidi w:val="0"/>
        <w:jc w:val="center"/>
        <w:rPr/>
      </w:pPr>
      <w:r>
        <w:rPr/>
        <w:t> </w:t>
      </w:r>
    </w:p>
    <w:p>
      <w:pPr>
        <w:pStyle w:val="TextBody"/>
        <w:bidi w:val="0"/>
        <w:jc w:val="left"/>
        <w:rPr/>
      </w:pPr>
      <w:r>
        <w:rPr/>
        <w:t> </w:t>
      </w:r>
    </w:p>
    <w:tbl>
      <w:tblPr>
        <w:tblW w:w="8612" w:type="dxa"/>
        <w:jc w:val="left"/>
        <w:tblInd w:w="0" w:type="dxa"/>
        <w:tblLayout w:type="fixed"/>
        <w:tblCellMar>
          <w:top w:w="28" w:type="dxa"/>
          <w:left w:w="28" w:type="dxa"/>
          <w:bottom w:w="28" w:type="dxa"/>
          <w:right w:w="28" w:type="dxa"/>
        </w:tblCellMar>
      </w:tblPr>
      <w:tblGrid>
        <w:gridCol w:w="5476"/>
        <w:gridCol w:w="3136"/>
      </w:tblGrid>
      <w:tr>
        <w:trPr/>
        <w:tc>
          <w:tcPr>
            <w:tcW w:w="547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b/>
                <w:caps/>
                <w:color w:val="000000"/>
                <w:sz w:val="18"/>
              </w:rPr>
            </w:pPr>
            <w:r>
              <w:rPr>
                <w:rFonts w:ascii="sans-serif" w:hAnsi="sans-serif"/>
                <w:b/>
                <w:caps/>
                <w:color w:val="000000"/>
                <w:sz w:val="18"/>
              </w:rPr>
              <w:t>New Jersey</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16-0417150</w:t>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(State or other jurisdiction of incorporation or organization)</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(IRS Employer Identification No.)</w:t>
            </w:r>
          </w:p>
        </w:tc>
      </w:tr>
      <w:tr>
        <w:trPr/>
        <w:tc>
          <w:tcPr>
            <w:tcW w:w="5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18"/>
              </w:rPr>
              <w:t xml:space="preserve">343 STATE STREET, ROCHESTER, </w:t>
            </w:r>
            <w:r>
              <w:rPr>
                <w:rFonts w:ascii="sans-serif" w:hAnsi="sans-serif"/>
                <w:b/>
                <w:caps/>
                <w:color w:val="000000"/>
                <w:sz w:val="18"/>
              </w:rPr>
              <w:t>New York</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14650</w:t>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(Address of principal executive offices)</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(Zip Code)</w:t>
            </w:r>
          </w:p>
        </w:tc>
      </w:tr>
    </w:tbl>
    <w:p>
      <w:pPr>
        <w:pStyle w:val="TextBody"/>
        <w:bidi w:val="0"/>
        <w:jc w:val="left"/>
        <w:rPr/>
      </w:pPr>
      <w:r>
        <w:rPr/>
        <w:t> </w:t>
      </w:r>
    </w:p>
    <w:p>
      <w:pPr>
        <w:pStyle w:val="TextBody"/>
        <w:bidi w:val="0"/>
        <w:jc w:val="center"/>
        <w:rPr>
          <w:rFonts w:ascii="sans-serif" w:hAnsi="sans-serif"/>
          <w:b/>
          <w:color w:val="000000"/>
          <w:sz w:val="18"/>
        </w:rPr>
      </w:pPr>
      <w:r>
        <w:rPr>
          <w:rFonts w:ascii="sans-serif" w:hAnsi="sans-serif"/>
          <w:b/>
          <w:color w:val="000000"/>
          <w:sz w:val="18"/>
        </w:rPr>
        <w:t>(800) 356-3259</w:t>
      </w:r>
    </w:p>
    <w:p>
      <w:pPr>
        <w:pStyle w:val="TextBody"/>
        <w:bidi w:val="0"/>
        <w:spacing w:before="0" w:after="120"/>
        <w:jc w:val="center"/>
        <w:rPr>
          <w:rFonts w:ascii="sans-serif" w:hAnsi="sans-serif"/>
          <w:b/>
          <w:color w:val="000000"/>
          <w:sz w:val="18"/>
        </w:rPr>
      </w:pPr>
      <w:r>
        <w:rPr>
          <w:rFonts w:ascii="sans-serif" w:hAnsi="sans-serif"/>
          <w:b/>
          <w:color w:val="000000"/>
          <w:sz w:val="18"/>
        </w:rPr>
        <w:t>(Registrant’s telephone number, including area code)</w:t>
      </w:r>
    </w:p>
    <w:p>
      <w:pPr>
        <w:pStyle w:val="TextBody"/>
        <w:pBdr>
          <w:top w:val="single" w:sz="6" w:space="1" w:color="000000"/>
        </w:pBdr>
        <w:bidi w:val="0"/>
        <w:jc w:val="center"/>
        <w:rPr/>
      </w:pPr>
      <w:r>
        <w:rPr/>
        <w:t> </w:t>
      </w:r>
    </w:p>
    <w:p>
      <w:pPr>
        <w:pStyle w:val="TextBody"/>
        <w:bidi w:val="0"/>
        <w:jc w:val="left"/>
        <w:rPr>
          <w:rFonts w:ascii="sans-serif" w:hAnsi="sans-serif"/>
          <w:color w:val="000000"/>
          <w:sz w:val="18"/>
        </w:rPr>
      </w:pPr>
      <w:r>
        <w:rPr>
          <w:rFonts w:ascii="sans-serif" w:hAnsi="sans-serif"/>
          <w:color w:val="000000"/>
          <w:sz w:val="18"/>
        </w:rPr>
        <w:t>Securities registered pursuant to Section 12(b) of the Act: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72"/>
        <w:gridCol w:w="146"/>
        <w:gridCol w:w="1884"/>
        <w:gridCol w:w="146"/>
        <w:gridCol w:w="4357"/>
      </w:tblGrid>
      <w:tr>
        <w:trPr/>
        <w:tc>
          <w:tcPr>
            <w:tcW w:w="3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r>
      <w:tr>
        <w:trPr/>
        <w:tc>
          <w:tcPr>
            <w:tcW w:w="36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Title of each class Common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35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Name of each exchange on which registered</w:t>
            </w:r>
          </w:p>
        </w:tc>
      </w:tr>
      <w:tr>
        <w:trPr/>
        <w:tc>
          <w:tcPr>
            <w:tcW w:w="367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KODK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5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New York Stock Exchange</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sans-serif" w:hAnsi="sans-serif"/>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sans-serif" w:hAnsi="sans-serif"/>
          <w:color w:val="000000"/>
          <w:sz w:val="18"/>
        </w:rPr>
      </w:pPr>
      <w:r>
        <w:rPr>
          <w:rFonts w:ascii="sans-serif" w:hAnsi="sans-serif"/>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6196" w:type="dxa"/>
        <w:jc w:val="left"/>
        <w:tblInd w:w="0" w:type="dxa"/>
        <w:tblLayout w:type="fixed"/>
        <w:tblCellMar>
          <w:top w:w="28" w:type="dxa"/>
          <w:left w:w="28" w:type="dxa"/>
          <w:bottom w:w="28" w:type="dxa"/>
          <w:right w:w="28" w:type="dxa"/>
        </w:tblCellMar>
      </w:tblPr>
      <w:tblGrid>
        <w:gridCol w:w="2611"/>
        <w:gridCol w:w="109"/>
        <w:gridCol w:w="316"/>
        <w:gridCol w:w="109"/>
        <w:gridCol w:w="2581"/>
        <w:gridCol w:w="316"/>
        <w:gridCol w:w="154"/>
      </w:tblGrid>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sans-serif" w:hAnsi="sans-serif"/>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bookmarkStart w:id="2" w:name="led293237f20229181666119829149"/>
      <w:bookmarkEnd w:id="2"/>
      <w:r>
        <w:rPr>
          <w:rFonts w:ascii="sans-serif" w:hAnsi="sans-serif"/>
          <w:color w:val="000000"/>
          <w:sz w:val="18"/>
        </w:rPr>
        <w:t>As of May 1, 2026, the Registrant had 97.6</w:t>
      </w:r>
      <w:r>
        <w:rPr>
          <w:rFonts w:ascii="Times New Roman" w:hAnsi="Times New Roman"/>
          <w:color w:val="000000"/>
          <w:sz w:val="20"/>
        </w:rPr>
        <w:t xml:space="preserve"> </w:t>
      </w:r>
      <w:r>
        <w:rPr>
          <w:rFonts w:ascii="sans-serif" w:hAnsi="sans-serif"/>
          <w:color w:val="000000"/>
          <w:sz w:val="18"/>
        </w:rPr>
        <w:t>million shares of common stock, par value $0.01 per share,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EASTMAN KODAK COMPANY</w:t>
      </w:r>
    </w:p>
    <w:p>
      <w:pPr>
        <w:pStyle w:val="TextBody"/>
        <w:bidi w:val="0"/>
        <w:jc w:val="center"/>
        <w:rPr>
          <w:rFonts w:ascii="sans-serif" w:hAnsi="sans-serif"/>
          <w:b/>
          <w:color w:val="000000"/>
          <w:sz w:val="20"/>
        </w:rPr>
      </w:pPr>
      <w:r>
        <w:rPr>
          <w:rFonts w:ascii="sans-serif" w:hAnsi="sans-serif"/>
          <w:b/>
          <w:color w:val="000000"/>
          <w:sz w:val="20"/>
        </w:rPr>
        <w:t>Form 10-Q</w:t>
      </w:r>
    </w:p>
    <w:p>
      <w:pPr>
        <w:pStyle w:val="TextBody"/>
        <w:bidi w:val="0"/>
        <w:spacing w:before="200" w:after="283"/>
        <w:jc w:val="center"/>
        <w:rPr>
          <w:rFonts w:ascii="sans-serif" w:hAnsi="sans-serif"/>
          <w:b/>
          <w:color w:val="000000"/>
          <w:sz w:val="20"/>
        </w:rPr>
      </w:pPr>
      <w:r>
        <w:rPr>
          <w:rFonts w:ascii="sans-serif" w:hAnsi="sans-serif"/>
          <w:b/>
          <w:color w:val="000000"/>
          <w:sz w:val="20"/>
        </w:rPr>
        <w:t>March 31, 2026</w:t>
      </w:r>
    </w:p>
    <w:p>
      <w:pPr>
        <w:pStyle w:val="TextBody"/>
        <w:bidi w:val="0"/>
        <w:spacing w:before="200" w:after="283"/>
        <w:jc w:val="center"/>
        <w:rPr>
          <w:rFonts w:ascii="sans-serif" w:hAnsi="sans-serif"/>
          <w:b/>
          <w:color w:val="000000"/>
          <w:sz w:val="20"/>
        </w:rPr>
      </w:pPr>
      <w:bookmarkStart w:id="3" w:name="toc_page"/>
      <w:bookmarkEnd w:id="3"/>
      <w:r>
        <w:rPr>
          <w:rFonts w:ascii="sans-serif" w:hAnsi="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37"/>
        <w:gridCol w:w="8561"/>
        <w:gridCol w:w="707"/>
      </w:tblGrid>
      <w:tr>
        <w:trPr/>
        <w:tc>
          <w:tcPr>
            <w:tcW w:w="937" w:type="dxa"/>
            <w:tcBorders/>
            <w:vAlign w:val="center"/>
          </w:tcPr>
          <w:p>
            <w:pPr>
              <w:pStyle w:val="TableContents"/>
              <w:bidi w:val="0"/>
              <w:spacing w:before="0" w:after="283"/>
              <w:jc w:val="left"/>
              <w:rPr>
                <w:sz w:val="4"/>
                <w:szCs w:val="4"/>
              </w:rPr>
            </w:pPr>
            <w:r>
              <w:rPr>
                <w:sz w:val="4"/>
                <w:szCs w:val="4"/>
              </w:rPr>
            </w:r>
          </w:p>
        </w:tc>
        <w:tc>
          <w:tcPr>
            <w:tcW w:w="856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Page</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center"/>
              <w:rPr/>
            </w:pPr>
            <w:hyperlink w:anchor="part1">
              <w:r>
                <w:rPr>
                  <w:rStyle w:val="InternetLink"/>
                  <w:rFonts w:ascii="sans-serif" w:hAnsi="sans-serif"/>
                  <w:b/>
                  <w:color w:val="0000EE"/>
                  <w:sz w:val="20"/>
                  <w:u w:val="single"/>
                </w:rPr>
                <w:t>Part I.</w:t>
              </w:r>
            </w:hyperlink>
            <w:hyperlink w:anchor="part1">
              <w:r>
                <w:rPr>
                  <w:rStyle w:val="InternetLink"/>
                  <w:rFonts w:ascii="Times New Roman" w:hAnsi="Times New Roman"/>
                  <w:color w:val="0000EE"/>
                  <w:sz w:val="20"/>
                  <w:u w:val="single"/>
                </w:rPr>
                <w:t>—</w:t>
              </w:r>
            </w:hyperlink>
            <w:hyperlink w:anchor="part1">
              <w:r>
                <w:rPr>
                  <w:rStyle w:val="InternetLink"/>
                  <w:rFonts w:ascii="sans-serif" w:hAnsi="sans-serif"/>
                  <w:b/>
                  <w:color w:val="0000EE"/>
                  <w:sz w:val="20"/>
                  <w:u w:val="single"/>
                </w:rPr>
                <w:t>Financial Information</w:t>
              </w:r>
            </w:hyperlink>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fs">
              <w:r>
                <w:rPr>
                  <w:rStyle w:val="InternetLink"/>
                  <w:rFonts w:ascii="sans-serif" w:hAnsi="sans-serif"/>
                  <w:color w:val="0000EE"/>
                  <w:sz w:val="20"/>
                  <w:u w:val="single"/>
                </w:rPr>
                <w:t>Financial Statements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sans-serif" w:hAnsi="sans-serif"/>
                  <w:color w:val="0000FF"/>
                  <w:sz w:val="20"/>
                  <w:u w:val="single"/>
                </w:rPr>
                <w:t>Consolidated Statement of Operations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comprehensive_income">
              <w:r>
                <w:rPr>
                  <w:rStyle w:val="InternetLink"/>
                  <w:rFonts w:ascii="sans-serif" w:hAnsi="sans-serif"/>
                  <w:color w:val="0000FF"/>
                  <w:sz w:val="20"/>
                  <w:u w:val="single"/>
                </w:rPr>
                <w:t>Consolidated Statement of Comprehensive Loss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financial_position">
              <w:r>
                <w:rPr>
                  <w:rStyle w:val="InternetLink"/>
                  <w:rFonts w:ascii="sans-serif" w:hAnsi="sans-serif"/>
                  <w:color w:val="0000FF"/>
                  <w:sz w:val="20"/>
                  <w:u w:val="single"/>
                </w:rPr>
                <w:t>Consolidated Statement of Financial Position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sans-serif" w:hAnsi="sans-serif"/>
                  <w:color w:val="0000FF"/>
                  <w:sz w:val="20"/>
                  <w:u w:val="single"/>
                </w:rPr>
                <w:t>Consolidated Statement of Cash Flows (Unaudited)</w:t>
              </w:r>
            </w:hyperlink>
            <w:hyperlink w:anchor="cash_flows">
              <w:r>
                <w:rPr>
                  <w:rStyle w:val="InternetLink"/>
                  <w:rFonts w:ascii="Times New Roman" w:hAnsi="Times New Roman"/>
                  <w:color w:val="0000FF"/>
                  <w:sz w:val="20"/>
                </w:rPr>
                <w:t xml:space="preserve"> </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5</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sans-serif" w:hAnsi="sans-serif"/>
                  <w:color w:val="0000FF"/>
                  <w:sz w:val="20"/>
                  <w:u w:val="single"/>
                </w:rPr>
                <w:t>Consolidated Statement of Equity (Deficit)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6</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sans-serif" w:hAnsi="sans-serif"/>
                  <w:color w:val="0000FF"/>
                  <w:sz w:val="20"/>
                  <w:u w:val="single"/>
                </w:rPr>
                <w:t>Notes to Financial Statements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7</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sans-serif" w:hAnsi="sans-serif"/>
                  <w:color w:val="0000EE"/>
                  <w:sz w:val="20"/>
                  <w:u w:val="single"/>
                </w:rPr>
                <w:t>Management’s Discussion and Analysis of Financial Condition and Results of Operations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25</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liquid">
              <w:r>
                <w:rPr>
                  <w:rStyle w:val="InternetLink"/>
                  <w:rFonts w:ascii="sans-serif" w:hAnsi="sans-serif"/>
                  <w:color w:val="0000EE"/>
                  <w:sz w:val="20"/>
                  <w:u w:val="single"/>
                </w:rPr>
                <w:t>Liquidity and Capital Resources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32</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qqd1">
              <w:r>
                <w:rPr>
                  <w:rStyle w:val="InternetLink"/>
                  <w:rFonts w:ascii="sans-serif" w:hAnsi="sans-serif"/>
                  <w:color w:val="0000FF"/>
                  <w:sz w:val="20"/>
                  <w:u w:val="single"/>
                </w:rPr>
                <w:t>Quantitative and Qualitative Disclosures About Market Risk</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36</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controls">
              <w:r>
                <w:rPr>
                  <w:rStyle w:val="InternetLink"/>
                  <w:rFonts w:ascii="sans-serif" w:hAnsi="sans-serif"/>
                  <w:color w:val="0000EE"/>
                  <w:sz w:val="20"/>
                  <w:u w:val="single"/>
                </w:rPr>
                <w:t>Controls and Procedures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36</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sans-serif" w:hAnsi="sans-serif"/>
                  <w:b/>
                  <w:color w:val="0000FF"/>
                  <w:sz w:val="20"/>
                  <w:u w:val="single"/>
                </w:rPr>
                <w:t xml:space="preserve">Part II. </w:t>
              </w:r>
            </w:hyperlink>
            <w:hyperlink w:anchor="part_ii_other_information">
              <w:r>
                <w:rPr>
                  <w:rStyle w:val="InternetLink"/>
                  <w:rFonts w:ascii="Times New Roman" w:hAnsi="Times New Roman"/>
                  <w:color w:val="0000FF"/>
                  <w:sz w:val="20"/>
                  <w:u w:val="single"/>
                </w:rPr>
                <w:t>—</w:t>
              </w:r>
            </w:hyperlink>
            <w:hyperlink w:anchor="part_ii_other_information">
              <w:r>
                <w:rPr>
                  <w:rStyle w:val="InternetLink"/>
                  <w:rFonts w:ascii="sans-serif" w:hAnsi="sans-serif"/>
                  <w:b/>
                  <w:color w:val="0000FF"/>
                  <w:sz w:val="20"/>
                  <w:u w:val="single"/>
                </w:rPr>
                <w:t>Other Information</w:t>
              </w:r>
            </w:hyperlink>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sans-serif" w:hAnsi="sans-serif"/>
                  <w:color w:val="0000FF"/>
                  <w:sz w:val="20"/>
                  <w:u w:val="single"/>
                </w:rPr>
                <w:t>Legal Proceedings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37</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1A.</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sans-serif" w:hAnsi="sans-serif"/>
                  <w:color w:val="0000FF"/>
                  <w:sz w:val="20"/>
                  <w:u w:val="single"/>
                </w:rPr>
                <w:t>Risk Factors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37</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item2unregistered">
              <w:r>
                <w:rPr>
                  <w:rStyle w:val="InternetLink"/>
                  <w:rFonts w:ascii="sans-serif" w:hAnsi="sans-serif"/>
                  <w:color w:val="0000EE"/>
                  <w:sz w:val="20"/>
                  <w:u w:val="single"/>
                </w:rPr>
                <w:t>Unregistered Sales of Equity Securities and Use of Proceeds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37</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defaults_upon_senior_securities">
              <w:bookmarkStart w:id="4" w:name="default"/>
              <w:bookmarkEnd w:id="4"/>
              <w:r>
                <w:rPr>
                  <w:rStyle w:val="InternetLink"/>
                  <w:rFonts w:ascii="sans-serif" w:hAnsi="sans-serif"/>
                  <w:color w:val="0000FF"/>
                  <w:sz w:val="20"/>
                  <w:u w:val="single"/>
                </w:rPr>
                <w:t>Defaults Upon Senior Securities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37</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sans-serif" w:hAnsi="sans-serif"/>
                  <w:color w:val="0000FF"/>
                  <w:sz w:val="20"/>
                  <w:u w:val="single"/>
                </w:rPr>
                <w:t>Mine Safety Disclosures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37</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5.</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sans-serif" w:hAnsi="sans-serif"/>
                  <w:color w:val="0000FF"/>
                  <w:sz w:val="20"/>
                  <w:u w:val="single"/>
                </w:rPr>
                <w:t>Other Information</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37</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6.</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sans-serif" w:hAnsi="sans-serif"/>
                  <w:color w:val="0000EE"/>
                  <w:sz w:val="20"/>
                  <w:u w:val="single"/>
                </w:rPr>
                <w:t>Exhibits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38</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index_to_exhibits">
              <w:r>
                <w:rPr>
                  <w:rStyle w:val="InternetLink"/>
                  <w:rFonts w:ascii="sans-serif" w:hAnsi="sans-serif"/>
                  <w:color w:val="0000FF"/>
                  <w:sz w:val="20"/>
                  <w:u w:val="single"/>
                </w:rPr>
                <w:t>Index to Exhibits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38</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sans-serif" w:hAnsi="sans-serif"/>
                  <w:color w:val="0000FF"/>
                  <w:sz w:val="20"/>
                  <w:u w:val="single"/>
                </w:rPr>
                <w:t>Signatures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40</w:t>
            </w:r>
          </w:p>
        </w:tc>
      </w:tr>
    </w:tbl>
    <w:p>
      <w:pPr>
        <w:pStyle w:val="TextBody"/>
        <w:bidi w:val="0"/>
        <w:spacing w:before="240" w:after="283"/>
        <w:jc w:val="center"/>
        <w:rPr>
          <w:rFonts w:ascii="sans-serif" w:hAnsi="sans-serif"/>
          <w:color w:val="000000"/>
          <w:sz w:val="20"/>
        </w:rPr>
      </w:pPr>
      <w:r>
        <w:rPr>
          <w:rFonts w:ascii="sans-serif" w:hAnsi="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bookmarkStart w:id="5" w:name="part1"/>
      <w:bookmarkEnd w:id="5"/>
      <w:r>
        <w:rPr>
          <w:rFonts w:ascii="sans-serif" w:hAnsi="sans-serif"/>
          <w:b/>
          <w:color w:val="000000"/>
          <w:sz w:val="20"/>
        </w:rPr>
        <w:t>Part I. FINANCIAL INFORMATION</w:t>
      </w:r>
    </w:p>
    <w:p>
      <w:pPr>
        <w:pStyle w:val="TextBody"/>
        <w:bidi w:val="0"/>
        <w:jc w:val="left"/>
        <w:rPr>
          <w:rFonts w:ascii="Times New Roman" w:hAnsi="Times New Roman"/>
          <w:sz w:val="20"/>
        </w:rPr>
      </w:pPr>
      <w:bookmarkStart w:id="6" w:name="fs"/>
      <w:bookmarkEnd w:id="6"/>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1. Financial Statements</w:t>
      </w:r>
    </w:p>
    <w:p>
      <w:pPr>
        <w:pStyle w:val="TextBody"/>
        <w:bidi w:val="0"/>
        <w:spacing w:before="200" w:after="283"/>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7" w:name="statement_of_operations"/>
      <w:bookmarkEnd w:id="7"/>
      <w:r>
        <w:rPr>
          <w:rFonts w:ascii="sans-serif" w:hAnsi="sans-serif"/>
          <w:b/>
          <w:color w:val="000000"/>
          <w:sz w:val="20"/>
        </w:rPr>
        <w:t>CONSOLIDATED STATEMENT OF OPERATIONS (Unaudited)</w:t>
      </w:r>
    </w:p>
    <w:p>
      <w:pPr>
        <w:pStyle w:val="TextBody"/>
        <w:bidi w:val="0"/>
        <w:jc w:val="left"/>
        <w:rPr/>
      </w:pPr>
      <w:r>
        <w:rPr/>
        <w:t> </w:t>
      </w:r>
    </w:p>
    <w:tbl>
      <w:tblPr>
        <w:tblW w:w="9526" w:type="dxa"/>
        <w:jc w:val="left"/>
        <w:tblInd w:w="0" w:type="dxa"/>
        <w:tblLayout w:type="fixed"/>
        <w:tblCellMar>
          <w:top w:w="28" w:type="dxa"/>
          <w:left w:w="28" w:type="dxa"/>
          <w:bottom w:w="28" w:type="dxa"/>
          <w:right w:w="28" w:type="dxa"/>
        </w:tblCellMar>
      </w:tblPr>
      <w:tblGrid>
        <w:gridCol w:w="6721"/>
        <w:gridCol w:w="146"/>
        <w:gridCol w:w="270"/>
        <w:gridCol w:w="719"/>
        <w:gridCol w:w="216"/>
        <w:gridCol w:w="174"/>
        <w:gridCol w:w="270"/>
        <w:gridCol w:w="719"/>
        <w:gridCol w:w="29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Loss from operations before interest expense, pension</w:t>
              <w:br/>
              <w:t xml:space="preserve">    income excluding service cost component, loss on early </w:t>
              <w:br/>
              <w:t>    extinguishment of debt, other charges, net and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income excluding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on early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charges,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Loss from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Basic net loss per share attributable to Eastman Kodak Company </w:t>
              <w:br/>
              <w:t>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(0.21</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Diluted net loss per share attributable to Eastman Kodak Company </w:t>
              <w:br/>
              <w:t>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(0.21</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Number of common shares used in basic and diluted net loss per </w:t>
              <w:br/>
              <w:t>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8" w:name="comprehensive_income"/>
      <w:bookmarkEnd w:id="8"/>
      <w:r>
        <w:rPr>
          <w:rFonts w:ascii="sans-serif" w:hAnsi="sans-serif"/>
          <w:b/>
          <w:color w:val="000000"/>
          <w:sz w:val="20"/>
        </w:rPr>
        <w:t>CONSOLIDATED STATEMENT OF COMPREHENSIVE LOSS (Unaudited)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70"/>
        <w:gridCol w:w="146"/>
        <w:gridCol w:w="329"/>
        <w:gridCol w:w="613"/>
        <w:gridCol w:w="263"/>
        <w:gridCol w:w="212"/>
        <w:gridCol w:w="329"/>
        <w:gridCol w:w="613"/>
        <w:gridCol w:w="230"/>
      </w:tblGrid>
      <w:tr>
        <w:trPr/>
        <w:tc>
          <w:tcPr>
            <w:tcW w:w="7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7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and other postretirement benefit plan obligation activity,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9" w:name="financial_position"/>
      <w:bookmarkEnd w:id="9"/>
      <w:r>
        <w:rPr>
          <w:rFonts w:ascii="sans-serif" w:hAnsi="sans-serif"/>
          <w:b/>
          <w:color w:val="000000"/>
          <w:sz w:val="20"/>
        </w:rPr>
        <w:t>CONSOLIDATED STATEMENT OF FINANCIAL POSITION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72"/>
        <w:gridCol w:w="146"/>
        <w:gridCol w:w="286"/>
        <w:gridCol w:w="836"/>
        <w:gridCol w:w="181"/>
        <w:gridCol w:w="146"/>
        <w:gridCol w:w="392"/>
        <w:gridCol w:w="1153"/>
        <w:gridCol w:w="593"/>
      </w:tblGrid>
      <w:tr>
        <w:trPr/>
        <w:tc>
          <w:tcPr>
            <w:tcW w:w="6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Trade receivables, net of allowances of $7</w:t>
            </w:r>
            <w:r>
              <w:rPr>
                <w:rFonts w:ascii="Times New Roman" w:hAnsi="Times New Roman"/>
                <w:color w:val="000000"/>
                <w:sz w:val="20"/>
              </w:rPr>
              <w:t> </w:t>
            </w:r>
            <w:r>
              <w:rPr>
                <w:rFonts w:ascii="sans-serif" w:hAnsi="sans-serif"/>
                <w:color w:val="000000"/>
                <w:sz w:val="18"/>
              </w:rPr>
              <w:t>at both periods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Property, plant and equipment, net of accumulated depreciation of $502</w:t>
            </w:r>
            <w:r>
              <w:rPr>
                <w:rFonts w:ascii="Times New Roman" w:hAnsi="Times New Roman"/>
                <w:color w:val="000000"/>
                <w:sz w:val="20"/>
              </w:rPr>
              <w:t> </w:t>
            </w:r>
            <w:r>
              <w:rPr>
                <w:rFonts w:ascii="sans-serif" w:hAnsi="sans-serif"/>
                <w:color w:val="000000"/>
                <w:sz w:val="18"/>
              </w:rPr>
              <w:t>and $499,</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Pension and other postretirement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1,557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1,617</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LIABILITIES, REDEEMABLE CONVERTIBLE PREFERRED STOCK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Accounts payable,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Short-term borrowings and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portion of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Pension and other postretirement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Redeemable, convertible preferred stock, no</w:t>
            </w:r>
            <w:r>
              <w:rPr>
                <w:rFonts w:ascii="Times New Roman" w:hAnsi="Times New Roman"/>
                <w:color w:val="000000"/>
                <w:sz w:val="20"/>
              </w:rPr>
              <w:t> </w:t>
            </w:r>
            <w:r>
              <w:rPr>
                <w:rFonts w:ascii="sans-serif" w:hAnsi="sans-serif"/>
                <w:color w:val="000000"/>
                <w:sz w:val="18"/>
              </w:rPr>
              <w:t>par value, $100</w:t>
            </w:r>
            <w:r>
              <w:rPr>
                <w:rFonts w:ascii="Times New Roman" w:hAnsi="Times New Roman"/>
                <w:color w:val="000000"/>
                <w:sz w:val="20"/>
              </w:rPr>
              <w:t> </w:t>
            </w:r>
            <w:r>
              <w:rPr>
                <w:rFonts w:ascii="sans-serif" w:hAnsi="sans-serif"/>
                <w:color w:val="000000"/>
                <w:sz w:val="18"/>
              </w:rPr>
              <w:t>per share liquidation</w:t>
              <w:br/>
              <w:t>    preference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Common stock, $0.01</w:t>
            </w:r>
            <w:r>
              <w:rPr>
                <w:rFonts w:ascii="Times New Roman" w:hAnsi="Times New Roman"/>
                <w:color w:val="000000"/>
                <w:sz w:val="20"/>
              </w:rPr>
              <w:t> </w:t>
            </w:r>
            <w:r>
              <w:rPr>
                <w:rFonts w:ascii="sans-serif" w:hAnsi="sans-serif"/>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4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LIABILITIES, REDEEMABLE CONVERTIBLE PREFERRED STOCK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1,557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1,617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0" w:name="cash_flows"/>
      <w:bookmarkEnd w:id="10"/>
      <w:r>
        <w:rPr>
          <w:rFonts w:ascii="sans-serif" w:hAnsi="sans-serif"/>
          <w:b/>
          <w:color w:val="000000"/>
          <w:sz w:val="20"/>
        </w:rPr>
        <w:t>CONSOLIDATED STATEMENT OF CASH FLOWS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5"/>
        <w:gridCol w:w="146"/>
        <w:gridCol w:w="303"/>
        <w:gridCol w:w="625"/>
        <w:gridCol w:w="242"/>
        <w:gridCol w:w="195"/>
        <w:gridCol w:w="303"/>
        <w:gridCol w:w="625"/>
        <w:gridCol w:w="631"/>
      </w:tblGrid>
      <w:tr>
        <w:trPr/>
        <w:tc>
          <w:tcPr>
            <w:tcW w:w="7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Pension and postretirement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Change in fair value of preferred stock embedded derivative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Non-cash changes in workers' compensation and employee benefit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gain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Loss on early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Provision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(increase) in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decrease in miscellaneous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in 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 liabilities excluding borrowings and 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Additions to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sale of preferred equity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redemption of KRIP reversion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proceeds from the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Repayment of Amended and Restated Term Loan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Preferred stock cash dividend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399</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256</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u w:val="single"/>
              </w:rPr>
            </w:pPr>
            <w:r>
              <w:rPr>
                <w:rFonts w:ascii="sans-serif" w:hAnsi="sans-serif"/>
                <w:b/>
                <w:color w:val="000000"/>
                <w:sz w:val="20"/>
                <w:u w:val="single"/>
              </w:rPr>
              <w:t>Non-cash Financing Item: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Series B preferred stock embedded derivative liability at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1" w:name="equity"/>
      <w:bookmarkEnd w:id="11"/>
      <w:r>
        <w:rPr>
          <w:rFonts w:ascii="sans-serif" w:hAnsi="sans-serif"/>
          <w:b/>
          <w:color w:val="000000"/>
          <w:sz w:val="20"/>
        </w:rPr>
        <w:t>CONSOLIDATED STATEMENT OF EQUITY (DEFICIT) (Unaudited)</w:t>
      </w:r>
    </w:p>
    <w:p>
      <w:pPr>
        <w:pStyle w:val="TextBody"/>
        <w:bidi w:val="0"/>
        <w:jc w:val="left"/>
        <w:rPr/>
      </w:pPr>
      <w:r>
        <w:rPr/>
        <w:t> </w:t>
      </w:r>
    </w:p>
    <w:p>
      <w:pPr>
        <w:pStyle w:val="TextBody"/>
        <w:bidi w:val="0"/>
        <w:jc w:val="left"/>
        <w:rPr/>
      </w:pPr>
      <w:r>
        <w:rPr/>
        <w:t> </w:t>
      </w:r>
    </w:p>
    <w:tbl>
      <w:tblPr>
        <w:tblW w:w="11233" w:type="dxa"/>
        <w:jc w:val="left"/>
        <w:tblInd w:w="0" w:type="dxa"/>
        <w:tblLayout w:type="fixed"/>
        <w:tblCellMar>
          <w:top w:w="28" w:type="dxa"/>
          <w:left w:w="28" w:type="dxa"/>
          <w:bottom w:w="28" w:type="dxa"/>
          <w:right w:w="28" w:type="dxa"/>
        </w:tblCellMar>
      </w:tblPr>
      <w:tblGrid>
        <w:gridCol w:w="1676"/>
        <w:gridCol w:w="146"/>
        <w:gridCol w:w="326"/>
        <w:gridCol w:w="500"/>
        <w:gridCol w:w="146"/>
        <w:gridCol w:w="146"/>
        <w:gridCol w:w="249"/>
        <w:gridCol w:w="712"/>
        <w:gridCol w:w="181"/>
        <w:gridCol w:w="146"/>
        <w:gridCol w:w="353"/>
        <w:gridCol w:w="848"/>
        <w:gridCol w:w="181"/>
        <w:gridCol w:w="146"/>
        <w:gridCol w:w="415"/>
        <w:gridCol w:w="996"/>
        <w:gridCol w:w="181"/>
        <w:gridCol w:w="146"/>
        <w:gridCol w:w="304"/>
        <w:gridCol w:w="567"/>
        <w:gridCol w:w="181"/>
        <w:gridCol w:w="146"/>
        <w:gridCol w:w="226"/>
        <w:gridCol w:w="541"/>
        <w:gridCol w:w="181"/>
        <w:gridCol w:w="146"/>
        <w:gridCol w:w="340"/>
        <w:gridCol w:w="816"/>
        <w:gridCol w:w="291"/>
      </w:tblGrid>
      <w:tr>
        <w:trPr/>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Three-Month Period Ending 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Eastman Kodak Company Common Shareholders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Additional</w:t>
              <w:br/>
              <w:t>Paid in</w:t>
              <w:b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 xml:space="preserve">Accumulated </w:t>
              <w:b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Accumulated</w:t>
              <w:br/>
              <w:t>Other</w:t>
              <w:br/>
              <w:t xml:space="preserve">Comprehensive </w:t>
              <w:br/>
              <w:t>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Treasury</w:t>
              <w:b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Redeemable</w:t>
              <w:br/>
              <w:t>Convertible</w:t>
              <w:br/>
              <w:t>Preferred Stock</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 xml:space="preserve">Pension and other postretirement </w:t>
              <w:br/>
              <w:t>   liability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Extinguishment of 4.0% Series B preferred </w:t>
              <w:br/>
              <w:t>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Issuance of 6.0% 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deemed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1,280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(537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1713" w:type="dxa"/>
        <w:jc w:val="left"/>
        <w:tblInd w:w="0" w:type="dxa"/>
        <w:tblLayout w:type="fixed"/>
        <w:tblCellMar>
          <w:top w:w="28" w:type="dxa"/>
          <w:left w:w="28" w:type="dxa"/>
          <w:bottom w:w="28" w:type="dxa"/>
          <w:right w:w="28" w:type="dxa"/>
        </w:tblCellMar>
      </w:tblPr>
      <w:tblGrid>
        <w:gridCol w:w="1676"/>
        <w:gridCol w:w="146"/>
        <w:gridCol w:w="361"/>
        <w:gridCol w:w="555"/>
        <w:gridCol w:w="146"/>
        <w:gridCol w:w="146"/>
        <w:gridCol w:w="280"/>
        <w:gridCol w:w="801"/>
        <w:gridCol w:w="181"/>
        <w:gridCol w:w="146"/>
        <w:gridCol w:w="389"/>
        <w:gridCol w:w="932"/>
        <w:gridCol w:w="181"/>
        <w:gridCol w:w="146"/>
        <w:gridCol w:w="451"/>
        <w:gridCol w:w="1080"/>
        <w:gridCol w:w="181"/>
        <w:gridCol w:w="146"/>
        <w:gridCol w:w="319"/>
        <w:gridCol w:w="597"/>
        <w:gridCol w:w="181"/>
        <w:gridCol w:w="146"/>
        <w:gridCol w:w="226"/>
        <w:gridCol w:w="466"/>
        <w:gridCol w:w="181"/>
        <w:gridCol w:w="146"/>
        <w:gridCol w:w="397"/>
        <w:gridCol w:w="819"/>
        <w:gridCol w:w="291"/>
      </w:tblGrid>
      <w:tr>
        <w:trPr/>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Three-Month Period Ending March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Eastman Kodak Company Common Shareholders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Additional</w:t>
              <w:br/>
              <w:t>Paid in</w:t>
              <w:b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xml:space="preserve">Accumulated </w:t>
              <w:b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br/>
              <w:t>Other</w:t>
              <w:br/>
              <w:t xml:space="preserve">Comprehensive </w:t>
              <w:br/>
              <w:t>Income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Treasury</w:t>
              <w:b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Redeemable</w:t>
              <w:br/>
              <w:t>Convertible</w:t>
              <w:br/>
              <w:t>Preferred Stock</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Other comprehensive income (loss)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 xml:space="preserve">Pension and other postretirement </w:t>
              <w:br/>
              <w:t>   liability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(400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220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2" w:name="notes_to_financial_statements"/>
      <w:bookmarkEnd w:id="12"/>
      <w:r>
        <w:rPr>
          <w:rFonts w:ascii="sans-serif" w:hAnsi="sans-serif"/>
          <w:b/>
          <w:color w:val="000000"/>
          <w:sz w:val="20"/>
        </w:rPr>
        <w:t>NOTES TO FINANCIAL STATEMENTS (Unaudited)</w:t>
      </w:r>
    </w:p>
    <w:p>
      <w:pPr>
        <w:pStyle w:val="TextBody"/>
        <w:bidi w:val="0"/>
        <w:spacing w:before="200" w:after="283"/>
        <w:jc w:val="left"/>
        <w:rPr>
          <w:rFonts w:ascii="sans-serif" w:hAnsi="sans-serif"/>
          <w:b/>
          <w:color w:val="000000"/>
          <w:sz w:val="20"/>
        </w:rPr>
      </w:pPr>
      <w:r>
        <w:rPr>
          <w:rFonts w:ascii="sans-serif" w:hAnsi="sans-serif"/>
          <w:b/>
          <w:color w:val="000000"/>
          <w:sz w:val="20"/>
        </w:rPr>
        <w:t>NOTE 1: BASIS OF PRESENTATION AND RECENT ACCOUNTING PRONOUNCEMENTS</w:t>
      </w:r>
    </w:p>
    <w:p>
      <w:pPr>
        <w:pStyle w:val="TextBody"/>
        <w:bidi w:val="0"/>
        <w:spacing w:before="200" w:after="283"/>
        <w:jc w:val="left"/>
        <w:rPr>
          <w:rFonts w:ascii="sans-serif" w:hAnsi="sans-serif"/>
          <w:b/>
          <w:color w:val="000000"/>
          <w:sz w:val="20"/>
        </w:rPr>
      </w:pPr>
      <w:r>
        <w:rPr>
          <w:rFonts w:ascii="sans-serif" w:hAnsi="sans-serif"/>
          <w:b/>
          <w:color w:val="000000"/>
          <w:sz w:val="20"/>
        </w:rPr>
        <w:t>BASIS OF PRESENTATION</w:t>
      </w:r>
    </w:p>
    <w:p>
      <w:pPr>
        <w:pStyle w:val="TextBody"/>
        <w:bidi w:val="0"/>
        <w:spacing w:before="200" w:after="283"/>
        <w:jc w:val="left"/>
        <w:rPr>
          <w:rFonts w:ascii="Times New Roman" w:hAnsi="Times New Roman"/>
          <w:sz w:val="20"/>
        </w:rPr>
      </w:pPr>
      <w:r>
        <w:rPr>
          <w:rFonts w:ascii="sans-serif" w:hAnsi="sans-serif"/>
          <w:color w:val="000000"/>
          <w:sz w:val="20"/>
        </w:rPr>
        <w:t xml:space="preserve">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and all companies directly or indirectly controlled, either through majority ownership or otherwise (“Kodak” or the “Company”). The results of operations for the interim periods are not necessarily indicative of the results for the entire fiscal year. These consolidated interim statements should be read in conjunction with the Company’s Annual Report on Form 10-K for the year ended </w:t>
      </w:r>
      <w:bookmarkStart w:id="13" w:name="led293237f20228201663700328457"/>
      <w:bookmarkEnd w:id="13"/>
      <w:r>
        <w:rPr>
          <w:rFonts w:ascii="sans-serif" w:hAnsi="sans-serif"/>
          <w:color w:val="000000"/>
          <w:sz w:val="20"/>
        </w:rPr>
        <w:t>December 31, 2025 (the “</w:t>
      </w:r>
      <w:bookmarkStart w:id="14" w:name="led293237f20228201663700343093"/>
      <w:bookmarkEnd w:id="14"/>
      <w:r>
        <w:rPr>
          <w:rFonts w:ascii="sans-serif" w:hAnsi="sans-serif"/>
          <w:color w:val="000000"/>
          <w:sz w:val="20"/>
        </w:rPr>
        <w:t>2025 Form 10-K”).</w:t>
      </w:r>
    </w:p>
    <w:p>
      <w:pPr>
        <w:pStyle w:val="TextBody"/>
        <w:bidi w:val="0"/>
        <w:spacing w:before="200" w:after="283"/>
        <w:jc w:val="left"/>
        <w:rPr>
          <w:rFonts w:ascii="sans-serif" w:hAnsi="sans-serif"/>
          <w:b/>
          <w:color w:val="000000"/>
          <w:sz w:val="20"/>
        </w:rPr>
      </w:pPr>
      <w:r>
        <w:rPr>
          <w:rFonts w:ascii="sans-serif" w:hAnsi="sans-serif"/>
          <w:b/>
          <w:color w:val="000000"/>
          <w:sz w:val="20"/>
        </w:rPr>
        <w:t>RECENTLY ADOPTED ACCOUNTING PRONOUNCEMENTS</w:t>
      </w:r>
    </w:p>
    <w:p>
      <w:pPr>
        <w:pStyle w:val="TextBody"/>
        <w:bidi w:val="0"/>
        <w:spacing w:before="200" w:after="283"/>
        <w:jc w:val="left"/>
        <w:rPr>
          <w:rFonts w:ascii="sans-serif" w:hAnsi="sans-serif"/>
          <w:color w:val="000000"/>
          <w:sz w:val="20"/>
        </w:rPr>
      </w:pPr>
      <w:r>
        <w:rPr>
          <w:rFonts w:ascii="sans-serif" w:hAnsi="sans-serif"/>
          <w:color w:val="000000"/>
          <w:sz w:val="20"/>
        </w:rPr>
        <w:t>No accounting pronouncements were recently adopted by Kodak.</w:t>
      </w:r>
    </w:p>
    <w:p>
      <w:pPr>
        <w:pStyle w:val="TextBody"/>
        <w:bidi w:val="0"/>
        <w:spacing w:before="200" w:after="283"/>
        <w:jc w:val="left"/>
        <w:rPr>
          <w:rFonts w:ascii="sans-serif" w:hAnsi="sans-serif"/>
          <w:b/>
          <w:color w:val="000000"/>
          <w:sz w:val="20"/>
        </w:rPr>
      </w:pPr>
      <w:r>
        <w:rPr>
          <w:rFonts w:ascii="sans-serif" w:hAnsi="sans-serif"/>
          <w:b/>
          <w:color w:val="000000"/>
          <w:sz w:val="20"/>
        </w:rPr>
        <w:t>RECENTLY ISSUED ACCOUNTING PRONOUNCEMENTS</w:t>
      </w:r>
    </w:p>
    <w:p>
      <w:pPr>
        <w:pStyle w:val="TextBody"/>
        <w:bidi w:val="0"/>
        <w:spacing w:before="200" w:after="283"/>
        <w:jc w:val="left"/>
        <w:rPr>
          <w:rFonts w:ascii="sans-serif" w:hAnsi="sans-serif"/>
          <w:color w:val="000000"/>
          <w:sz w:val="20"/>
        </w:rPr>
      </w:pPr>
      <w:r>
        <w:rPr>
          <w:rFonts w:ascii="sans-serif" w:hAnsi="sans-serif"/>
          <w:color w:val="000000"/>
          <w:sz w:val="20"/>
        </w:rPr>
        <w:t>In November 2024, the FASB issued ASU 2024-03, Income Statement – Reporting Comprehensive Income – Expense Disaggregation Disclosures (Subtopic 220-40): Disaggregation of Income Statement Expenses. ASU 2024-03 requires public business entities to disclose specified information about certain costs and expenses, including but not limited to purchases of inventory, employee compensation, depreciation, and intangible asset amortization, in a tabular format within the notes to their financial statements, as well as provide additional disclosures related to certain other specified expenses. The ASU may be applied on either a prospective or retrospective basis and is effective for annual reporting periods beginning after December 15, 2026 (January 1, 2027 for Kodak) and interim reporting periods beginning after December 15, 2027 (January 1, 2028 for Kodak). Kodak is currently evaluating the impact of this ASU.</w:t>
      </w:r>
    </w:p>
    <w:p>
      <w:pPr>
        <w:pStyle w:val="TextBody"/>
        <w:bidi w:val="0"/>
        <w:spacing w:before="200" w:after="283"/>
        <w:jc w:val="left"/>
        <w:rPr>
          <w:rFonts w:ascii="sans-serif" w:hAnsi="sans-serif"/>
          <w:color w:val="000000"/>
          <w:sz w:val="20"/>
        </w:rPr>
      </w:pPr>
      <w:r>
        <w:rPr>
          <w:rFonts w:ascii="sans-serif" w:hAnsi="sans-serif"/>
          <w:color w:val="000000"/>
          <w:sz w:val="20"/>
        </w:rPr>
        <w:t>In September 2025, the FASB issued ASU 2025-06, Intangibles—Goodwill and Other— Internal-Use Software (Subtopic 350-40): Targeted Improvements to the Accounting for Internal-Use Software. ASU 2025-06 modernizes the accounting for internal-use software to reflect the evolution of software development to using an incremental and iterative development method. Accordingly, the ASU removes all references in Subtopic 350-40 to prescriptive and sequential software development phases (or “project stages”), and requires an entity to start capitalizing software costs when both (1) management has authorized and committed to funding the software project and (2) it is probable that the project will be completed and the software will be used to perform the function intended. The ASU may be applied using either a prospective, retrospective, or modified transition approach, and is effective for annual reporting periods beginning after December 15, 2027 and interim reporting periods within such annual reporting periods (January 1, 2028 for Kodak). Kodak is currently evaluating the impact of this ASU.</w:t>
      </w:r>
    </w:p>
    <w:p>
      <w:pPr>
        <w:pStyle w:val="TextBody"/>
        <w:bidi w:val="0"/>
        <w:spacing w:before="200" w:after="283"/>
        <w:jc w:val="left"/>
        <w:rPr>
          <w:rFonts w:ascii="sans-serif" w:hAnsi="sans-serif"/>
          <w:color w:val="000000"/>
          <w:sz w:val="20"/>
        </w:rPr>
      </w:pPr>
      <w:r>
        <w:rPr>
          <w:rFonts w:ascii="sans-serif" w:hAnsi="sans-serif"/>
          <w:color w:val="000000"/>
          <w:sz w:val="20"/>
        </w:rPr>
        <w:t>In December 2025, the FASB issued ASU 2025-10, Government Grants (Topic 832). ASU 2025-10 establishes authoritative guidance on the accounting for government grants received by business entities, as GAAP previously did not provide specific authoritative guidance about the recognition, measurement and presentation of government grants. This ASU may be applied using either a retrospective, modified retrospective, or modified prospective approach, and is effective for annual reporting periods beginning after December 15, 2028 and interim reporting periods within such annual reporting periods (January 1, 2029 for Kodak). Kodak is currently evaluating the impact of this ASU.</w:t>
      </w:r>
    </w:p>
    <w:p>
      <w:pPr>
        <w:pStyle w:val="TextBody"/>
        <w:bidi w:val="0"/>
        <w:spacing w:before="200" w:after="283"/>
        <w:jc w:val="left"/>
        <w:rPr>
          <w:rFonts w:ascii="Times New Roman" w:hAnsi="Times New Roman"/>
          <w:sz w:val="20"/>
        </w:rPr>
      </w:pPr>
      <w:r>
        <w:rPr>
          <w:rFonts w:ascii="sans-serif" w:hAnsi="sans-serif"/>
          <w:color w:val="000000"/>
          <w:sz w:val="20"/>
        </w:rPr>
        <w:t>In April 2026, the FASB issued ASU 2026-01, Equity (Topic 505): Initial Measurement of Paid-in-Kind Dividends on Equity-Classified Preferred Stock. ASU 2026-01 requires that such dividends be initially measured on the basis of the dividend rate stated in the preferred stock agreement. The ASU may be applied on either a prospective or modified retrospective basis, and is effective for annual reporting periods beginning after December 15, 2026 and interim reporting periods within those annual reporting periods (January 1, 2027 for Kodak). Kodak is currently evaluating the impact of this ASU.</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2: CASH, CASH EQUIVALENTS AND RESTRICTED CASH</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 provides a reconciliation of cash, cash equivalents and restricted cash reported within the Consolidated Statement of Financial Position that sums to the total of such amounts shown in the Consolidated Statement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20"/>
        <w:gridCol w:w="146"/>
        <w:gridCol w:w="360"/>
        <w:gridCol w:w="742"/>
        <w:gridCol w:w="146"/>
        <w:gridCol w:w="146"/>
        <w:gridCol w:w="507"/>
        <w:gridCol w:w="1045"/>
        <w:gridCol w:w="193"/>
      </w:tblGrid>
      <w:tr>
        <w:trPr/>
        <w:tc>
          <w:tcPr>
            <w:tcW w:w="6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 reported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Total cash, cash equivalents and restricted cash shown in the Consolidated Statement </w:t>
              <w:br/>
              <w:t>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15" w:name="led293237f20228201663700467242"/>
      <w:bookmarkEnd w:id="15"/>
      <w:r>
        <w:rPr>
          <w:rFonts w:ascii="sans-serif" w:hAnsi="sans-serif"/>
          <w:color w:val="000000"/>
          <w:sz w:val="20"/>
        </w:rPr>
        <w:t>Restricted cash reported in Other current assets on the Consolidated Statement of Financial Position primarily represented amounts that support hedging activities as of March 31, 2026</w:t>
      </w:r>
      <w:r>
        <w:rPr>
          <w:rFonts w:ascii="Times New Roman" w:hAnsi="Times New Roman"/>
          <w:color w:val="000000"/>
          <w:sz w:val="20"/>
        </w:rPr>
        <w:t xml:space="preserve"> </w:t>
      </w:r>
      <w:r>
        <w:rPr>
          <w:rFonts w:ascii="sans-serif" w:hAnsi="sans-serif"/>
          <w:color w:val="000000"/>
          <w:sz w:val="20"/>
        </w:rPr>
        <w:t>and December 31, 2025.</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Restricted cash included $26</w:t>
      </w:r>
      <w:r>
        <w:rPr>
          <w:rFonts w:ascii="Times New Roman" w:hAnsi="Times New Roman"/>
          <w:color w:val="000000"/>
          <w:sz w:val="20"/>
        </w:rPr>
        <w:t xml:space="preserve"> </w:t>
      </w:r>
      <w:r>
        <w:rPr>
          <w:rFonts w:ascii="sans-serif" w:hAnsi="sans-serif"/>
          <w:color w:val="000000"/>
          <w:sz w:val="20"/>
        </w:rPr>
        <w:t>million and $25</w:t>
      </w:r>
      <w:r>
        <w:rPr>
          <w:rFonts w:ascii="Times New Roman" w:hAnsi="Times New Roman"/>
          <w:color w:val="000000"/>
          <w:sz w:val="20"/>
        </w:rPr>
        <w:t xml:space="preserve"> </w:t>
      </w:r>
      <w:r>
        <w:rPr>
          <w:rFonts w:ascii="sans-serif" w:hAnsi="sans-serif"/>
          <w:color w:val="000000"/>
          <w:sz w:val="20"/>
        </w:rPr>
        <w:t>million as of March 31, 2026 and December 31, 2025, respectively, representing the cash collateral required to be posted by the Company under the Amended and Restated L/C Facility Agreement. In addition, restricted cash as of March 31, 2026 and December 31, 2025</w:t>
      </w:r>
      <w:r>
        <w:rPr>
          <w:rFonts w:ascii="Times New Roman" w:hAnsi="Times New Roman"/>
          <w:color w:val="000000"/>
          <w:sz w:val="20"/>
        </w:rPr>
        <w:t xml:space="preserve"> </w:t>
      </w:r>
      <w:r>
        <w:rPr>
          <w:rFonts w:ascii="sans-serif" w:hAnsi="sans-serif"/>
          <w:color w:val="000000"/>
          <w:sz w:val="20"/>
        </w:rPr>
        <w:t>included $57</w:t>
      </w:r>
      <w:r>
        <w:rPr>
          <w:rFonts w:ascii="Times New Roman" w:hAnsi="Times New Roman"/>
          <w:color w:val="000000"/>
          <w:sz w:val="20"/>
        </w:rPr>
        <w:t xml:space="preserve"> </w:t>
      </w:r>
      <w:r>
        <w:rPr>
          <w:rFonts w:ascii="sans-serif" w:hAnsi="sans-serif"/>
          <w:color w:val="000000"/>
          <w:sz w:val="20"/>
        </w:rPr>
        <w:t>million and $62</w:t>
      </w:r>
      <w:r>
        <w:rPr>
          <w:rFonts w:ascii="Times New Roman" w:hAnsi="Times New Roman"/>
          <w:color w:val="000000"/>
          <w:sz w:val="20"/>
        </w:rPr>
        <w:t xml:space="preserve"> </w:t>
      </w:r>
      <w:r>
        <w:rPr>
          <w:rFonts w:ascii="sans-serif" w:hAnsi="sans-serif"/>
          <w:color w:val="000000"/>
          <w:sz w:val="20"/>
        </w:rPr>
        <w:t>million, respectively, representing cash collateral supporting the Company’s undiscounted actuarial workers’ compensation obligations with the New York State Workers’ Compensation Board ("NYS WCB"). Restricted cash also included $7</w:t>
      </w:r>
      <w:r>
        <w:rPr>
          <w:rFonts w:ascii="Times New Roman" w:hAnsi="Times New Roman"/>
          <w:color w:val="000000"/>
          <w:sz w:val="20"/>
        </w:rPr>
        <w:t xml:space="preserve"> </w:t>
      </w:r>
      <w:r>
        <w:rPr>
          <w:rFonts w:ascii="sans-serif" w:hAnsi="sans-serif"/>
          <w:color w:val="000000"/>
          <w:sz w:val="20"/>
        </w:rPr>
        <w:t>million of security posted related to Brazilian legal contingencies as of both March 31, 2026 and December 31, 2025.</w:t>
      </w:r>
    </w:p>
    <w:p>
      <w:pPr>
        <w:pStyle w:val="TextBody"/>
        <w:bidi w:val="0"/>
        <w:spacing w:before="200" w:after="283"/>
        <w:jc w:val="left"/>
        <w:rPr>
          <w:rFonts w:ascii="sans-serif" w:hAnsi="sans-serif"/>
          <w:b/>
          <w:color w:val="000000"/>
          <w:sz w:val="20"/>
        </w:rPr>
      </w:pPr>
      <w:r>
        <w:rPr>
          <w:rFonts w:ascii="sans-serif" w:hAnsi="sans-serif"/>
          <w:b/>
          <w:color w:val="000000"/>
          <w:sz w:val="20"/>
        </w:rPr>
        <w:t>NOTE 3: INVENTORIES, NET</w:t>
      </w:r>
    </w:p>
    <w:p>
      <w:pPr>
        <w:pStyle w:val="TextBody"/>
        <w:bidi w:val="0"/>
        <w:jc w:val="left"/>
        <w:rPr/>
      </w:pPr>
      <w:r>
        <w:rPr/>
        <w:t> </w:t>
      </w:r>
    </w:p>
    <w:tbl>
      <w:tblPr>
        <w:tblW w:w="5160" w:type="dxa"/>
        <w:jc w:val="left"/>
        <w:tblInd w:w="0" w:type="dxa"/>
        <w:tblLayout w:type="fixed"/>
        <w:tblCellMar>
          <w:top w:w="28" w:type="dxa"/>
          <w:left w:w="28" w:type="dxa"/>
          <w:bottom w:w="28" w:type="dxa"/>
          <w:right w:w="28" w:type="dxa"/>
        </w:tblCellMar>
      </w:tblPr>
      <w:tblGrid>
        <w:gridCol w:w="1681"/>
        <w:gridCol w:w="146"/>
        <w:gridCol w:w="392"/>
        <w:gridCol w:w="808"/>
        <w:gridCol w:w="146"/>
        <w:gridCol w:w="146"/>
        <w:gridCol w:w="539"/>
        <w:gridCol w:w="111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4: OTHER CURRENT ASSETS</w:t>
      </w:r>
    </w:p>
    <w:p>
      <w:pPr>
        <w:pStyle w:val="TextBody"/>
        <w:bidi w:val="0"/>
        <w:jc w:val="left"/>
        <w:rPr/>
      </w:pPr>
      <w:r>
        <w:rPr/>
        <w:t> </w:t>
      </w:r>
    </w:p>
    <w:tbl>
      <w:tblPr>
        <w:tblW w:w="8210" w:type="dxa"/>
        <w:jc w:val="left"/>
        <w:tblInd w:w="0" w:type="dxa"/>
        <w:tblLayout w:type="fixed"/>
        <w:tblCellMar>
          <w:top w:w="28" w:type="dxa"/>
          <w:left w:w="28" w:type="dxa"/>
          <w:bottom w:w="28" w:type="dxa"/>
          <w:right w:w="28" w:type="dxa"/>
        </w:tblCellMar>
      </w:tblPr>
      <w:tblGrid>
        <w:gridCol w:w="4531"/>
        <w:gridCol w:w="146"/>
        <w:gridCol w:w="392"/>
        <w:gridCol w:w="808"/>
        <w:gridCol w:w="146"/>
        <w:gridCol w:w="146"/>
        <w:gridCol w:w="539"/>
        <w:gridCol w:w="1111"/>
        <w:gridCol w:w="3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Short-term investments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Estimated workers' compensation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color w:val="000000"/>
          <w:sz w:val="20"/>
        </w:rPr>
      </w:pPr>
      <w:r>
        <w:rPr>
          <w:rFonts w:ascii="sans-serif" w:hAnsi="sans-serif"/>
          <w:color w:val="000000"/>
          <w:sz w:val="20"/>
        </w:rPr>
        <w:t>Short-term investments relate to investment assets received by the Company as part of the settlement of the Kodak Retirement Income Plan ("KRIP") in November 2025. The investment assets are primarily hedge fund investments which are expected to be redeemed within one year and are valued using the net asset value ("NAV") per share expedient.</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Other component above consists of other miscellaneous current assets that, individually, were less than 5% of the total current assets component in the accompanying Consolidated Statement of Financial Position, and therefore have been aggregated in accordance with Regulation S-X.</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5: OTHER LONG-TERM LIABILITIES</w:t>
      </w:r>
    </w:p>
    <w:p>
      <w:pPr>
        <w:pStyle w:val="TextBody"/>
        <w:bidi w:val="0"/>
        <w:jc w:val="left"/>
        <w:rPr/>
      </w:pPr>
      <w:r>
        <w:rPr/>
        <w:t> </w:t>
      </w:r>
    </w:p>
    <w:tbl>
      <w:tblPr>
        <w:tblW w:w="8495" w:type="dxa"/>
        <w:jc w:val="left"/>
        <w:tblInd w:w="0" w:type="dxa"/>
        <w:tblLayout w:type="fixed"/>
        <w:tblCellMar>
          <w:top w:w="28" w:type="dxa"/>
          <w:left w:w="28" w:type="dxa"/>
          <w:bottom w:w="28" w:type="dxa"/>
          <w:right w:w="28" w:type="dxa"/>
        </w:tblCellMar>
      </w:tblPr>
      <w:tblGrid>
        <w:gridCol w:w="4816"/>
        <w:gridCol w:w="146"/>
        <w:gridCol w:w="392"/>
        <w:gridCol w:w="808"/>
        <w:gridCol w:w="146"/>
        <w:gridCol w:w="146"/>
        <w:gridCol w:w="539"/>
        <w:gridCol w:w="1111"/>
        <w:gridCol w:w="39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Workers'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brand licensing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Environmental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Embedded preferred stock derivative liability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color w:val="000000"/>
          <w:sz w:val="20"/>
        </w:rPr>
      </w:pPr>
      <w:r>
        <w:rPr>
          <w:rFonts w:ascii="sans-serif" w:hAnsi="sans-serif"/>
          <w:color w:val="000000"/>
          <w:sz w:val="20"/>
        </w:rPr>
        <w:t>Refer to Note 7, "Redeemable Convertible Preferred Stock" for additional details and Note 19, "Financial Instruments" for valuation of this derivative.</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6: DEBT AND CREDIT FACILITIES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Term Loan Credit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March 11, 2026, in connection with the Series B Preferred Stock Amendment (refer to Note 7, “Redeemable, Convertible Preferred Stock” for additional details on the Series B Preferred Stock Amendment), the Company and certain of its subsidiaries entered into the Fourth Amendment to the term loan credit agreement (the “Term Loan Amendment”), which amends the Company’s Amended and Restated Credit Agreement, dated as of June 30, 2023 (as amended, the “Term Loan Credit Agreement”) between the Company, certain of its subsidiaries, the lenders party thereto, and Alter Domus (US) LLC, as administrative agent. Under the Term Loan Credit Agreement, the term loan lenders provided the Company with a commitment to provide term loans in an aggregate principal amount of $450</w:t>
      </w:r>
      <w:r>
        <w:rPr>
          <w:rFonts w:ascii="Times New Roman" w:hAnsi="Times New Roman"/>
          <w:color w:val="000000"/>
          <w:sz w:val="20"/>
        </w:rPr>
        <w:t xml:space="preserve"> </w:t>
      </w:r>
      <w:r>
        <w:rPr>
          <w:rFonts w:ascii="sans-serif" w:hAnsi="sans-serif"/>
          <w:color w:val="000000"/>
          <w:sz w:val="20"/>
        </w:rPr>
        <w:t>million (the “Term Loans”). Certain holders of Series B Preferred Stock as well as funds under common management with holders of the Series B Preferred Stock are lenders under the Term Loan Credit Agreement.</w:t>
      </w:r>
    </w:p>
    <w:p>
      <w:pPr>
        <w:pStyle w:val="TextBody"/>
        <w:bidi w:val="0"/>
        <w:spacing w:before="200" w:after="283"/>
        <w:jc w:val="left"/>
        <w:rPr>
          <w:rFonts w:ascii="Times New Roman" w:hAnsi="Times New Roman"/>
          <w:sz w:val="20"/>
        </w:rPr>
      </w:pPr>
      <w:r>
        <w:rPr>
          <w:rFonts w:ascii="sans-serif" w:hAnsi="sans-serif"/>
          <w:color w:val="000000"/>
          <w:sz w:val="20"/>
        </w:rPr>
        <w:t>The Term Loan Amendment required the Company to prepay an aggregate $50</w:t>
      </w:r>
      <w:r>
        <w:rPr>
          <w:rFonts w:ascii="Times New Roman" w:hAnsi="Times New Roman"/>
          <w:color w:val="000000"/>
          <w:sz w:val="20"/>
        </w:rPr>
        <w:t xml:space="preserve"> </w:t>
      </w:r>
      <w:r>
        <w:rPr>
          <w:rFonts w:ascii="sans-serif" w:hAnsi="sans-serif"/>
          <w:color w:val="000000"/>
          <w:sz w:val="20"/>
        </w:rPr>
        <w:t>million principal amount of Term Loans on or prior to March 18, 2026 and requires an additional $50</w:t>
      </w:r>
      <w:r>
        <w:rPr>
          <w:rFonts w:ascii="Times New Roman" w:hAnsi="Times New Roman"/>
          <w:color w:val="000000"/>
          <w:sz w:val="20"/>
        </w:rPr>
        <w:t xml:space="preserve"> </w:t>
      </w:r>
      <w:r>
        <w:rPr>
          <w:rFonts w:ascii="sans-serif" w:hAnsi="sans-serif"/>
          <w:color w:val="000000"/>
          <w:sz w:val="20"/>
        </w:rPr>
        <w:t>million principal amount of Term Loans on or prior to June 1, 2026, in each case, plus a prepayment premium equal to one</w:t>
      </w:r>
      <w:r>
        <w:rPr>
          <w:rFonts w:ascii="Times New Roman" w:hAnsi="Times New Roman"/>
          <w:color w:val="000000"/>
          <w:sz w:val="20"/>
        </w:rPr>
        <w:t xml:space="preserve"> </w:t>
      </w:r>
      <w:r>
        <w:rPr>
          <w:rFonts w:ascii="sans-serif" w:hAnsi="sans-serif"/>
          <w:color w:val="000000"/>
          <w:sz w:val="20"/>
        </w:rPr>
        <w:t>percent.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March 13, 2026, the Company paid $50</w:t>
      </w:r>
      <w:r>
        <w:rPr>
          <w:rFonts w:ascii="Times New Roman" w:hAnsi="Times New Roman"/>
          <w:color w:val="000000"/>
          <w:sz w:val="20"/>
        </w:rPr>
        <w:t xml:space="preserve"> </w:t>
      </w:r>
      <w:r>
        <w:rPr>
          <w:rFonts w:ascii="sans-serif" w:hAnsi="sans-serif"/>
          <w:color w:val="000000"/>
          <w:sz w:val="20"/>
        </w:rPr>
        <w:t>million of the outstanding principal amount of the Term Loans, $1</w:t>
      </w:r>
      <w:r>
        <w:rPr>
          <w:rFonts w:ascii="Times New Roman" w:hAnsi="Times New Roman"/>
          <w:color w:val="000000"/>
          <w:sz w:val="20"/>
        </w:rPr>
        <w:t xml:space="preserve"> </w:t>
      </w:r>
      <w:r>
        <w:rPr>
          <w:rFonts w:ascii="sans-serif" w:hAnsi="sans-serif"/>
          <w:color w:val="000000"/>
          <w:sz w:val="20"/>
        </w:rPr>
        <w:t>million in accrued uncapitalized interest and a prepayment premium equal to one</w:t>
      </w:r>
      <w:r>
        <w:rPr>
          <w:rFonts w:ascii="Times New Roman" w:hAnsi="Times New Roman"/>
          <w:color w:val="000000"/>
          <w:sz w:val="20"/>
        </w:rPr>
        <w:t xml:space="preserve"> </w:t>
      </w:r>
      <w:r>
        <w:rPr>
          <w:rFonts w:ascii="sans-serif" w:hAnsi="sans-serif"/>
          <w:color w:val="000000"/>
          <w:sz w:val="20"/>
        </w:rPr>
        <w:t>percent of the principal amount paid. The Company recorded a loss on early extinguishment of debt of approximately $1</w:t>
      </w:r>
      <w:r>
        <w:rPr>
          <w:rFonts w:ascii="Times New Roman" w:hAnsi="Times New Roman"/>
          <w:color w:val="000000"/>
          <w:sz w:val="20"/>
        </w:rPr>
        <w:t xml:space="preserve"> </w:t>
      </w:r>
      <w:r>
        <w:rPr>
          <w:rFonts w:ascii="sans-serif" w:hAnsi="sans-serif"/>
          <w:color w:val="000000"/>
          <w:sz w:val="20"/>
        </w:rPr>
        <w:t>million during the first quarter of 2026. The $50</w:t>
      </w:r>
      <w:r>
        <w:rPr>
          <w:rFonts w:ascii="Times New Roman" w:hAnsi="Times New Roman"/>
          <w:color w:val="000000"/>
          <w:sz w:val="20"/>
        </w:rPr>
        <w:t xml:space="preserve"> </w:t>
      </w:r>
      <w:r>
        <w:rPr>
          <w:rFonts w:ascii="sans-serif" w:hAnsi="sans-serif"/>
          <w:color w:val="000000"/>
          <w:sz w:val="20"/>
        </w:rPr>
        <w:t>million principal amount due on or prior to June 1, 2026 is included in Short-term borrowings and current portion of long-term debt in the Consolidated Statement of Financial Position.</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NOTE 7: REDEEMABLE, CONVERTIBLE PREFERRED STOCK</w:t>
      </w:r>
    </w:p>
    <w:p>
      <w:pPr>
        <w:pStyle w:val="TextBody"/>
        <w:bidi w:val="0"/>
        <w:spacing w:before="200" w:after="283"/>
        <w:jc w:val="left"/>
        <w:rPr>
          <w:rFonts w:ascii="sans-serif" w:hAnsi="sans-serif"/>
          <w:color w:val="000000"/>
          <w:sz w:val="20"/>
        </w:rPr>
      </w:pPr>
      <w:r>
        <w:rPr>
          <w:rFonts w:ascii="sans-serif" w:hAnsi="sans-serif"/>
          <w:color w:val="000000"/>
          <w:sz w:val="20"/>
        </w:rPr>
        <w:t>Redeemable convertible preferred stock was as follows:</w:t>
      </w:r>
    </w:p>
    <w:p>
      <w:pPr>
        <w:pStyle w:val="TextBody"/>
        <w:bidi w:val="0"/>
        <w:jc w:val="left"/>
        <w:rPr/>
      </w:pPr>
      <w:r>
        <w:rPr/>
        <w:t> </w:t>
      </w:r>
    </w:p>
    <w:tbl>
      <w:tblPr>
        <w:tblW w:w="6495" w:type="dxa"/>
        <w:jc w:val="left"/>
        <w:tblInd w:w="0" w:type="dxa"/>
        <w:tblLayout w:type="fixed"/>
        <w:tblCellMar>
          <w:top w:w="28" w:type="dxa"/>
          <w:left w:w="28" w:type="dxa"/>
          <w:bottom w:w="28" w:type="dxa"/>
          <w:right w:w="28" w:type="dxa"/>
        </w:tblCellMar>
      </w:tblPr>
      <w:tblGrid>
        <w:gridCol w:w="3016"/>
        <w:gridCol w:w="146"/>
        <w:gridCol w:w="473"/>
        <w:gridCol w:w="727"/>
        <w:gridCol w:w="146"/>
        <w:gridCol w:w="146"/>
        <w:gridCol w:w="651"/>
        <w:gridCol w:w="999"/>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6.0% 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4.0% 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4.0% Series B Preferred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February 25, 2021, the Company filed with the Department of Treasury of the State of New Jersey a Certificate of Amendment to the Second Amended and Restated Certificate of Incorporation of the Company (the “Series B Certificate of Designations”) which established the designation, number of shares, rights, preferences and limitations of the Company’s 4.0% Series B Convertible Preferred Stock, no</w:t>
      </w:r>
      <w:r>
        <w:rPr>
          <w:rFonts w:ascii="Times New Roman" w:hAnsi="Times New Roman"/>
          <w:color w:val="000000"/>
          <w:sz w:val="20"/>
        </w:rPr>
        <w:t xml:space="preserve"> </w:t>
      </w:r>
      <w:r>
        <w:rPr>
          <w:rFonts w:ascii="sans-serif" w:hAnsi="sans-serif"/>
          <w:color w:val="000000"/>
          <w:sz w:val="20"/>
        </w:rPr>
        <w:t>par value (the “4.0% Series B Preferred Stock”), which became effective upon filing.</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February 26, 2021, the Company agreed to exchange one million shares of Series A Preferred Stock held by Southeastern Asset Management, Inc. (“Southeastern”) and Longleaf Partners Small-Cap Fund, C2W Partners Master Fund Limited and Deseret Mutual Pension Trust, which were investment funds managed by Southeastern at the time (such investment funds, collectively, the “Purchasers”), for shares of the Company’s 4.0% Series B Preferred Stock, on a one-for-one basis plus accrued and unpaid dividends. The fair value of the 4.0% Series B Preferred Stock at the time of issuance approximated $95</w:t>
      </w:r>
      <w:r>
        <w:rPr>
          <w:rFonts w:ascii="Times New Roman" w:hAnsi="Times New Roman"/>
          <w:color w:val="000000"/>
          <w:sz w:val="20"/>
        </w:rPr>
        <w:t xml:space="preserve"> </w:t>
      </w:r>
      <w:r>
        <w:rPr>
          <w:rFonts w:ascii="sans-serif" w:hAnsi="sans-serif"/>
          <w:color w:val="000000"/>
          <w:sz w:val="20"/>
        </w:rPr>
        <w:t>million. The Company classified the 4.0% Series B Preferred Stock as temporary equity in the Consolidated Statement of Financial Position.</w:t>
      </w:r>
    </w:p>
    <w:p>
      <w:pPr>
        <w:pStyle w:val="TextBody"/>
        <w:bidi w:val="0"/>
        <w:spacing w:before="200" w:after="283"/>
        <w:jc w:val="left"/>
        <w:rPr>
          <w:rFonts w:ascii="sans-serif" w:hAnsi="sans-serif"/>
          <w:b/>
          <w:i/>
          <w:color w:val="000000"/>
          <w:sz w:val="20"/>
        </w:rPr>
      </w:pPr>
      <w:r>
        <w:rPr>
          <w:rFonts w:ascii="sans-serif" w:hAnsi="sans-serif"/>
          <w:b/>
          <w:i/>
          <w:color w:val="000000"/>
          <w:sz w:val="20"/>
        </w:rPr>
        <w:t>Embedded Conversion Features</w:t>
      </w:r>
    </w:p>
    <w:p>
      <w:pPr>
        <w:pStyle w:val="TextBody"/>
        <w:bidi w:val="0"/>
        <w:spacing w:before="200" w:after="283"/>
        <w:jc w:val="left"/>
        <w:rPr>
          <w:rFonts w:ascii="Times New Roman" w:hAnsi="Times New Roman"/>
          <w:sz w:val="20"/>
        </w:rPr>
      </w:pPr>
      <w:r>
        <w:rPr>
          <w:rFonts w:ascii="sans-serif" w:hAnsi="sans-serif"/>
          <w:color w:val="000000"/>
          <w:sz w:val="20"/>
        </w:rPr>
        <w:t>Kodak allocated $1</w:t>
      </w:r>
      <w:r>
        <w:rPr>
          <w:rFonts w:ascii="Times New Roman" w:hAnsi="Times New Roman"/>
          <w:color w:val="000000"/>
          <w:sz w:val="20"/>
        </w:rPr>
        <w:t xml:space="preserve"> </w:t>
      </w:r>
      <w:r>
        <w:rPr>
          <w:rFonts w:ascii="sans-serif" w:hAnsi="sans-serif"/>
          <w:color w:val="000000"/>
          <w:sz w:val="20"/>
        </w:rPr>
        <w:t>million of the fair value from the issuance of the 4.0% Series B Preferred Stock to a derivative liability based on the aggregate fair value of an embedded conversion feature on the date of issuance. The carrying value of the 4.0% Series B Preferred Stock at the time of issuance, $93</w:t>
      </w:r>
      <w:r>
        <w:rPr>
          <w:rFonts w:ascii="Times New Roman" w:hAnsi="Times New Roman"/>
          <w:color w:val="000000"/>
          <w:sz w:val="20"/>
        </w:rPr>
        <w:t xml:space="preserve"> </w:t>
      </w:r>
      <w:r>
        <w:rPr>
          <w:rFonts w:ascii="sans-serif" w:hAnsi="sans-serif"/>
          <w:color w:val="000000"/>
          <w:sz w:val="20"/>
        </w:rPr>
        <w:t>million ($95</w:t>
      </w:r>
      <w:r>
        <w:rPr>
          <w:rFonts w:ascii="Times New Roman" w:hAnsi="Times New Roman"/>
          <w:color w:val="000000"/>
          <w:sz w:val="20"/>
        </w:rPr>
        <w:t xml:space="preserve"> </w:t>
      </w:r>
      <w:r>
        <w:rPr>
          <w:rFonts w:ascii="sans-serif" w:hAnsi="sans-serif"/>
          <w:color w:val="000000"/>
          <w:sz w:val="20"/>
        </w:rPr>
        <w:t>million fair value of 4.0% Series B Preferred Stock on February 26, 2021 less $1</w:t>
      </w:r>
      <w:r>
        <w:rPr>
          <w:rFonts w:ascii="Times New Roman" w:hAnsi="Times New Roman"/>
          <w:color w:val="000000"/>
          <w:sz w:val="20"/>
        </w:rPr>
        <w:t xml:space="preserve"> </w:t>
      </w:r>
      <w:r>
        <w:rPr>
          <w:rFonts w:ascii="sans-serif" w:hAnsi="sans-serif"/>
          <w:color w:val="000000"/>
          <w:sz w:val="20"/>
        </w:rPr>
        <w:t>million allocated to the derivative liability and $1</w:t>
      </w:r>
      <w:r>
        <w:rPr>
          <w:rFonts w:ascii="Times New Roman" w:hAnsi="Times New Roman"/>
          <w:color w:val="000000"/>
          <w:sz w:val="20"/>
        </w:rPr>
        <w:t xml:space="preserve"> </w:t>
      </w:r>
      <w:r>
        <w:rPr>
          <w:rFonts w:ascii="sans-serif" w:hAnsi="sans-serif"/>
          <w:color w:val="000000"/>
          <w:sz w:val="20"/>
        </w:rPr>
        <w:t>million of transaction costs) was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pStyle w:val="TextBody"/>
        <w:bidi w:val="0"/>
        <w:spacing w:before="200" w:after="283"/>
        <w:jc w:val="left"/>
        <w:rPr>
          <w:rFonts w:ascii="sans-serif" w:hAnsi="sans-serif"/>
          <w:b/>
          <w:i/>
          <w:color w:val="000000"/>
          <w:sz w:val="20"/>
        </w:rPr>
      </w:pPr>
      <w:r>
        <w:rPr>
          <w:rFonts w:ascii="sans-serif" w:hAnsi="sans-serif"/>
          <w:b/>
          <w:i/>
          <w:color w:val="000000"/>
          <w:sz w:val="20"/>
        </w:rPr>
        <w:t>Dividend and Other Rights</w:t>
      </w:r>
    </w:p>
    <w:p>
      <w:pPr>
        <w:pStyle w:val="TextBody"/>
        <w:bidi w:val="0"/>
        <w:spacing w:before="200" w:after="283"/>
        <w:jc w:val="left"/>
        <w:rPr>
          <w:rFonts w:ascii="Times New Roman" w:hAnsi="Times New Roman"/>
          <w:sz w:val="20"/>
        </w:rPr>
      </w:pPr>
      <w:r>
        <w:rPr>
          <w:rFonts w:ascii="sans-serif" w:hAnsi="sans-serif"/>
          <w:color w:val="000000"/>
          <w:sz w:val="20"/>
        </w:rPr>
        <w:t>Holders of 4.0% Series B Preferred Stock were entitled to cumulative dividends payable quarterly in cash at a rate of 4.0% per annum. If any shares of the 4.0% Series B Preferred Stock had not been converted prior to May 28, 2026, the Company was required to redeem such shares at $100</w:t>
      </w:r>
      <w:r>
        <w:rPr>
          <w:rFonts w:ascii="Times New Roman" w:hAnsi="Times New Roman"/>
          <w:color w:val="000000"/>
          <w:sz w:val="20"/>
        </w:rPr>
        <w:t xml:space="preserve"> </w:t>
      </w:r>
      <w:r>
        <w:rPr>
          <w:rFonts w:ascii="sans-serif" w:hAnsi="sans-serif"/>
          <w:color w:val="000000"/>
          <w:sz w:val="20"/>
        </w:rPr>
        <w:t>per share plus the amount of accrued and unpaid dividends.</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Series B Preferred Stock Purchase</w:t>
      </w:r>
    </w:p>
    <w:p>
      <w:pPr>
        <w:pStyle w:val="TextBody"/>
        <w:bidi w:val="0"/>
        <w:spacing w:before="200" w:after="283"/>
        <w:jc w:val="left"/>
        <w:rPr>
          <w:rFonts w:ascii="Times New Roman" w:hAnsi="Times New Roman"/>
          <w:sz w:val="20"/>
        </w:rPr>
      </w:pPr>
      <w:r>
        <w:rPr>
          <w:rFonts w:ascii="sans-serif" w:hAnsi="sans-serif"/>
          <w:color w:val="000000"/>
          <w:sz w:val="20"/>
        </w:rPr>
        <w:t>On December 5, 2025, certain funds affiliated with Kennedy Lewis (such funds, collectively, the “KL Funds”) purchased all outstanding shares of the 4.0% Series B Preferred Stock from the Purchasers or their successors in privately negotiated transactions.</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Extinguishment of 4.0% Series B Preferred Stock</w:t>
      </w:r>
    </w:p>
    <w:p>
      <w:pPr>
        <w:pStyle w:val="TextBody"/>
        <w:bidi w:val="0"/>
        <w:spacing w:before="200" w:after="283"/>
        <w:jc w:val="left"/>
        <w:rPr>
          <w:rFonts w:ascii="Times New Roman" w:hAnsi="Times New Roman"/>
          <w:sz w:val="20"/>
        </w:rPr>
      </w:pPr>
      <w:r>
        <w:rPr>
          <w:rFonts w:ascii="sans-serif" w:hAnsi="sans-serif"/>
          <w:color w:val="000000"/>
          <w:sz w:val="20"/>
        </w:rPr>
        <w:t>On March 11, 2026 (the “Amendment Date”), the Company filed with the Department of Treasury of the State of New Jersey a Certificate of Amendment to the Series B Certificate of Designations</w:t>
      </w:r>
      <w:r>
        <w:rPr>
          <w:rFonts w:ascii="Times New Roman" w:hAnsi="Times New Roman"/>
          <w:color w:val="000000"/>
          <w:sz w:val="20"/>
        </w:rPr>
        <w:t xml:space="preserve"> </w:t>
      </w:r>
      <w:r>
        <w:rPr>
          <w:rFonts w:ascii="sans-serif" w:hAnsi="sans-serif"/>
          <w:color w:val="000000"/>
          <w:sz w:val="20"/>
        </w:rPr>
        <w:t>which amended certain terms of the Company’s 4.0% Series B Preferred Stock (the “Series B Preferred Stock Amendment”) and set forth the terms of the Company’s 6.0% Series B Convertible Preferred Stock, no</w:t>
      </w:r>
      <w:r>
        <w:rPr>
          <w:rFonts w:ascii="Times New Roman" w:hAnsi="Times New Roman"/>
          <w:color w:val="000000"/>
          <w:sz w:val="20"/>
        </w:rPr>
        <w:t xml:space="preserve"> </w:t>
      </w:r>
      <w:r>
        <w:rPr>
          <w:rFonts w:ascii="sans-serif" w:hAnsi="sans-serif"/>
          <w:color w:val="000000"/>
          <w:sz w:val="20"/>
        </w:rPr>
        <w:t>par value (the “6.0% Series B Preferred Stock”).</w:t>
      </w:r>
    </w:p>
    <w:p>
      <w:pPr>
        <w:pStyle w:val="TextBody"/>
        <w:bidi w:val="0"/>
        <w:spacing w:before="200" w:after="283"/>
        <w:jc w:val="left"/>
        <w:rPr>
          <w:rFonts w:ascii="Times New Roman" w:hAnsi="Times New Roman"/>
          <w:sz w:val="20"/>
        </w:rPr>
      </w:pPr>
      <w:r>
        <w:rPr>
          <w:rFonts w:ascii="sans-serif" w:hAnsi="sans-serif"/>
          <w:color w:val="000000"/>
          <w:sz w:val="20"/>
        </w:rPr>
        <w:t>The Company evaluated the amendment to the Series B Preferred Stock and determined that the 6.0% Series B Preferred Stock is substantially different from the 4.0% Series B Preferred Stock, primarily as a result of the embedded conversion option which is being accounted for separately as a derivative following the amendment. Accordingly, the Company accounted for the transaction as an extinguishment of the 4.0% Series B Preferred Stock and the issuance of a new 6.0% Series B Preferred Stock. The Company recognized a $2</w:t>
      </w:r>
      <w:r>
        <w:rPr>
          <w:rFonts w:ascii="Times New Roman" w:hAnsi="Times New Roman"/>
          <w:color w:val="000000"/>
          <w:sz w:val="20"/>
        </w:rPr>
        <w:t xml:space="preserve"> </w:t>
      </w:r>
      <w:r>
        <w:rPr>
          <w:rFonts w:ascii="sans-serif" w:hAnsi="sans-serif"/>
          <w:color w:val="000000"/>
          <w:sz w:val="20"/>
        </w:rPr>
        <w:t>million deemed dividend, recorded to Additional paid in capital in the Consolidated Statement of Financial Position, representing the excess of the fair value of the 6.0% Series B Preferred Stock over the carrying value of the 4.0% Series B Preferred Stock as of the Amendment Date.</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6.0% Series B Preferred Stock</w:t>
      </w:r>
    </w:p>
    <w:p>
      <w:pPr>
        <w:pStyle w:val="TextBody"/>
        <w:bidi w:val="0"/>
        <w:spacing w:before="200" w:after="283"/>
        <w:jc w:val="left"/>
        <w:rPr>
          <w:rFonts w:ascii="Times New Roman" w:hAnsi="Times New Roman"/>
          <w:sz w:val="20"/>
        </w:rPr>
      </w:pPr>
      <w:r>
        <w:rPr>
          <w:rFonts w:ascii="sans-serif" w:hAnsi="sans-serif"/>
          <w:color w:val="000000"/>
          <w:sz w:val="20"/>
        </w:rPr>
        <w:t>The total fair value of the 6.0% Series B Preferred Stock on the Amendment Date was approximately $102</w:t>
      </w:r>
      <w:r>
        <w:rPr>
          <w:rFonts w:ascii="Times New Roman" w:hAnsi="Times New Roman"/>
          <w:color w:val="000000"/>
          <w:sz w:val="20"/>
        </w:rPr>
        <w:t xml:space="preserve"> </w:t>
      </w:r>
      <w:r>
        <w:rPr>
          <w:rFonts w:ascii="sans-serif" w:hAnsi="sans-serif"/>
          <w:color w:val="000000"/>
          <w:sz w:val="20"/>
        </w:rPr>
        <w:t>million, of which $30</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was allocated to the embedded conversion options and recorded separately as a derivative liability (See “Embedded Conversion Features” section below for additional details). The remaining $72</w:t>
      </w:r>
      <w:r>
        <w:rPr>
          <w:rFonts w:ascii="Times New Roman" w:hAnsi="Times New Roman"/>
          <w:color w:val="000000"/>
          <w:sz w:val="20"/>
        </w:rPr>
        <w:t xml:space="preserve"> </w:t>
      </w:r>
      <w:r>
        <w:rPr>
          <w:rFonts w:ascii="sans-serif" w:hAnsi="sans-serif"/>
          <w:color w:val="000000"/>
          <w:sz w:val="20"/>
        </w:rPr>
        <w:t>million is being accreted to the mandatory redemption amount using the effective interest method to Additional paid in capital in the Consolidated Statement of Financial Position as a deemed dividend from the Amendment Date through the mandatory redemption date, June 11, 2029. The Company has classified the 6.0% Series B Preferred Stock as temporary equity in the Consolidated Statement of Financial Position.</w:t>
      </w:r>
    </w:p>
    <w:p>
      <w:pPr>
        <w:pStyle w:val="TextBody"/>
        <w:bidi w:val="0"/>
        <w:spacing w:before="240" w:after="283"/>
        <w:jc w:val="center"/>
        <w:rPr>
          <w:rFonts w:ascii="sans-serif" w:hAnsi="sans-serif"/>
          <w:color w:val="000000"/>
          <w:sz w:val="20"/>
        </w:rPr>
      </w:pPr>
      <w:r>
        <w:rPr>
          <w:rFonts w:ascii="sans-serif" w:hAnsi="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i/>
          <w:color w:val="000000"/>
          <w:sz w:val="20"/>
        </w:rPr>
      </w:pPr>
      <w:r>
        <w:rPr>
          <w:rFonts w:ascii="sans-serif" w:hAnsi="sans-serif"/>
          <w:b/>
          <w:i/>
          <w:color w:val="000000"/>
          <w:sz w:val="20"/>
        </w:rPr>
        <w:t>Dividend and Other Rights</w:t>
      </w:r>
    </w:p>
    <w:p>
      <w:pPr>
        <w:pStyle w:val="TextBody"/>
        <w:bidi w:val="0"/>
        <w:spacing w:before="200" w:after="283"/>
        <w:jc w:val="left"/>
        <w:rPr>
          <w:rFonts w:ascii="Times New Roman" w:hAnsi="Times New Roman"/>
          <w:sz w:val="20"/>
        </w:rPr>
      </w:pPr>
      <w:r>
        <w:rPr>
          <w:rFonts w:ascii="sans-serif" w:hAnsi="sans-serif"/>
          <w:color w:val="000000"/>
          <w:sz w:val="20"/>
        </w:rPr>
        <w:t>The 6.0% Series B Preferred Stock ranks senior to the Company's common stock, par value $.01</w:t>
      </w:r>
      <w:r>
        <w:rPr>
          <w:rFonts w:ascii="Times New Roman" w:hAnsi="Times New Roman"/>
          <w:color w:val="000000"/>
          <w:sz w:val="20"/>
        </w:rPr>
        <w:t xml:space="preserve"> </w:t>
      </w:r>
      <w:r>
        <w:rPr>
          <w:rFonts w:ascii="sans-serif" w:hAnsi="sans-serif"/>
          <w:color w:val="000000"/>
          <w:sz w:val="20"/>
        </w:rPr>
        <w:t>per share ("Common Stock") with respect to dividend rights and rights on liquidation, winding-up and dissolution. The 6.0% Series B Preferred Stock has a liquidation preference of $100</w:t>
      </w:r>
      <w:r>
        <w:rPr>
          <w:rFonts w:ascii="Times New Roman" w:hAnsi="Times New Roman"/>
          <w:color w:val="000000"/>
          <w:sz w:val="20"/>
        </w:rPr>
        <w:t xml:space="preserve"> </w:t>
      </w:r>
      <w:r>
        <w:rPr>
          <w:rFonts w:ascii="sans-serif" w:hAnsi="sans-serif"/>
          <w:color w:val="000000"/>
          <w:sz w:val="20"/>
        </w:rPr>
        <w:t>per share, and the holders of 6.0% Series B Preferred Stock are entitled to cumulative dividends payable quarterly in cash at a rate of 6.0% per annum. Holders of 6.0% Series B Preferred Stock will have certain limited special approval rights, including with respect to the issuance of pari passu or senior equity securities of the Company. The Series B Preferred Stock Amendment also includes certain limitations on the Company’s ability to incur certain debt for borrowed money without the consent of the holders of 66 2/3% of the outstanding 6.0% Series B Preferred Stock, provided that the Company would have the right to redeem the 6.0% Series B Preferred Stock in full for cash if such consent is not provided (subject to the terms set forth in the Series B Preferred Stock Amendment).</w:t>
      </w:r>
    </w:p>
    <w:p>
      <w:pPr>
        <w:pStyle w:val="TextBody"/>
        <w:bidi w:val="0"/>
        <w:spacing w:before="200" w:after="283"/>
        <w:jc w:val="left"/>
        <w:rPr>
          <w:rFonts w:ascii="sans-serif" w:hAnsi="sans-serif"/>
          <w:b/>
          <w:i/>
          <w:color w:val="000000"/>
          <w:sz w:val="20"/>
        </w:rPr>
      </w:pPr>
      <w:r>
        <w:rPr>
          <w:rFonts w:ascii="sans-serif" w:hAnsi="sans-serif"/>
          <w:b/>
          <w:i/>
          <w:color w:val="000000"/>
          <w:sz w:val="20"/>
        </w:rPr>
        <w:t>Redemption Features</w:t>
      </w:r>
    </w:p>
    <w:p>
      <w:pPr>
        <w:pStyle w:val="TextBody"/>
        <w:bidi w:val="0"/>
        <w:spacing w:before="200" w:after="283"/>
        <w:jc w:val="left"/>
        <w:rPr>
          <w:rFonts w:ascii="Times New Roman" w:hAnsi="Times New Roman"/>
          <w:sz w:val="20"/>
        </w:rPr>
      </w:pPr>
      <w:r>
        <w:rPr>
          <w:rFonts w:ascii="sans-serif" w:hAnsi="sans-serif"/>
          <w:color w:val="000000"/>
          <w:sz w:val="20"/>
        </w:rPr>
        <w:t>If any shares of 6.0% Series B Preferred Stock have not been converted prior to June 11, 2029 (the “Mandatory Redemption Date”), the Company is required to redeem such shares at $100</w:t>
      </w:r>
      <w:r>
        <w:rPr>
          <w:rFonts w:ascii="Times New Roman" w:hAnsi="Times New Roman"/>
          <w:color w:val="000000"/>
          <w:sz w:val="20"/>
        </w:rPr>
        <w:t xml:space="preserve"> </w:t>
      </w:r>
      <w:r>
        <w:rPr>
          <w:rFonts w:ascii="sans-serif" w:hAnsi="sans-serif"/>
          <w:color w:val="000000"/>
          <w:sz w:val="20"/>
        </w:rPr>
        <w:t>per share plus the amount of accrued and unpaid dividends. As the Company concluded the 6.0% Series B Preferred Stock is considered more akin to a debt-type instrument, the redemption feature is considered to be clearly and closely related to the host contract and therefore was not required to be separated from the 6.0% Series B Preferred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i/>
          <w:color w:val="000000"/>
          <w:sz w:val="20"/>
        </w:rPr>
        <w:t>Conversion Features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Each share of 6.0% Series B Preferred Stock is convertible, at the option of each holder at any time, into shares of Common Stock at the initial conversion rate of 10.00</w:t>
      </w:r>
      <w:r>
        <w:rPr>
          <w:rFonts w:ascii="Times New Roman" w:hAnsi="Times New Roman"/>
          <w:color w:val="000000"/>
          <w:sz w:val="20"/>
        </w:rPr>
        <w:t xml:space="preserve"> </w:t>
      </w:r>
      <w:r>
        <w:rPr>
          <w:rFonts w:ascii="sans-serif" w:hAnsi="sans-serif"/>
          <w:color w:val="000000"/>
          <w:sz w:val="20"/>
        </w:rPr>
        <w:t>shares of Common Stock for each share of 6.0% Series B Preferred Stock (equivalent to an initial conversion price of $10.00</w:t>
      </w:r>
      <w:r>
        <w:rPr>
          <w:rFonts w:ascii="Times New Roman" w:hAnsi="Times New Roman"/>
          <w:color w:val="000000"/>
          <w:sz w:val="20"/>
        </w:rPr>
        <w:t xml:space="preserve"> </w:t>
      </w:r>
      <w:r>
        <w:rPr>
          <w:rFonts w:ascii="sans-serif" w:hAnsi="sans-serif"/>
          <w:color w:val="000000"/>
          <w:sz w:val="20"/>
        </w:rPr>
        <w:t>per share of Common Stock). The initial conversion rate and the corresponding conversion price are subject to certain customary anti-dilution adjustments. If a holder elects to convert any shares of 6.0% Series B Preferred Stock during a specified period in connection with a fundamental change (as defined in the Series B Preferred Stock Amendment), such holder can elect to receive a make-whole premium, payable in additional shares of Common Stock, following the conversion of Series B Preferred Stock into shares of Common Stock if a fundamental change has occurred. In each case, the holder will also be entitled to receive shares with respect to accumulated dividends. In addition, the Company will have the right to require holders to convert any shares of 6.0% Series B Preferred Stock in connection with certain reorganization events in which case the conversion rate will be adjusted, subject to certain limitations.</w:t>
      </w:r>
    </w:p>
    <w:p>
      <w:pPr>
        <w:pStyle w:val="TextBody"/>
        <w:bidi w:val="0"/>
        <w:spacing w:before="200" w:after="283"/>
        <w:jc w:val="left"/>
        <w:rPr>
          <w:rFonts w:ascii="Times New Roman" w:hAnsi="Times New Roman"/>
          <w:sz w:val="20"/>
        </w:rPr>
      </w:pPr>
      <w:r>
        <w:rPr>
          <w:rFonts w:ascii="sans-serif" w:hAnsi="sans-serif"/>
          <w:color w:val="000000"/>
          <w:sz w:val="20"/>
        </w:rPr>
        <w:t>The Company has the right, subject to certain conditions, to cause the mandatory conversion of the 6.0% Series B Preferred Stock into shares of Common Stock in three tranches, each representing one-third</w:t>
      </w:r>
      <w:r>
        <w:rPr>
          <w:rFonts w:ascii="Times New Roman" w:hAnsi="Times New Roman"/>
          <w:color w:val="000000"/>
          <w:sz w:val="20"/>
        </w:rPr>
        <w:t xml:space="preserve"> </w:t>
      </w:r>
      <w:r>
        <w:rPr>
          <w:rFonts w:ascii="sans-serif" w:hAnsi="sans-serif"/>
          <w:color w:val="000000"/>
          <w:sz w:val="20"/>
        </w:rPr>
        <w:t>of the 6.0% Series B Preferred Stock if the closing price of the Common Stock has for 45</w:t>
      </w:r>
      <w:r>
        <w:rPr>
          <w:rFonts w:ascii="Times New Roman" w:hAnsi="Times New Roman"/>
          <w:color w:val="000000"/>
          <w:sz w:val="20"/>
        </w:rPr>
        <w:t xml:space="preserve"> </w:t>
      </w:r>
      <w:r>
        <w:rPr>
          <w:rFonts w:ascii="sans-serif" w:hAnsi="sans-serif"/>
          <w:color w:val="000000"/>
          <w:sz w:val="20"/>
        </w:rPr>
        <w:t>trading days within a period of 60</w:t>
      </w:r>
      <w:r>
        <w:rPr>
          <w:rFonts w:ascii="Times New Roman" w:hAnsi="Times New Roman"/>
          <w:color w:val="000000"/>
          <w:sz w:val="20"/>
        </w:rPr>
        <w:t xml:space="preserve"> </w:t>
      </w:r>
      <w:r>
        <w:rPr>
          <w:rFonts w:ascii="sans-serif" w:hAnsi="sans-serif"/>
          <w:color w:val="000000"/>
          <w:sz w:val="20"/>
        </w:rPr>
        <w:t>consecutive trading days a) equaled or exceeded $14.50</w:t>
      </w:r>
      <w:r>
        <w:rPr>
          <w:rFonts w:ascii="Times New Roman" w:hAnsi="Times New Roman"/>
          <w:color w:val="000000"/>
          <w:sz w:val="20"/>
        </w:rPr>
        <w:t xml:space="preserve"> </w:t>
      </w:r>
      <w:r>
        <w:rPr>
          <w:rFonts w:ascii="sans-serif" w:hAnsi="sans-serif"/>
          <w:color w:val="000000"/>
          <w:sz w:val="20"/>
        </w:rPr>
        <w:t>after eighteen months from the Amendment Date, b) equaled or exceeded $15.50</w:t>
      </w:r>
      <w:r>
        <w:rPr>
          <w:rFonts w:ascii="Times New Roman" w:hAnsi="Times New Roman"/>
          <w:color w:val="000000"/>
          <w:sz w:val="20"/>
        </w:rPr>
        <w:t xml:space="preserve"> </w:t>
      </w:r>
      <w:r>
        <w:rPr>
          <w:rFonts w:ascii="sans-serif" w:hAnsi="sans-serif"/>
          <w:color w:val="000000"/>
          <w:sz w:val="20"/>
        </w:rPr>
        <w:t>after twenty four months from the Amendment Date and c) equaled or exceeded $16.50</w:t>
      </w:r>
      <w:r>
        <w:rPr>
          <w:rFonts w:ascii="Times New Roman" w:hAnsi="Times New Roman"/>
          <w:color w:val="000000"/>
          <w:sz w:val="20"/>
        </w:rPr>
        <w:t xml:space="preserve"> </w:t>
      </w:r>
      <w:r>
        <w:rPr>
          <w:rFonts w:ascii="sans-serif" w:hAnsi="sans-serif"/>
          <w:color w:val="000000"/>
          <w:sz w:val="20"/>
        </w:rPr>
        <w:t>after thirty months from the Amendment Date (in each case, the amount per share is subject to adjustment in the same manner as the conversion price).</w:t>
      </w:r>
    </w:p>
    <w:p>
      <w:pPr>
        <w:pStyle w:val="TextBody"/>
        <w:bidi w:val="0"/>
        <w:spacing w:before="200" w:after="283"/>
        <w:jc w:val="left"/>
        <w:rPr>
          <w:rFonts w:ascii="sans-serif" w:hAnsi="sans-serif"/>
          <w:color w:val="000000"/>
          <w:sz w:val="20"/>
        </w:rPr>
      </w:pPr>
      <w:r>
        <w:rPr>
          <w:rFonts w:ascii="sans-serif" w:hAnsi="sans-serif"/>
          <w:color w:val="000000"/>
          <w:sz w:val="20"/>
        </w:rPr>
        <w:t>Upon a voluntary or mandatory conversion of the 6.0% Series B Preferred Stock, to the extent the Company would otherwise be required to issue shares of Common Stock in excess of the number permitted without obtaining shareholder or regulatory approval, the Company is required to pay cash in lieu of issuing such excess shares. The cash payment is determined based on the market value of the Common Stock as of the applicable conversion date.</w:t>
      </w:r>
    </w:p>
    <w:p>
      <w:pPr>
        <w:pStyle w:val="TextBody"/>
        <w:bidi w:val="0"/>
        <w:spacing w:before="200" w:after="283"/>
        <w:jc w:val="left"/>
        <w:rPr>
          <w:rFonts w:ascii="sans-serif" w:hAnsi="sans-serif"/>
          <w:b/>
          <w:i/>
          <w:color w:val="000000"/>
          <w:sz w:val="20"/>
        </w:rPr>
      </w:pPr>
      <w:r>
        <w:rPr>
          <w:rFonts w:ascii="sans-serif" w:hAnsi="sans-serif"/>
          <w:b/>
          <w:i/>
          <w:color w:val="000000"/>
          <w:sz w:val="20"/>
        </w:rPr>
        <w:t>Embedded Conversion Features</w:t>
      </w:r>
    </w:p>
    <w:p>
      <w:pPr>
        <w:pStyle w:val="TextBody"/>
        <w:bidi w:val="0"/>
        <w:spacing w:before="200" w:after="283"/>
        <w:jc w:val="left"/>
        <w:rPr>
          <w:rFonts w:ascii="Times New Roman" w:hAnsi="Times New Roman"/>
          <w:sz w:val="20"/>
        </w:rPr>
      </w:pPr>
      <w:r>
        <w:rPr>
          <w:rFonts w:ascii="sans-serif" w:hAnsi="sans-serif"/>
          <w:color w:val="000000"/>
          <w:sz w:val="20"/>
        </w:rPr>
        <w:t>The Company concluded the economic characteristics and risks of the embedded conversion features are not considered clearly and closely related to the 6.0% Series B Preferred Stock. Accordingly, these embedded conversion features were bifurcated from the 6.0% Series B Preferred Stock and separately accounted for on a combined basis as a single derivative liability. The Company allocated $30</w:t>
      </w:r>
      <w:r>
        <w:rPr>
          <w:rFonts w:ascii="Times New Roman" w:hAnsi="Times New Roman"/>
          <w:color w:val="000000"/>
          <w:sz w:val="20"/>
        </w:rPr>
        <w:t xml:space="preserve"> </w:t>
      </w:r>
      <w:r>
        <w:rPr>
          <w:rFonts w:ascii="sans-serif" w:hAnsi="sans-serif"/>
          <w:color w:val="000000"/>
          <w:sz w:val="20"/>
        </w:rPr>
        <w:t>million of the total fair value of the 6.0% Series B Preferred Stock to the derivative liability based on the aggregate fair value of the embedded conversion features as of the Amendment Date. The derivative is being accounted for at fair value with subsequent changes in the fair value being reported as part of Other charges, net in the Consolidated Statement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fair value of the embedded derivative as of March 31, 2026 was a liability of $42</w:t>
      </w:r>
      <w:r>
        <w:rPr>
          <w:rFonts w:ascii="Times New Roman" w:hAnsi="Times New Roman"/>
          <w:color w:val="000000"/>
          <w:sz w:val="20"/>
        </w:rPr>
        <w:t xml:space="preserve"> </w:t>
      </w:r>
      <w:r>
        <w:rPr>
          <w:rFonts w:ascii="sans-serif" w:hAnsi="sans-serif"/>
          <w:color w:val="000000"/>
          <w:sz w:val="20"/>
        </w:rPr>
        <w:t>million and is included in Other long-term liabilities in the accompanying Consolidated Statement of Financial Position. Refer to Note 19, “Financial Instruments” for information on the valuation of the derivative.</w:t>
      </w:r>
    </w:p>
    <w:p>
      <w:pPr>
        <w:pStyle w:val="TextBody"/>
        <w:bidi w:val="0"/>
        <w:spacing w:before="240" w:after="283"/>
        <w:jc w:val="center"/>
        <w:rPr>
          <w:rFonts w:ascii="sans-serif" w:hAnsi="sans-serif"/>
          <w:color w:val="000000"/>
          <w:sz w:val="20"/>
        </w:rPr>
      </w:pPr>
      <w:r>
        <w:rPr>
          <w:rFonts w:ascii="sans-serif" w:hAnsi="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b/>
          <w:color w:val="000000"/>
          <w:sz w:val="20"/>
        </w:rPr>
        <w:t>Beneficial Ownership Side Letter</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On March 11, 2026, in connection with the Series B Preferred Stock Amendment, the Company entered into an amendment to an existing agreement (the “Side Letter”) with Kennedy Lewis Management LP and Kennedy Lewis Capital Partners Master Fund III LP, KLIM Delta HQC3 LP, Kennedy Lewis (EU) SPV LP and KLCP Co-Investment Opportunities III LP, (each, a “Fund”) which provides that no Fund shall have the right to convert any shares of 6.0% Series B Preferred Stock to the extent that after giving effect to such conversion, the Fund, together with the Fund’s Attribution Parties (as defined in the Side Letter), would collectively beneficially own a number of shares of Common Stock of the Company in excess of 4.99% of the number of shares of Common Stock outstanding (the “Beneficial Ownership Limitation”). The Funds may increase or decrease the Beneficial Ownership Limitation at any time upon not less than sixty-one (61) days’ prior written notice to the Company.</w:t>
      </w:r>
    </w:p>
    <w:p>
      <w:pPr>
        <w:pStyle w:val="TextBody"/>
        <w:bidi w:val="0"/>
        <w:spacing w:before="200" w:after="283"/>
        <w:jc w:val="left"/>
        <w:rPr>
          <w:rFonts w:ascii="sans-serif" w:hAnsi="sans-serif"/>
          <w:b/>
          <w:color w:val="000000"/>
          <w:sz w:val="20"/>
        </w:rPr>
      </w:pPr>
      <w:r>
        <w:rPr>
          <w:rFonts w:ascii="sans-serif" w:hAnsi="sans-serif"/>
          <w:b/>
          <w:color w:val="000000"/>
          <w:sz w:val="20"/>
        </w:rPr>
        <w:t>Investor Rights Agreement</w:t>
      </w:r>
    </w:p>
    <w:p>
      <w:pPr>
        <w:pStyle w:val="TextBody"/>
        <w:bidi w:val="0"/>
        <w:spacing w:before="200" w:after="283"/>
        <w:jc w:val="left"/>
        <w:rPr>
          <w:rFonts w:ascii="sans-serif" w:hAnsi="sans-serif"/>
          <w:color w:val="000000"/>
          <w:sz w:val="20"/>
        </w:rPr>
      </w:pPr>
      <w:r>
        <w:rPr>
          <w:rFonts w:ascii="sans-serif" w:hAnsi="sans-serif"/>
          <w:color w:val="000000"/>
          <w:sz w:val="20"/>
        </w:rPr>
        <w:t>On March 11, 2026, in connection with the Series B Preferred Stock Amendment, the Company entered into an Investor Rights Agreement (the “Series B Investor Rights Agreement”) with Kennedy Lewis Investment Management LLC (together with its affiliates and certain funds, accounts or clients managed, advised or sub-advised by Kennedy Lewis Investment Management LLC or its affiliates, “Kennedy Lewis”). Under the terms of the Series B Investor Rights Agreement, Kennedy Lewis is entitled to certain preemptive rights in connection with future issuances of the Company’s equity securities and the Company is entitled to rights of first refusal in connection with any proposed transfer by Kennedy Lewis of the Series B Preferred Stock, in each case, subject to customary terms and conditions. In addition, the Company has agreed to provide Kennedy Lewis with a reasonable opportunity to participate in future debt financings.</w:t>
      </w:r>
    </w:p>
    <w:p>
      <w:pPr>
        <w:pStyle w:val="TextBody"/>
        <w:bidi w:val="0"/>
        <w:spacing w:before="200" w:after="283"/>
        <w:jc w:val="left"/>
        <w:rPr>
          <w:rFonts w:ascii="sans-serif" w:hAnsi="sans-serif"/>
          <w:b/>
          <w:color w:val="000000"/>
          <w:sz w:val="20"/>
        </w:rPr>
      </w:pPr>
      <w:r>
        <w:rPr>
          <w:rFonts w:ascii="sans-serif" w:hAnsi="sans-serif"/>
          <w:b/>
          <w:color w:val="000000"/>
          <w:sz w:val="20"/>
        </w:rPr>
        <w:t>Registration Rights Agreement:</w:t>
      </w:r>
    </w:p>
    <w:p>
      <w:pPr>
        <w:pStyle w:val="TextBody"/>
        <w:bidi w:val="0"/>
        <w:spacing w:before="200" w:after="283"/>
        <w:jc w:val="left"/>
        <w:rPr>
          <w:rFonts w:ascii="sans-serif" w:hAnsi="sans-serif"/>
          <w:color w:val="000000"/>
          <w:sz w:val="20"/>
        </w:rPr>
      </w:pPr>
      <w:r>
        <w:rPr>
          <w:rFonts w:ascii="sans-serif" w:hAnsi="sans-serif"/>
          <w:color w:val="000000"/>
          <w:sz w:val="20"/>
        </w:rPr>
        <w:t>On March 11, 2026, in connection with the Series B Preferred Stock Amendment, the Company entered into a Registration Rights Agreement (the “Series B Registration Rights Agreement”) with Kennedy Lewis. Under the terms of the Series B Registration Rights Agreement, Kennedy Lewis (i) is entitled to require the Company to register for resale the shares of Common Stock issuable upon conversion of the Series B Preferred Stock, along with other shares of Common Stock held by Kennedy Lewis, on a shelf registration statement and (ii) has certain demand rights with respect to takedowns from such shelf registration statement. The Series B Registration Rights Agreement includes customary terms and conditions, including certain customary indemnification obligations.</w:t>
      </w:r>
    </w:p>
    <w:p>
      <w:pPr>
        <w:pStyle w:val="TextBody"/>
        <w:bidi w:val="0"/>
        <w:spacing w:before="200" w:after="283"/>
        <w:jc w:val="left"/>
        <w:rPr>
          <w:rFonts w:ascii="sans-serif" w:hAnsi="sans-serif"/>
          <w:b/>
          <w:color w:val="000000"/>
          <w:sz w:val="20"/>
        </w:rPr>
      </w:pPr>
      <w:r>
        <w:rPr>
          <w:rFonts w:ascii="sans-serif" w:hAnsi="sans-serif"/>
          <w:b/>
          <w:color w:val="000000"/>
          <w:sz w:val="20"/>
        </w:rPr>
        <w:t>NOTE 8: LEASES</w:t>
      </w:r>
    </w:p>
    <w:p>
      <w:pPr>
        <w:pStyle w:val="TextBody"/>
        <w:bidi w:val="0"/>
        <w:spacing w:before="200" w:after="283"/>
        <w:jc w:val="left"/>
        <w:rPr>
          <w:rFonts w:ascii="Times New Roman" w:hAnsi="Times New Roman"/>
          <w:sz w:val="20"/>
        </w:rPr>
      </w:pPr>
      <w:bookmarkStart w:id="16" w:name="led293237f20228201663700835225"/>
      <w:bookmarkEnd w:id="16"/>
      <w:r>
        <w:rPr>
          <w:rFonts w:ascii="sans-serif" w:hAnsi="sans-serif"/>
          <w:color w:val="000000"/>
          <w:sz w:val="20"/>
        </w:rPr>
        <w:t xml:space="preserve">Income recognized on operating lease arrangements for the three months ended March 31, 2026 and 2025 is presented below. Income recognized for sales-type lease arrangements for the three months ended </w:t>
      </w:r>
      <w:bookmarkStart w:id="17" w:name="led293237f20247221724358253665"/>
      <w:bookmarkEnd w:id="17"/>
      <w:r>
        <w:rPr>
          <w:rFonts w:ascii="sans-serif" w:hAnsi="sans-serif"/>
          <w:color w:val="000000"/>
          <w:sz w:val="20"/>
        </w:rPr>
        <w:t>March 31, 2026</w:t>
      </w:r>
      <w:r>
        <w:rPr>
          <w:rFonts w:ascii="Times New Roman" w:hAnsi="Times New Roman"/>
          <w:color w:val="000000"/>
          <w:sz w:val="20"/>
        </w:rPr>
        <w:t xml:space="preserve"> </w:t>
      </w:r>
      <w:r>
        <w:rPr>
          <w:rFonts w:ascii="sans-serif" w:hAnsi="sans-serif"/>
          <w:color w:val="000000"/>
          <w:sz w:val="20"/>
        </w:rPr>
        <w:t>and 2025</w:t>
      </w:r>
      <w:r>
        <w:rPr>
          <w:rFonts w:ascii="Times New Roman" w:hAnsi="Times New Roman"/>
          <w:color w:val="000000"/>
          <w:sz w:val="20"/>
        </w:rPr>
        <w:t xml:space="preserve"> </w:t>
      </w:r>
      <w:r>
        <w:rPr>
          <w:rFonts w:ascii="sans-serif" w:hAnsi="sans-serif"/>
          <w:color w:val="000000"/>
          <w:sz w:val="20"/>
        </w:rPr>
        <w:t>was $1</w:t>
      </w:r>
      <w:r>
        <w:rPr>
          <w:rFonts w:ascii="Times New Roman" w:hAnsi="Times New Roman"/>
          <w:color w:val="000000"/>
          <w:sz w:val="20"/>
        </w:rPr>
        <w:t xml:space="preserve"> </w:t>
      </w:r>
      <w:r>
        <w:rPr>
          <w:rFonts w:ascii="sans-serif" w:hAnsi="sans-serif"/>
          <w:color w:val="000000"/>
          <w:sz w:val="20"/>
        </w:rPr>
        <w:t>million and less than $1</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jc w:val="left"/>
        <w:rPr/>
      </w:pPr>
      <w:r>
        <w:rPr/>
        <w:t> </w:t>
      </w:r>
    </w:p>
    <w:tbl>
      <w:tblPr>
        <w:tblW w:w="6153" w:type="dxa"/>
        <w:jc w:val="left"/>
        <w:tblInd w:w="0" w:type="dxa"/>
        <w:tblLayout w:type="fixed"/>
        <w:tblCellMar>
          <w:top w:w="28" w:type="dxa"/>
          <w:left w:w="28" w:type="dxa"/>
          <w:bottom w:w="28" w:type="dxa"/>
          <w:right w:w="28" w:type="dxa"/>
        </w:tblCellMar>
      </w:tblPr>
      <w:tblGrid>
        <w:gridCol w:w="3346"/>
        <w:gridCol w:w="146"/>
        <w:gridCol w:w="448"/>
        <w:gridCol w:w="448"/>
        <w:gridCol w:w="289"/>
        <w:gridCol w:w="289"/>
        <w:gridCol w:w="448"/>
        <w:gridCol w:w="448"/>
        <w:gridCol w:w="2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Lease income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Variable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Total 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9: COMMITMENTS AND CONTINGENCIES</w:t>
      </w:r>
    </w:p>
    <w:p>
      <w:pPr>
        <w:pStyle w:val="TextBody"/>
        <w:bidi w:val="0"/>
        <w:jc w:val="left"/>
        <w:rPr/>
      </w:pPr>
      <w:r>
        <w:rPr/>
        <w:t> </w:t>
      </w:r>
    </w:p>
    <w:p>
      <w:pPr>
        <w:pStyle w:val="TextBody"/>
        <w:bidi w:val="0"/>
        <w:jc w:val="left"/>
        <w:rPr>
          <w:rFonts w:ascii="Times New Roman" w:hAnsi="Times New Roman"/>
          <w:sz w:val="20"/>
        </w:rPr>
      </w:pPr>
      <w:bookmarkStart w:id="18" w:name="led293237f20232271679935024973"/>
      <w:bookmarkEnd w:id="18"/>
      <w:r>
        <w:rPr>
          <w:rFonts w:ascii="sans-serif" w:hAnsi="sans-serif"/>
          <w:color w:val="000000"/>
          <w:sz w:val="20"/>
        </w:rPr>
        <w:t>As of March 31, 2026, the Company had outstanding letters of credit of $24</w:t>
      </w:r>
      <w:r>
        <w:rPr>
          <w:rFonts w:ascii="Times New Roman" w:hAnsi="Times New Roman"/>
          <w:color w:val="000000"/>
          <w:sz w:val="20"/>
        </w:rPr>
        <w:t xml:space="preserve"> </w:t>
      </w:r>
      <w:r>
        <w:rPr>
          <w:rFonts w:ascii="sans-serif" w:hAnsi="sans-serif"/>
          <w:color w:val="000000"/>
          <w:sz w:val="20"/>
        </w:rPr>
        <w:t>million issued under the Amended and Restated L/C Facility Agreement, as well as bank guarantees and letters of credit of $2</w:t>
      </w:r>
      <w:r>
        <w:rPr>
          <w:rFonts w:ascii="Times New Roman" w:hAnsi="Times New Roman"/>
          <w:color w:val="000000"/>
          <w:sz w:val="20"/>
        </w:rPr>
        <w:t xml:space="preserve"> </w:t>
      </w:r>
      <w:r>
        <w:rPr>
          <w:rFonts w:ascii="sans-serif" w:hAnsi="sans-serif"/>
          <w:color w:val="000000"/>
          <w:sz w:val="20"/>
        </w:rPr>
        <w:t>million, surety bonds in the amount of $54</w:t>
      </w:r>
      <w:r>
        <w:rPr>
          <w:rFonts w:ascii="Times New Roman" w:hAnsi="Times New Roman"/>
          <w:color w:val="000000"/>
          <w:sz w:val="20"/>
        </w:rPr>
        <w:t xml:space="preserve"> </w:t>
      </w:r>
      <w:r>
        <w:rPr>
          <w:rFonts w:ascii="sans-serif" w:hAnsi="sans-serif"/>
          <w:color w:val="000000"/>
          <w:sz w:val="20"/>
        </w:rPr>
        <w:t>million, and restricted cash of $100</w:t>
      </w:r>
      <w:r>
        <w:rPr>
          <w:rFonts w:ascii="Times New Roman" w:hAnsi="Times New Roman"/>
          <w:color w:val="000000"/>
          <w:sz w:val="20"/>
        </w:rPr>
        <w:t xml:space="preserve"> </w:t>
      </w:r>
      <w:r>
        <w:rPr>
          <w:rFonts w:ascii="sans-serif" w:hAnsi="sans-serif"/>
          <w:color w:val="000000"/>
          <w:sz w:val="20"/>
        </w:rPr>
        <w:t>million, primarily related to cash collateral supporting the Company’s undiscounted actuarial workers’ compensation obligations with the NYS WCB, cash collateral to ensure payment of possible casualty and workers’ compensation claims, cash collateral supporting the outstanding letters of credit under the Amended and Restated L/C Facility Agreement, to ensure payment of possible legal contingencies, hedging activities, environmental liabilities, rental payments and to support various customs, tax and trade activities. The restricted cash is recorded in Other current assets and Restricted cash in the Consolidated Statement of Financial Position.</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9" w:name="led293237f20232271679935289080"/>
      <w:bookmarkEnd w:id="19"/>
      <w:r>
        <w:rPr>
          <w:rFonts w:ascii="sans-serif" w:hAnsi="sans-serif"/>
          <w:color w:val="000000"/>
          <w:sz w:val="20"/>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March 31, 2026, Kodak’s Brazilian operations maintained accruals of approximately $7</w:t>
      </w:r>
      <w:r>
        <w:rPr>
          <w:rFonts w:ascii="Times New Roman" w:hAnsi="Times New Roman"/>
          <w:color w:val="000000"/>
          <w:sz w:val="20"/>
        </w:rPr>
        <w:t xml:space="preserve"> </w:t>
      </w:r>
      <w:r>
        <w:rPr>
          <w:rFonts w:ascii="sans-serif" w:hAnsi="sans-serif"/>
          <w:color w:val="000000"/>
          <w:sz w:val="20"/>
        </w:rPr>
        <w:t>million for claims aggregating approximately $51</w:t>
      </w:r>
      <w:r>
        <w:rPr>
          <w:rFonts w:ascii="Times New Roman" w:hAnsi="Times New Roman"/>
          <w:color w:val="000000"/>
          <w:sz w:val="20"/>
        </w:rPr>
        <w:t xml:space="preserve"> </w:t>
      </w:r>
      <w:r>
        <w:rPr>
          <w:rFonts w:ascii="sans-serif" w:hAnsi="sans-serif"/>
          <w:color w:val="000000"/>
          <w:sz w:val="20"/>
        </w:rPr>
        <w:t>million inclusive of interest and penalties where appropriate. The unreserved portion of the indirect taxes, civil litigation and disputes involving former employees and contract labor claims, inclusive of any related interest and penalties, for which there was at least a reasonable possibility that a loss may be incurred, amounted to approximately $5</w:t>
      </w:r>
      <w:r>
        <w:rPr>
          <w:rFonts w:ascii="Times New Roman" w:hAnsi="Times New Roman"/>
          <w:color w:val="000000"/>
          <w:sz w:val="20"/>
        </w:rPr>
        <w:t xml:space="preserve"> </w:t>
      </w:r>
      <w:r>
        <w:rPr>
          <w:rFonts w:ascii="sans-serif" w:hAnsi="sans-serif"/>
          <w:color w:val="000000"/>
          <w:sz w:val="20"/>
        </w:rPr>
        <w:t>million.</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connection with assessments in Brazil, local regulations may require Kodak’s Brazilian operations to post security for a portion of the amounts in dispute. As of March 31, 2026, Kodak’s Brazilian operations have posted security composed of $7</w:t>
      </w:r>
      <w:r>
        <w:rPr>
          <w:rFonts w:ascii="Times New Roman" w:hAnsi="Times New Roman"/>
          <w:color w:val="000000"/>
          <w:sz w:val="20"/>
        </w:rPr>
        <w:t xml:space="preserve"> </w:t>
      </w:r>
      <w:r>
        <w:rPr>
          <w:rFonts w:ascii="sans-serif" w:hAnsi="sans-serif"/>
          <w:color w:val="000000"/>
          <w:sz w:val="20"/>
        </w:rPr>
        <w:t>million of pledged cash reported within Restricted cash in the Consolidated Statement of Financial Position and liens on certain Brazilian assets with a net book value of approximately $41</w:t>
      </w:r>
      <w:r>
        <w:rPr>
          <w:rFonts w:ascii="Times New Roman" w:hAnsi="Times New Roman"/>
          <w:color w:val="000000"/>
          <w:sz w:val="20"/>
        </w:rPr>
        <w:t xml:space="preserve"> </w:t>
      </w:r>
      <w:r>
        <w:rPr>
          <w:rFonts w:ascii="sans-serif" w:hAnsi="sans-serif"/>
          <w:color w:val="000000"/>
          <w:sz w:val="20"/>
        </w:rPr>
        <w:t>million. Generally, any encumbrances on the Brazilian assets would be removed to the extent the matter is resolved in favor of Kodak’s Brazilian operations. The matter securing the lien on the non-cash assets was resolved in favor of Kodak’s Brazilian operations on March 12, 2024. On September 29, 2025, the Notary Register Office confirmed the cancellation of the lien on Brazilian non-cash assets. Recognition of the enrollment by the Internal Revenue Service is in process and Kodak expects the process to be completed within the next several months.</w:t>
      </w:r>
    </w:p>
    <w:p>
      <w:pPr>
        <w:pStyle w:val="TextBody"/>
        <w:bidi w:val="0"/>
        <w:spacing w:before="200" w:after="283"/>
        <w:jc w:val="left"/>
        <w:rPr>
          <w:rFonts w:ascii="Times New Roman" w:hAnsi="Times New Roman"/>
          <w:sz w:val="20"/>
        </w:rPr>
      </w:pPr>
      <w:r>
        <w:rPr>
          <w:rFonts w:ascii="sans-serif" w:hAnsi="sans-serif"/>
          <w:color w:val="000000"/>
          <w:sz w:val="20"/>
        </w:rPr>
        <w:t>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such as the on-going patent infringement claims brought by FUJIFILM Corporation against Eastman Kodak Company (in the US) and its German subsidiaries (in Germany) alleging that certain of Kodak’s SONORA process free plates infringe four of its patents in each jurisdiction. These matters are in various stages of investigation and litigation and are being vigorously defended. Based on information currently available, Kodak does not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NOTE 10: GUARANTEES</w:t>
      </w:r>
    </w:p>
    <w:p>
      <w:pPr>
        <w:pStyle w:val="TextBody"/>
        <w:bidi w:val="0"/>
        <w:spacing w:before="200" w:after="283"/>
        <w:jc w:val="left"/>
        <w:rPr>
          <w:rFonts w:ascii="Times New Roman" w:hAnsi="Times New Roman"/>
          <w:sz w:val="20"/>
        </w:rPr>
      </w:pPr>
      <w:r>
        <w:rPr>
          <w:rFonts w:ascii="sans-serif" w:hAnsi="sans-serif"/>
          <w:color w:val="000000"/>
          <w:sz w:val="20"/>
        </w:rPr>
        <w:t>In accordance with the terms of a settlement agreement concerning certain of the Company’s historical environmental liabilities at Eastman Business Park, a more than 1,200-acre technology center and industrial complex in Rochester, New York, in the event the historical liabilities exceed $99</w:t>
      </w:r>
      <w:r>
        <w:rPr>
          <w:rFonts w:ascii="Times New Roman" w:hAnsi="Times New Roman"/>
          <w:color w:val="000000"/>
          <w:sz w:val="20"/>
        </w:rPr>
        <w:t xml:space="preserve"> </w:t>
      </w:r>
      <w:r>
        <w:rPr>
          <w:rFonts w:ascii="sans-serif" w:hAnsi="sans-serif"/>
          <w:color w:val="000000"/>
          <w:sz w:val="20"/>
        </w:rPr>
        <w:t>million, the Company will become liable for 50% of the portion above $99</w:t>
      </w:r>
      <w:r>
        <w:rPr>
          <w:rFonts w:ascii="Times New Roman" w:hAnsi="Times New Roman"/>
          <w:color w:val="000000"/>
          <w:sz w:val="20"/>
        </w:rPr>
        <w:t xml:space="preserve"> </w:t>
      </w:r>
      <w:r>
        <w:rPr>
          <w:rFonts w:ascii="sans-serif" w:hAnsi="sans-serif"/>
          <w:color w:val="000000"/>
          <w:sz w:val="20"/>
        </w:rPr>
        <w:t>million with no limitation to the maximum potential future payments. There is no liability recorded for this guarantee.</w:t>
      </w:r>
    </w:p>
    <w:p>
      <w:pPr>
        <w:pStyle w:val="TextBody"/>
        <w:bidi w:val="0"/>
        <w:spacing w:before="200" w:after="283"/>
        <w:jc w:val="left"/>
        <w:rPr>
          <w:rFonts w:ascii="sans-serif" w:hAnsi="sans-serif"/>
          <w:b/>
          <w:i/>
          <w:color w:val="000000"/>
          <w:sz w:val="20"/>
        </w:rPr>
      </w:pPr>
      <w:r>
        <w:rPr>
          <w:rFonts w:ascii="sans-serif" w:hAnsi="sans-serif"/>
          <w:b/>
          <w:i/>
          <w:color w:val="000000"/>
          <w:sz w:val="20"/>
        </w:rPr>
        <w:t>Extended Warranty Arrangements</w:t>
      </w:r>
    </w:p>
    <w:p>
      <w:pPr>
        <w:pStyle w:val="TextBody"/>
        <w:bidi w:val="0"/>
        <w:spacing w:before="200" w:after="283"/>
        <w:jc w:val="left"/>
        <w:rPr>
          <w:rFonts w:ascii="Times New Roman" w:hAnsi="Times New Roman"/>
          <w:sz w:val="20"/>
        </w:rPr>
      </w:pPr>
      <w:r>
        <w:rPr>
          <w:rFonts w:ascii="sans-serif" w:hAnsi="sans-serif"/>
          <w:color w:val="000000"/>
          <w:sz w:val="20"/>
        </w:rPr>
        <w:t>Kodak offers its customers extended warranty arrangements that are generally</w:t>
      </w:r>
      <w:r>
        <w:rPr>
          <w:rFonts w:ascii="Times New Roman" w:hAnsi="Times New Roman"/>
          <w:color w:val="000000"/>
          <w:sz w:val="20"/>
        </w:rPr>
        <w:t xml:space="preserve"> </w:t>
      </w:r>
      <w:r>
        <w:rPr>
          <w:rFonts w:ascii="sans-serif" w:hAnsi="sans-serif"/>
          <w:color w:val="000000"/>
          <w:sz w:val="20"/>
        </w:rPr>
        <w:t>one year</w:t>
      </w:r>
      <w:r>
        <w:rPr>
          <w:rFonts w:ascii="Times New Roman" w:hAnsi="Times New Roman"/>
          <w:color w:val="000000"/>
          <w:sz w:val="20"/>
        </w:rPr>
        <w:t xml:space="preserve"> </w:t>
      </w:r>
      <w:r>
        <w:rPr>
          <w:rFonts w:ascii="sans-serif" w:hAnsi="sans-serif"/>
          <w:color w:val="000000"/>
          <w:sz w:val="20"/>
        </w:rPr>
        <w:t>but may range from three months</w:t>
      </w:r>
      <w:r>
        <w:rPr>
          <w:rFonts w:ascii="Times New Roman" w:hAnsi="Times New Roman"/>
          <w:color w:val="000000"/>
          <w:sz w:val="20"/>
        </w:rPr>
        <w:t xml:space="preserve"> </w:t>
      </w:r>
      <w:r>
        <w:rPr>
          <w:rFonts w:ascii="sans-serif" w:hAnsi="sans-serif"/>
          <w:color w:val="000000"/>
          <w:sz w:val="20"/>
        </w:rPr>
        <w:t>to six years</w:t>
      </w:r>
      <w:r>
        <w:rPr>
          <w:rFonts w:ascii="Times New Roman" w:hAnsi="Times New Roman"/>
          <w:color w:val="000000"/>
          <w:sz w:val="20"/>
        </w:rPr>
        <w:t xml:space="preserve"> </w:t>
      </w:r>
      <w:r>
        <w:rPr>
          <w:rFonts w:ascii="sans-serif" w:hAnsi="sans-serif"/>
          <w:color w:val="000000"/>
          <w:sz w:val="20"/>
        </w:rPr>
        <w:t>after the original warranty period. The change in Kodak’s deferred revenue balance in relation to these extended warranty and maintenance arrangements from December 31, 2025 to March 31, 2026, which is reflected in Other current liabilities in the accompanying Consolidated Statement of Financial Position, was as follows:</w:t>
      </w:r>
    </w:p>
    <w:p>
      <w:pPr>
        <w:pStyle w:val="TextBody"/>
        <w:bidi w:val="0"/>
        <w:jc w:val="left"/>
        <w:rPr/>
      </w:pPr>
      <w:r>
        <w:rPr/>
        <w:t> </w:t>
      </w:r>
    </w:p>
    <w:tbl>
      <w:tblPr>
        <w:tblW w:w="8385" w:type="dxa"/>
        <w:jc w:val="left"/>
        <w:tblInd w:w="0" w:type="dxa"/>
        <w:tblLayout w:type="fixed"/>
        <w:tblCellMar>
          <w:top w:w="28" w:type="dxa"/>
          <w:left w:w="28" w:type="dxa"/>
          <w:bottom w:w="28" w:type="dxa"/>
          <w:right w:w="28" w:type="dxa"/>
        </w:tblCellMar>
      </w:tblPr>
      <w:tblGrid>
        <w:gridCol w:w="7366"/>
        <w:gridCol w:w="146"/>
        <w:gridCol w:w="226"/>
        <w:gridCol w:w="421"/>
        <w:gridCol w:w="226"/>
      </w:tblGrid>
      <w:tr>
        <w:trPr/>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revenue on extended warranties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New extended warranty and maintenance arrangements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Recognition of extended warranty and maintenance arrangement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revenue on extended warranties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11: REVENUE</w:t>
      </w:r>
    </w:p>
    <w:p>
      <w:pPr>
        <w:pStyle w:val="TextBody"/>
        <w:bidi w:val="0"/>
        <w:spacing w:before="200" w:after="283"/>
        <w:jc w:val="left"/>
        <w:rPr>
          <w:rFonts w:ascii="sans-serif" w:hAnsi="sans-serif"/>
          <w:b/>
          <w:i/>
          <w:color w:val="000000"/>
          <w:sz w:val="20"/>
        </w:rPr>
      </w:pPr>
      <w:r>
        <w:rPr>
          <w:rFonts w:ascii="sans-serif" w:hAnsi="sans-serif"/>
          <w:b/>
          <w:i/>
          <w:color w:val="000000"/>
          <w:sz w:val="20"/>
        </w:rPr>
        <w:t>Disaggregation of Revenue</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tables present revenue disaggregated by major product and geography:</w:t>
      </w:r>
    </w:p>
    <w:p>
      <w:pPr>
        <w:pStyle w:val="TextBody"/>
        <w:bidi w:val="0"/>
        <w:spacing w:before="200" w:after="283"/>
        <w:jc w:val="left"/>
        <w:rPr>
          <w:rFonts w:ascii="sans-serif" w:hAnsi="sans-serif"/>
          <w:b/>
          <w:color w:val="000000"/>
          <w:sz w:val="20"/>
        </w:rPr>
      </w:pPr>
      <w:r>
        <w:rPr>
          <w:rFonts w:ascii="sans-serif" w:hAnsi="sans-serif"/>
          <w:b/>
          <w:color w:val="000000"/>
          <w:sz w:val="20"/>
        </w:rPr>
        <w:t>Major Product:</w:t>
      </w:r>
    </w:p>
    <w:p>
      <w:pPr>
        <w:pStyle w:val="TextBody"/>
        <w:bidi w:val="0"/>
        <w:jc w:val="left"/>
        <w:rPr/>
      </w:pPr>
      <w:r>
        <w:rPr/>
        <w:t> </w:t>
      </w:r>
    </w:p>
    <w:tbl>
      <w:tblPr>
        <w:tblW w:w="10022" w:type="dxa"/>
        <w:jc w:val="left"/>
        <w:tblInd w:w="0" w:type="dxa"/>
        <w:tblLayout w:type="fixed"/>
        <w:tblCellMar>
          <w:top w:w="28" w:type="dxa"/>
          <w:left w:w="28" w:type="dxa"/>
          <w:bottom w:w="28" w:type="dxa"/>
          <w:right w:w="28" w:type="dxa"/>
        </w:tblCellMar>
      </w:tblPr>
      <w:tblGrid>
        <w:gridCol w:w="3686"/>
        <w:gridCol w:w="146"/>
        <w:gridCol w:w="226"/>
        <w:gridCol w:w="466"/>
        <w:gridCol w:w="146"/>
        <w:gridCol w:w="146"/>
        <w:gridCol w:w="485"/>
        <w:gridCol w:w="746"/>
        <w:gridCol w:w="146"/>
        <w:gridCol w:w="146"/>
        <w:gridCol w:w="296"/>
        <w:gridCol w:w="455"/>
        <w:gridCol w:w="146"/>
        <w:gridCol w:w="146"/>
        <w:gridCol w:w="419"/>
        <w:gridCol w:w="646"/>
        <w:gridCol w:w="146"/>
        <w:gridCol w:w="146"/>
        <w:gridCol w:w="226"/>
        <w:gridCol w:w="466"/>
        <w:gridCol w:w="591"/>
      </w:tblGrid>
      <w:tr>
        <w:trPr/>
        <w:tc>
          <w:tcPr>
            <w:tcW w:w="3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431"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31"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 2026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Core products and services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w:t>
            </w:r>
            <w:r>
              <w:rPr>
                <w:rFonts w:ascii="Times New Roman" w:hAnsi="Times New Roman"/>
                <w:color w:val="000000"/>
                <w:sz w:val="20"/>
              </w:rPr>
              <w: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1"/>
        <w:gridCol w:w="146"/>
        <w:gridCol w:w="226"/>
        <w:gridCol w:w="466"/>
        <w:gridCol w:w="146"/>
        <w:gridCol w:w="146"/>
        <w:gridCol w:w="485"/>
        <w:gridCol w:w="746"/>
        <w:gridCol w:w="146"/>
        <w:gridCol w:w="146"/>
        <w:gridCol w:w="296"/>
        <w:gridCol w:w="455"/>
        <w:gridCol w:w="146"/>
        <w:gridCol w:w="146"/>
        <w:gridCol w:w="418"/>
        <w:gridCol w:w="644"/>
        <w:gridCol w:w="246"/>
        <w:gridCol w:w="246"/>
        <w:gridCol w:w="226"/>
        <w:gridCol w:w="466"/>
        <w:gridCol w:w="592"/>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 2025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Core products and services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w:t>
            </w:r>
            <w:r>
              <w:rPr>
                <w:rFonts w:ascii="Times New Roman" w:hAnsi="Times New Roman"/>
                <w:color w:val="000000"/>
                <w:sz w:val="20"/>
              </w:rPr>
              <w: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Core products and services includes the Print segment and the Motion Picture and Industrial Film and Chemicals businesses within the Advanced Materials and Chemicals segment, excluding coating and product commercialization services (“Coating Services”).</w:t>
      </w:r>
    </w:p>
    <w:p>
      <w:pPr>
        <w:pStyle w:val="TextBody"/>
        <w:bidi w:val="0"/>
        <w:spacing w:before="0" w:after="0"/>
        <w:jc w:val="left"/>
        <w:rPr>
          <w:rFonts w:ascii="Calibri" w:hAnsi="Calibri"/>
          <w:color w:val="000000"/>
          <w:sz w:val="20"/>
        </w:rPr>
      </w:pPr>
      <w:r>
        <w:rPr>
          <w:rFonts w:ascii="Calibri" w:hAnsi="Calibri"/>
          <w:color w:val="000000"/>
          <w:sz w:val="20"/>
        </w:rPr>
        <w:t>(2)</w:t>
      </w:r>
    </w:p>
    <w:p>
      <w:pPr>
        <w:pStyle w:val="TextBody"/>
        <w:bidi w:val="0"/>
        <w:spacing w:before="0" w:after="0"/>
        <w:jc w:val="left"/>
        <w:rPr>
          <w:rFonts w:ascii="sans-serif" w:hAnsi="sans-serif"/>
          <w:color w:val="000000"/>
          <w:sz w:val="20"/>
        </w:rPr>
      </w:pPr>
      <w:r>
        <w:rPr>
          <w:rFonts w:ascii="sans-serif" w:hAnsi="sans-serif"/>
          <w:color w:val="000000"/>
          <w:sz w:val="20"/>
        </w:rPr>
        <w:t>Growth products consist of Coating Services, Analytical Services and Advanced Materials and Functional Printing within the Advanced Materials and Chemicals segment.</w:t>
      </w:r>
    </w:p>
    <w:p>
      <w:pPr>
        <w:pStyle w:val="TextBody"/>
        <w:bidi w:val="0"/>
        <w:spacing w:before="0" w:after="0"/>
        <w:jc w:val="left"/>
        <w:rPr>
          <w:rFonts w:ascii="Calibri" w:hAnsi="Calibri"/>
          <w:color w:val="000000"/>
          <w:sz w:val="20"/>
        </w:rPr>
      </w:pPr>
      <w:r>
        <w:rPr>
          <w:rFonts w:ascii="Calibri" w:hAnsi="Calibri"/>
          <w:color w:val="000000"/>
          <w:sz w:val="20"/>
        </w:rPr>
        <w:t>(3)</w:t>
      </w:r>
    </w:p>
    <w:p>
      <w:pPr>
        <w:pStyle w:val="TextBody"/>
        <w:bidi w:val="0"/>
        <w:jc w:val="left"/>
        <w:rPr>
          <w:rFonts w:ascii="sans-serif" w:hAnsi="sans-serif"/>
          <w:sz w:val="22"/>
        </w:rPr>
      </w:pPr>
      <w:r>
        <w:rPr>
          <w:rFonts w:ascii="sans-serif" w:hAnsi="sans-serif"/>
          <w:color w:val="000000"/>
          <w:sz w:val="20"/>
        </w:rPr>
        <w:t>Other consists of Intellectual Property Licensing ("IP Licensing") within the Advanced Materials and Chemicals segment, Brand Licensing and Eastman Business Park.</w:t>
      </w:r>
      <w:r>
        <w:rPr>
          <w:rFonts w:ascii="sans-serif" w:hAnsi="sans-serif"/>
          <w:color w:val="000000"/>
          <w:sz w:val="22"/>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b/>
          <w:color w:val="000000"/>
          <w:sz w:val="20"/>
        </w:rPr>
        <w:t xml:space="preserve">Geography </w:t>
      </w:r>
      <w:r>
        <w:rPr>
          <w:rFonts w:ascii="sans-serif" w:hAnsi="sans-serif"/>
          <w:b/>
          <w:color w:val="000000"/>
          <w:sz w:val="13"/>
        </w:rPr>
        <w:t>(1):</w:t>
      </w:r>
    </w:p>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85"/>
        <w:gridCol w:w="746"/>
        <w:gridCol w:w="146"/>
        <w:gridCol w:w="146"/>
        <w:gridCol w:w="296"/>
        <w:gridCol w:w="455"/>
        <w:gridCol w:w="146"/>
        <w:gridCol w:w="146"/>
        <w:gridCol w:w="419"/>
        <w:gridCol w:w="646"/>
        <w:gridCol w:w="146"/>
        <w:gridCol w:w="146"/>
        <w:gridCol w:w="226"/>
        <w:gridCol w:w="4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 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85"/>
        <w:gridCol w:w="746"/>
        <w:gridCol w:w="146"/>
        <w:gridCol w:w="146"/>
        <w:gridCol w:w="296"/>
        <w:gridCol w:w="455"/>
        <w:gridCol w:w="146"/>
        <w:gridCol w:w="146"/>
        <w:gridCol w:w="419"/>
        <w:gridCol w:w="646"/>
        <w:gridCol w:w="146"/>
        <w:gridCol w:w="146"/>
        <w:gridCol w:w="226"/>
        <w:gridCol w:w="4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 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color w:val="000000"/>
          <w:sz w:val="20"/>
        </w:rPr>
      </w:pPr>
      <w:r>
        <w:rPr>
          <w:rFonts w:ascii="sans-serif" w:hAnsi="sans-serif"/>
          <w:color w:val="000000"/>
          <w:sz w:val="20"/>
        </w:rPr>
        <w:t>Sales are reported in the geographic area in which they originate.</w:t>
      </w:r>
    </w:p>
    <w:p>
      <w:pPr>
        <w:pStyle w:val="TextBody"/>
        <w:bidi w:val="0"/>
        <w:spacing w:before="200" w:after="283"/>
        <w:jc w:val="left"/>
        <w:rPr>
          <w:rFonts w:ascii="sans-serif" w:hAnsi="sans-serif"/>
          <w:b/>
          <w:i/>
          <w:color w:val="000000"/>
          <w:sz w:val="20"/>
        </w:rPr>
      </w:pPr>
      <w:r>
        <w:rPr>
          <w:rFonts w:ascii="sans-serif" w:hAnsi="sans-serif"/>
          <w:b/>
          <w:i/>
          <w:color w:val="000000"/>
          <w:sz w:val="20"/>
        </w:rPr>
        <w:t>Contract Balances</w:t>
      </w:r>
    </w:p>
    <w:p>
      <w:pPr>
        <w:pStyle w:val="TextBody"/>
        <w:bidi w:val="0"/>
        <w:spacing w:before="200" w:after="283"/>
        <w:jc w:val="left"/>
        <w:rPr>
          <w:rFonts w:ascii="Times New Roman" w:hAnsi="Times New Roman"/>
          <w:sz w:val="20"/>
        </w:rPr>
      </w:pPr>
      <w:r>
        <w:rPr>
          <w:rFonts w:ascii="sans-serif" w:hAnsi="sans-serif"/>
          <w:color w:val="000000"/>
          <w:sz w:val="20"/>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at both March 31, 2026 and December 31, 2025</w:t>
      </w:r>
      <w:r>
        <w:rPr>
          <w:rFonts w:ascii="Times New Roman" w:hAnsi="Times New Roman"/>
          <w:color w:val="000000"/>
          <w:sz w:val="20"/>
        </w:rPr>
        <w:t xml:space="preserve"> </w:t>
      </w:r>
      <w:r>
        <w:rPr>
          <w:rFonts w:ascii="sans-serif" w:hAnsi="sans-serif"/>
          <w:color w:val="000000"/>
          <w:sz w:val="20"/>
        </w:rPr>
        <w:t>was $5</w:t>
      </w:r>
      <w:r>
        <w:rPr>
          <w:rFonts w:ascii="Times New Roman" w:hAnsi="Times New Roman"/>
          <w:color w:val="000000"/>
          <w:sz w:val="20"/>
        </w:rPr>
        <w:t xml:space="preserve"> </w:t>
      </w:r>
      <w:r>
        <w:rPr>
          <w:rFonts w:ascii="sans-serif" w:hAnsi="sans-serif"/>
          <w:color w:val="000000"/>
          <w:sz w:val="20"/>
        </w:rPr>
        <w:t>million and is reported in Other current assets in the Consolidated Statement of Financial Position. The contract liabilities primarily relate to brand licensing agreements, prepaid service contracts or upfront payments for certain equipment purchases. The amounts recorded for contract liabilities in the Consolidated Statement of Financial Position at March 31, 2026 and December 31, 2025</w:t>
      </w:r>
      <w:r>
        <w:rPr>
          <w:rFonts w:ascii="Times New Roman" w:hAnsi="Times New Roman"/>
          <w:color w:val="000000"/>
          <w:sz w:val="20"/>
        </w:rPr>
        <w:t xml:space="preserve"> </w:t>
      </w:r>
      <w:r>
        <w:rPr>
          <w:rFonts w:ascii="sans-serif" w:hAnsi="sans-serif"/>
          <w:color w:val="000000"/>
          <w:sz w:val="20"/>
        </w:rPr>
        <w:t>was $91</w:t>
      </w:r>
      <w:r>
        <w:rPr>
          <w:rFonts w:ascii="Times New Roman" w:hAnsi="Times New Roman"/>
          <w:color w:val="000000"/>
          <w:sz w:val="20"/>
        </w:rPr>
        <w:t xml:space="preserve"> </w:t>
      </w:r>
      <w:r>
        <w:rPr>
          <w:rFonts w:ascii="sans-serif" w:hAnsi="sans-serif"/>
          <w:color w:val="000000"/>
          <w:sz w:val="20"/>
        </w:rPr>
        <w:t>million and $94</w:t>
      </w:r>
      <w:r>
        <w:rPr>
          <w:rFonts w:ascii="Times New Roman" w:hAnsi="Times New Roman"/>
          <w:color w:val="000000"/>
          <w:sz w:val="20"/>
        </w:rPr>
        <w:t xml:space="preserve"> </w:t>
      </w:r>
      <w:r>
        <w:rPr>
          <w:rFonts w:ascii="sans-serif" w:hAnsi="sans-serif"/>
          <w:color w:val="000000"/>
          <w:sz w:val="20"/>
        </w:rPr>
        <w:t>million, respectively, of which $41</w:t>
      </w:r>
      <w:r>
        <w:rPr>
          <w:rFonts w:ascii="Times New Roman" w:hAnsi="Times New Roman"/>
          <w:color w:val="000000"/>
          <w:sz w:val="20"/>
        </w:rPr>
        <w:t xml:space="preserve"> </w:t>
      </w:r>
      <w:r>
        <w:rPr>
          <w:rFonts w:ascii="sans-serif" w:hAnsi="sans-serif"/>
          <w:color w:val="000000"/>
          <w:sz w:val="20"/>
        </w:rPr>
        <w:t>million and $42</w:t>
      </w:r>
      <w:r>
        <w:rPr>
          <w:rFonts w:ascii="Times New Roman" w:hAnsi="Times New Roman"/>
          <w:color w:val="000000"/>
          <w:sz w:val="20"/>
        </w:rPr>
        <w:t xml:space="preserve"> </w:t>
      </w:r>
      <w:r>
        <w:rPr>
          <w:rFonts w:ascii="sans-serif" w:hAnsi="sans-serif"/>
          <w:color w:val="000000"/>
          <w:sz w:val="20"/>
        </w:rPr>
        <w:t>million, respectively, was reported in Other current liabilities and $50</w:t>
      </w:r>
      <w:r>
        <w:rPr>
          <w:rFonts w:ascii="Times New Roman" w:hAnsi="Times New Roman"/>
          <w:color w:val="000000"/>
          <w:sz w:val="20"/>
        </w:rPr>
        <w:t xml:space="preserve"> </w:t>
      </w:r>
      <w:r>
        <w:rPr>
          <w:rFonts w:ascii="sans-serif" w:hAnsi="sans-serif"/>
          <w:color w:val="000000"/>
          <w:sz w:val="20"/>
        </w:rPr>
        <w:t>million and $52</w:t>
      </w:r>
      <w:r>
        <w:rPr>
          <w:rFonts w:ascii="Times New Roman" w:hAnsi="Times New Roman"/>
          <w:color w:val="000000"/>
          <w:sz w:val="20"/>
        </w:rPr>
        <w:t xml:space="preserve"> </w:t>
      </w:r>
      <w:r>
        <w:rPr>
          <w:rFonts w:ascii="sans-serif" w:hAnsi="sans-serif"/>
          <w:color w:val="000000"/>
          <w:sz w:val="20"/>
        </w:rPr>
        <w:t>million, respectively, was reported in Other long-term liabilities.</w:t>
      </w:r>
    </w:p>
    <w:p>
      <w:pPr>
        <w:pStyle w:val="TextBody"/>
        <w:bidi w:val="0"/>
        <w:spacing w:before="200" w:after="283"/>
        <w:jc w:val="left"/>
        <w:rPr>
          <w:rFonts w:ascii="Times New Roman" w:hAnsi="Times New Roman"/>
          <w:sz w:val="20"/>
        </w:rPr>
      </w:pPr>
      <w:bookmarkStart w:id="20" w:name="led293237f20245141718396997424"/>
      <w:bookmarkEnd w:id="20"/>
      <w:r>
        <w:rPr>
          <w:rFonts w:ascii="sans-serif" w:hAnsi="sans-serif"/>
          <w:color w:val="000000"/>
          <w:sz w:val="20"/>
        </w:rPr>
        <w:t>Revenue recognized for the three months ended March 31, 2026 and 2025</w:t>
      </w:r>
      <w:r>
        <w:rPr>
          <w:rFonts w:ascii="Times New Roman" w:hAnsi="Times New Roman"/>
          <w:color w:val="000000"/>
          <w:sz w:val="20"/>
        </w:rPr>
        <w:t xml:space="preserve"> </w:t>
      </w:r>
      <w:r>
        <w:rPr>
          <w:rFonts w:ascii="sans-serif" w:hAnsi="sans-serif"/>
          <w:color w:val="000000"/>
          <w:sz w:val="20"/>
        </w:rPr>
        <w:t>that was included in the contract liability balance at the beginning of the respective fiscal years was $27</w:t>
      </w:r>
      <w:r>
        <w:rPr>
          <w:rFonts w:ascii="Times New Roman" w:hAnsi="Times New Roman"/>
          <w:color w:val="000000"/>
          <w:sz w:val="20"/>
        </w:rPr>
        <w:t xml:space="preserve"> </w:t>
      </w:r>
      <w:r>
        <w:rPr>
          <w:rFonts w:ascii="sans-serif" w:hAnsi="sans-serif"/>
          <w:color w:val="000000"/>
          <w:sz w:val="20"/>
        </w:rPr>
        <w:t>million and $19</w:t>
      </w:r>
      <w:r>
        <w:rPr>
          <w:rFonts w:ascii="Times New Roman" w:hAnsi="Times New Roman"/>
          <w:color w:val="000000"/>
          <w:sz w:val="20"/>
        </w:rPr>
        <w:t xml:space="preserve"> </w:t>
      </w:r>
      <w:r>
        <w:rPr>
          <w:rFonts w:ascii="sans-serif" w:hAnsi="sans-serif"/>
          <w:color w:val="000000"/>
          <w:sz w:val="20"/>
        </w:rPr>
        <w:t>million, respectively, and primarily represented revenue from prepaid service contracts and equipment sales. Contract liabilities included $23</w:t>
      </w:r>
      <w:r>
        <w:rPr>
          <w:rFonts w:ascii="Times New Roman" w:hAnsi="Times New Roman"/>
          <w:color w:val="000000"/>
          <w:sz w:val="20"/>
        </w:rPr>
        <w:t xml:space="preserve"> </w:t>
      </w:r>
      <w:r>
        <w:rPr>
          <w:rFonts w:ascii="sans-serif" w:hAnsi="sans-serif"/>
          <w:color w:val="000000"/>
          <w:sz w:val="20"/>
        </w:rPr>
        <w:t>million and $18</w:t>
      </w:r>
      <w:r>
        <w:rPr>
          <w:rFonts w:ascii="Times New Roman" w:hAnsi="Times New Roman"/>
          <w:color w:val="000000"/>
          <w:sz w:val="20"/>
        </w:rPr>
        <w:t xml:space="preserve"> </w:t>
      </w:r>
      <w:r>
        <w:rPr>
          <w:rFonts w:ascii="sans-serif" w:hAnsi="sans-serif"/>
          <w:color w:val="000000"/>
          <w:sz w:val="20"/>
        </w:rPr>
        <w:t>million of cash payments received during the three months ended March 31, 2026 and 2025, respectively.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 does not disclose the value of unsatisfied performance obligations for contracts with an original expected length of one year or less or for which revenue is recognized at the amount to which Kodak has the right to invoice for services performed.</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Performance obligations with an original expected length of greater than</w:t>
      </w:r>
      <w:r>
        <w:rPr>
          <w:rFonts w:ascii="Times New Roman" w:hAnsi="Times New Roman"/>
          <w:color w:val="000000"/>
          <w:sz w:val="20"/>
        </w:rPr>
        <w:t xml:space="preserve"> </w:t>
      </w:r>
      <w:r>
        <w:rPr>
          <w:rFonts w:ascii="sans-serif" w:hAnsi="sans-serif"/>
          <w:color w:val="000000"/>
          <w:sz w:val="20"/>
        </w:rPr>
        <w:t>one year</w:t>
      </w:r>
      <w:r>
        <w:rPr>
          <w:rFonts w:ascii="Times New Roman" w:hAnsi="Times New Roman"/>
          <w:color w:val="000000"/>
          <w:sz w:val="20"/>
        </w:rPr>
        <w:t xml:space="preserve"> </w:t>
      </w:r>
      <w:r>
        <w:rPr>
          <w:rFonts w:ascii="sans-serif" w:hAnsi="sans-serif"/>
          <w:color w:val="000000"/>
          <w:sz w:val="20"/>
        </w:rPr>
        <w:t>generally consist of deferred service contracts, operating leases and licensing arrangements. As of March 31, 2026, there was approximately $80</w:t>
      </w:r>
      <w:r>
        <w:rPr>
          <w:rFonts w:ascii="Times New Roman" w:hAnsi="Times New Roman"/>
          <w:color w:val="000000"/>
          <w:sz w:val="20"/>
        </w:rPr>
        <w:t xml:space="preserve"> </w:t>
      </w:r>
      <w:r>
        <w:rPr>
          <w:rFonts w:ascii="sans-serif" w:hAnsi="sans-serif"/>
          <w:color w:val="000000"/>
          <w:sz w:val="20"/>
        </w:rPr>
        <w:t>million of unrecognized revenue from unsatisfied performance obligations. Approximately 15% of the revenue from unsatisfied performance obligations is expected to be recognized in the remainder of 2026,</w:t>
      </w:r>
      <w:r>
        <w:rPr>
          <w:rFonts w:ascii="Times New Roman" w:hAnsi="Times New Roman"/>
          <w:color w:val="000000"/>
          <w:sz w:val="20"/>
        </w:rPr>
        <w:t xml:space="preserve"> </w:t>
      </w:r>
      <w:r>
        <w:rPr>
          <w:rFonts w:ascii="sans-serif" w:hAnsi="sans-serif"/>
          <w:color w:val="000000"/>
          <w:sz w:val="20"/>
        </w:rPr>
        <w:t>15% in 2027, 10% in each of 2028</w:t>
      </w:r>
      <w:r>
        <w:rPr>
          <w:rFonts w:ascii="Times New Roman" w:hAnsi="Times New Roman"/>
          <w:color w:val="000000"/>
          <w:sz w:val="20"/>
        </w:rPr>
        <w:t xml:space="preserve"> </w:t>
      </w:r>
      <w:r>
        <w:rPr>
          <w:rFonts w:ascii="sans-serif" w:hAnsi="sans-serif"/>
          <w:color w:val="000000"/>
          <w:sz w:val="20"/>
        </w:rPr>
        <w:t>and 2029</w:t>
      </w:r>
      <w:r>
        <w:rPr>
          <w:rFonts w:ascii="Times New Roman" w:hAnsi="Times New Roman"/>
          <w:color w:val="000000"/>
          <w:sz w:val="20"/>
        </w:rPr>
        <w:t xml:space="preserve"> </w:t>
      </w:r>
      <w:r>
        <w:rPr>
          <w:rFonts w:ascii="sans-serif" w:hAnsi="sans-serif"/>
          <w:color w:val="000000"/>
          <w:sz w:val="20"/>
        </w:rPr>
        <w:t>and 50% thereafter.</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12: OTHER CHARGES, NET</w:t>
      </w:r>
    </w:p>
    <w:p>
      <w:pPr>
        <w:pStyle w:val="TextBody"/>
        <w:bidi w:val="0"/>
        <w:jc w:val="left"/>
        <w:rPr/>
      </w:pPr>
      <w:r>
        <w:rPr/>
        <w:t> </w:t>
      </w:r>
    </w:p>
    <w:tbl>
      <w:tblPr>
        <w:tblW w:w="9836" w:type="dxa"/>
        <w:jc w:val="left"/>
        <w:tblInd w:w="0" w:type="dxa"/>
        <w:tblLayout w:type="fixed"/>
        <w:tblCellMar>
          <w:top w:w="28" w:type="dxa"/>
          <w:left w:w="28" w:type="dxa"/>
          <w:bottom w:w="28" w:type="dxa"/>
          <w:right w:w="28" w:type="dxa"/>
        </w:tblCellMar>
      </w:tblPr>
      <w:tblGrid>
        <w:gridCol w:w="7096"/>
        <w:gridCol w:w="146"/>
        <w:gridCol w:w="364"/>
        <w:gridCol w:w="557"/>
        <w:gridCol w:w="291"/>
        <w:gridCol w:w="235"/>
        <w:gridCol w:w="364"/>
        <w:gridCol w:w="557"/>
        <w:gridCol w:w="226"/>
      </w:tblGrid>
      <w:tr>
        <w:trPr/>
        <w:tc>
          <w:tcPr>
            <w:tcW w:w="7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on foreign exchange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Change in fair value of embedded preferred stock derivative liability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color w:val="000000"/>
          <w:sz w:val="20"/>
        </w:rPr>
      </w:pPr>
      <w:r>
        <w:rPr>
          <w:rFonts w:ascii="sans-serif" w:hAnsi="sans-serif"/>
          <w:color w:val="000000"/>
          <w:sz w:val="20"/>
        </w:rPr>
        <w:t xml:space="preserve">Refer to Note 19, "Financial Instruments" for information on the valuation of this derivative. </w:t>
      </w:r>
    </w:p>
    <w:p>
      <w:pPr>
        <w:pStyle w:val="TextBody"/>
        <w:bidi w:val="0"/>
        <w:spacing w:before="200" w:after="283"/>
        <w:jc w:val="left"/>
        <w:rPr>
          <w:rFonts w:ascii="sans-serif" w:hAnsi="sans-serif"/>
          <w:b/>
          <w:color w:val="000000"/>
          <w:sz w:val="20"/>
        </w:rPr>
      </w:pPr>
      <w:r>
        <w:rPr>
          <w:rFonts w:ascii="sans-serif" w:hAnsi="sans-serif"/>
          <w:b/>
          <w:color w:val="000000"/>
          <w:sz w:val="20"/>
        </w:rPr>
        <w:t>NOTE 13: INCOME TAXES</w:t>
      </w:r>
    </w:p>
    <w:p>
      <w:pPr>
        <w:pStyle w:val="TextBody"/>
        <w:bidi w:val="0"/>
        <w:spacing w:before="200" w:after="283"/>
        <w:jc w:val="left"/>
        <w:rPr>
          <w:rFonts w:ascii="sans-serif" w:hAnsi="sans-serif"/>
          <w:color w:val="000000"/>
          <w:sz w:val="20"/>
        </w:rPr>
      </w:pPr>
      <w:r>
        <w:rPr>
          <w:rFonts w:ascii="sans-serif" w:hAnsi="sans-serif"/>
          <w:color w:val="000000"/>
          <w:sz w:val="20"/>
        </w:rPr>
        <w:t>Kodak’s income tax provision and effective tax rate were as follows:</w:t>
      </w:r>
    </w:p>
    <w:p>
      <w:pPr>
        <w:pStyle w:val="TextBody"/>
        <w:bidi w:val="0"/>
        <w:jc w:val="left"/>
        <w:rPr/>
      </w:pPr>
      <w:r>
        <w:rPr/>
        <w:t> </w:t>
      </w:r>
    </w:p>
    <w:tbl>
      <w:tblPr>
        <w:tblW w:w="8431" w:type="dxa"/>
        <w:jc w:val="left"/>
        <w:tblInd w:w="0" w:type="dxa"/>
        <w:tblLayout w:type="fixed"/>
        <w:tblCellMar>
          <w:top w:w="28" w:type="dxa"/>
          <w:left w:w="28" w:type="dxa"/>
          <w:bottom w:w="28" w:type="dxa"/>
          <w:right w:w="28" w:type="dxa"/>
        </w:tblCellMar>
      </w:tblPr>
      <w:tblGrid>
        <w:gridCol w:w="5411"/>
        <w:gridCol w:w="146"/>
        <w:gridCol w:w="247"/>
        <w:gridCol w:w="659"/>
        <w:gridCol w:w="396"/>
        <w:gridCol w:w="160"/>
        <w:gridCol w:w="247"/>
        <w:gridCol w:w="659"/>
        <w:gridCol w:w="506"/>
      </w:tblGrid>
      <w:tr>
        <w:trPr/>
        <w:tc>
          <w:tcPr>
            <w:tcW w:w="5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5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Benefit for income taxes at U.S.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Difference between tax at effective vs.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bookmarkStart w:id="21" w:name="led293237f20247221724359167812"/>
      <w:bookmarkEnd w:id="21"/>
      <w:r>
        <w:rPr>
          <w:rFonts w:ascii="sans-serif" w:hAnsi="sans-serif"/>
          <w:color w:val="000000"/>
          <w:sz w:val="20"/>
        </w:rPr>
        <w:t>For the three months ended March 31, 2026, the difference between Kodak’s effective tax rate and the U.S. statutory rate of 21.0% was primarily attributable to: (1) the movement of valuation allowances associated with changes in net deferred tax assets from current losses and earnings; (2) the jurisdictional mix of earnings (including US state); and (3) foreign withholding taxes.</w:t>
      </w:r>
    </w:p>
    <w:p>
      <w:pPr>
        <w:pStyle w:val="TextBody"/>
        <w:bidi w:val="0"/>
        <w:spacing w:before="200" w:after="283"/>
        <w:jc w:val="left"/>
        <w:rPr>
          <w:rFonts w:ascii="sans-serif" w:hAnsi="sans-serif"/>
          <w:color w:val="000000"/>
          <w:sz w:val="20"/>
        </w:rPr>
      </w:pPr>
      <w:r>
        <w:rPr>
          <w:rFonts w:ascii="sans-serif" w:hAnsi="sans-serif"/>
          <w:color w:val="000000"/>
          <w:sz w:val="20"/>
        </w:rPr>
        <w:t>For the three months ended March 31, 2025, the difference between Kodak’s effective tax rate and the U.S. statutory rate of 21.0% was primarily attributable to: (1) the movement of valuation allowances associated with changes in net deferred tax assets from current losses and earnings and (2) a provision associated with foreign withholding taxes on undistributed earnings.</w:t>
      </w:r>
    </w:p>
    <w:p>
      <w:pPr>
        <w:pStyle w:val="TextBody"/>
        <w:bidi w:val="0"/>
        <w:spacing w:before="200" w:after="283"/>
        <w:jc w:val="left"/>
        <w:rPr>
          <w:rFonts w:ascii="sans-serif" w:hAnsi="sans-serif"/>
          <w:color w:val="000000"/>
          <w:sz w:val="20"/>
        </w:rPr>
      </w:pPr>
      <w:r>
        <w:rPr>
          <w:rFonts w:ascii="sans-serif" w:hAnsi="sans-serif"/>
          <w:color w:val="000000"/>
          <w:sz w:val="20"/>
        </w:rPr>
        <w:t>In December 2021, the Organisation for Economic Cooperation and Development (“OECD”) introduced Base Erosion and Profit Shifting (“BEPS”) Pillar 2 rules that impose a global minimum tax rate of 15%. Many participating countries enacted changes which took effect in 2024. After considering the applicable tax law changes in the Pillar 2 implementation, Kodak determined there was no material impact to its tax provision for the three months ended March 31, 2026 and 2025.</w:t>
      </w:r>
    </w:p>
    <w:p>
      <w:pPr>
        <w:pStyle w:val="TextBody"/>
        <w:bidi w:val="0"/>
        <w:spacing w:before="200" w:after="283"/>
        <w:jc w:val="left"/>
        <w:rPr>
          <w:rFonts w:ascii="sans-serif" w:hAnsi="sans-serif"/>
          <w:color w:val="000000"/>
          <w:sz w:val="20"/>
        </w:rPr>
      </w:pPr>
      <w:r>
        <w:rPr>
          <w:rFonts w:ascii="sans-serif" w:hAnsi="sans-serif"/>
          <w:color w:val="000000"/>
          <w:sz w:val="20"/>
        </w:rPr>
        <w:t>In March 2026, German Federal Fiscal Court (BFH) ruling (I R 37/22) confirmed that profit and loss transfer agreements ("PLTA") must be actually and timely implemented to maintain a valid tax group in Germany, including timely settlement of profit or loss compensation amongst entities in the group. Kodak is in the process of gathering information and assessing the impacts, if any, on the tax positions of the entities in the Company's German group for the 2021-2025 periods that are impacted by this ruling.</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b/>
          <w:color w:val="000000"/>
          <w:sz w:val="20"/>
        </w:rPr>
        <w:t>NOTE 14: RETIREMENT PLANS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Components of the net periodic benefit cost for all major U.S. and non-U.S. defined benefit pension plans are as follows:</w:t>
      </w:r>
    </w:p>
    <w:p>
      <w:pPr>
        <w:pStyle w:val="TextBody"/>
        <w:bidi w:val="0"/>
        <w:jc w:val="left"/>
        <w:rPr/>
      </w:pPr>
      <w:r>
        <w:rPr/>
        <w:t> </w:t>
      </w:r>
    </w:p>
    <w:tbl>
      <w:tblPr>
        <w:tblW w:w="9375" w:type="dxa"/>
        <w:jc w:val="left"/>
        <w:tblInd w:w="0" w:type="dxa"/>
        <w:tblLayout w:type="fixed"/>
        <w:tblCellMar>
          <w:top w:w="28" w:type="dxa"/>
          <w:left w:w="28" w:type="dxa"/>
          <w:bottom w:w="28" w:type="dxa"/>
          <w:right w:w="28" w:type="dxa"/>
        </w:tblCellMar>
      </w:tblPr>
      <w:tblGrid>
        <w:gridCol w:w="4606"/>
        <w:gridCol w:w="146"/>
        <w:gridCol w:w="226"/>
        <w:gridCol w:w="346"/>
        <w:gridCol w:w="181"/>
        <w:gridCol w:w="146"/>
        <w:gridCol w:w="421"/>
        <w:gridCol w:w="645"/>
        <w:gridCol w:w="181"/>
        <w:gridCol w:w="146"/>
        <w:gridCol w:w="226"/>
        <w:gridCol w:w="421"/>
        <w:gridCol w:w="181"/>
        <w:gridCol w:w="146"/>
        <w:gridCol w:w="421"/>
        <w:gridCol w:w="645"/>
        <w:gridCol w:w="2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3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Major defined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Prior 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Actuarial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pension (income) expense before special </w:t>
              <w:br/>
              <w:t>   termination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Special termination benefits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net pension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The special termination benefits were incurred as a result of Kodak’s restructuring actions and have been included in</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Restructuring costs and other in the Consolidated Statement of Operations for that period.</w:t>
      </w:r>
    </w:p>
    <w:p>
      <w:pPr>
        <w:pStyle w:val="TextBody"/>
        <w:bidi w:val="0"/>
        <w:spacing w:before="200" w:after="160"/>
        <w:jc w:val="left"/>
        <w:rPr>
          <w:rFonts w:ascii="sans-serif" w:hAnsi="sans-serif"/>
          <w:color w:val="000000"/>
          <w:sz w:val="20"/>
        </w:rPr>
      </w:pPr>
      <w:r>
        <w:rPr>
          <w:rFonts w:ascii="sans-serif" w:hAnsi="sans-serif"/>
          <w:color w:val="000000"/>
          <w:sz w:val="20"/>
        </w:rPr>
        <w:t>On January 21, 2025, the Board of Directors of Kodak approved the termination of the Kodak Retirement Income Plan (“KRIP”), effective March 31, 2025, and no further benefits were accrued under KRIP following this date. In addition, the Board of Directors approved a defined benefit retirement plan (the “Kodak Cash Balance Plan”) as a replacement for KRIP which became effective on March 1, 2025 for new hires and on April 1, 2025 for then current employees. The benefits under the Kodak Cash Balance Plan are substantially the same as those under the cash balance feature of KRIP. On November 26, 2025, all pension obligations under KRIP were fully settled and the excess pension assets were reverted to the Company.</w:t>
      </w:r>
    </w:p>
    <w:p>
      <w:pPr>
        <w:pStyle w:val="TextBody"/>
        <w:bidi w:val="0"/>
        <w:spacing w:before="40" w:after="16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15: EARNINGS PER SHARE</w:t>
      </w:r>
    </w:p>
    <w:p>
      <w:pPr>
        <w:pStyle w:val="TextBody"/>
        <w:bidi w:val="0"/>
        <w:spacing w:before="200" w:after="283"/>
        <w:jc w:val="left"/>
        <w:rPr>
          <w:rFonts w:ascii="sans-serif" w:hAnsi="sans-serif"/>
          <w:color w:val="000000"/>
          <w:sz w:val="20"/>
        </w:rPr>
      </w:pPr>
      <w:r>
        <w:rPr>
          <w:rFonts w:ascii="sans-serif" w:hAnsi="sans-serif"/>
          <w:color w:val="000000"/>
          <w:sz w:val="20"/>
        </w:rPr>
        <w:t>Basic earnings per share are calculated using the weighted-average number of shares of Common Stock outstanding during the period. Diluted earnings per share calculations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pStyle w:val="TextBody"/>
        <w:bidi w:val="0"/>
        <w:spacing w:before="200" w:after="283"/>
        <w:jc w:val="left"/>
        <w:rPr>
          <w:rFonts w:ascii="sans-serif" w:hAnsi="sans-serif"/>
          <w:color w:val="000000"/>
          <w:sz w:val="20"/>
        </w:rPr>
      </w:pPr>
      <w:bookmarkStart w:id="22" w:name="led293237f20228201663700819811"/>
      <w:bookmarkEnd w:id="22"/>
      <w:r>
        <w:rPr>
          <w:rFonts w:ascii="sans-serif" w:hAnsi="sans-serif"/>
          <w:color w:val="000000"/>
          <w:sz w:val="20"/>
        </w:rPr>
        <w:t>A reconciliation of the amounts used to calculate basic and diluted loss per share for the three months ended March 31, 2026 and 2025 follows:</w:t>
      </w:r>
    </w:p>
    <w:p>
      <w:pPr>
        <w:pStyle w:val="TextBody"/>
        <w:bidi w:val="0"/>
        <w:jc w:val="left"/>
        <w:rPr/>
      </w:pPr>
      <w:r>
        <w:rPr/>
        <w:t> </w:t>
      </w:r>
    </w:p>
    <w:tbl>
      <w:tblPr>
        <w:tblW w:w="8430" w:type="dxa"/>
        <w:jc w:val="left"/>
        <w:tblInd w:w="0" w:type="dxa"/>
        <w:tblLayout w:type="fixed"/>
        <w:tblCellMar>
          <w:top w:w="28" w:type="dxa"/>
          <w:left w:w="28" w:type="dxa"/>
          <w:bottom w:w="28" w:type="dxa"/>
          <w:right w:w="28" w:type="dxa"/>
        </w:tblCellMar>
      </w:tblPr>
      <w:tblGrid>
        <w:gridCol w:w="5591"/>
        <w:gridCol w:w="146"/>
        <w:gridCol w:w="330"/>
        <w:gridCol w:w="615"/>
        <w:gridCol w:w="264"/>
        <w:gridCol w:w="213"/>
        <w:gridCol w:w="330"/>
        <w:gridCol w:w="615"/>
        <w:gridCol w:w="326"/>
      </w:tblGrid>
      <w:tr>
        <w:trPr/>
        <w:tc>
          <w:tcPr>
            <w:tcW w:w="5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Series B 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Series C 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Preferred stock deemed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Deemed dividend on preferred stock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available to common shareholders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tbl>
      <w:tblPr>
        <w:tblW w:w="6406" w:type="dxa"/>
        <w:jc w:val="left"/>
        <w:tblInd w:w="0" w:type="dxa"/>
        <w:tblLayout w:type="fixed"/>
        <w:tblCellMar>
          <w:top w:w="28" w:type="dxa"/>
          <w:left w:w="28" w:type="dxa"/>
          <w:bottom w:w="28" w:type="dxa"/>
          <w:right w:w="28" w:type="dxa"/>
        </w:tblCellMar>
      </w:tblPr>
      <w:tblGrid>
        <w:gridCol w:w="3601"/>
        <w:gridCol w:w="146"/>
        <w:gridCol w:w="211"/>
        <w:gridCol w:w="762"/>
        <w:gridCol w:w="211"/>
        <w:gridCol w:w="211"/>
        <w:gridCol w:w="211"/>
        <w:gridCol w:w="762"/>
        <w:gridCol w:w="2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Employee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sans-serif" w:hAnsi="sans-serif"/>
          <w:color w:val="000000"/>
          <w:sz w:val="20"/>
        </w:rPr>
        <w:t>As a result of the net loss available to common shareholders for the three months ended March 31, 2026, Kodak calculated diluted earnings per share using weighted-average basic shares outstanding. If Kodak had reported earnings available to common shareholders for the three months ended March 31, 2026, the calculation of diluted earnings per share would have included the assumed vesting of 1.8</w:t>
      </w:r>
      <w:r>
        <w:rPr>
          <w:rFonts w:ascii="Times New Roman" w:hAnsi="Times New Roman"/>
          <w:color w:val="000000"/>
          <w:sz w:val="20"/>
        </w:rPr>
        <w:t xml:space="preserve"> </w:t>
      </w:r>
      <w:r>
        <w:rPr>
          <w:rFonts w:ascii="sans-serif" w:hAnsi="sans-serif"/>
          <w:color w:val="000000"/>
          <w:sz w:val="20"/>
        </w:rPr>
        <w:t>million unvested restricted stock units, the assumed exercise of 0.7</w:t>
      </w:r>
      <w:r>
        <w:rPr>
          <w:rFonts w:ascii="Times New Roman" w:hAnsi="Times New Roman"/>
          <w:color w:val="000000"/>
          <w:sz w:val="20"/>
        </w:rPr>
        <w:t xml:space="preserve"> </w:t>
      </w:r>
      <w:r>
        <w:rPr>
          <w:rFonts w:ascii="sans-serif" w:hAnsi="sans-serif"/>
          <w:color w:val="000000"/>
          <w:sz w:val="20"/>
        </w:rPr>
        <w:t>million stock options and the assumed conversion of 0.3</w:t>
      </w:r>
      <w:r>
        <w:rPr>
          <w:rFonts w:ascii="Times New Roman" w:hAnsi="Times New Roman"/>
          <w:color w:val="000000"/>
          <w:sz w:val="20"/>
        </w:rPr>
        <w:t xml:space="preserve"> </w:t>
      </w:r>
      <w:r>
        <w:rPr>
          <w:rFonts w:ascii="sans-serif" w:hAnsi="sans-serif"/>
          <w:color w:val="000000"/>
          <w:sz w:val="20"/>
        </w:rPr>
        <w:t>million shares of 6.0% Series B Preferred Stock as permitted by the Beneficial Ownership Limitation.</w:t>
      </w:r>
    </w:p>
    <w:p>
      <w:pPr>
        <w:pStyle w:val="TextBody"/>
        <w:bidi w:val="0"/>
        <w:spacing w:before="200" w:after="283"/>
        <w:jc w:val="left"/>
        <w:rPr>
          <w:rFonts w:ascii="Times New Roman" w:hAnsi="Times New Roman"/>
          <w:sz w:val="20"/>
        </w:rPr>
      </w:pPr>
      <w:r>
        <w:rPr>
          <w:rFonts w:ascii="sans-serif" w:hAnsi="sans-serif"/>
          <w:color w:val="000000"/>
          <w:sz w:val="20"/>
        </w:rPr>
        <w:t>As a result of the net loss available to common shareholders for the three months ended March 31, 2025, Kodak calculated diluted earnings per share using weighted-average basic shares outstanding. If Kodak had reported earnings available to common shareholders for the three months ended March 31, 2025, the calculation of diluted earnings per share would have included the assumed vesting of 1.8</w:t>
      </w:r>
      <w:r>
        <w:rPr>
          <w:rFonts w:ascii="Times New Roman" w:hAnsi="Times New Roman"/>
          <w:color w:val="000000"/>
          <w:sz w:val="20"/>
        </w:rPr>
        <w:t xml:space="preserve"> </w:t>
      </w:r>
      <w:r>
        <w:rPr>
          <w:rFonts w:ascii="sans-serif" w:hAnsi="sans-serif"/>
          <w:color w:val="000000"/>
          <w:sz w:val="20"/>
        </w:rPr>
        <w:t>million unvested restricted stock units, the assumed exercise of 1.6</w:t>
      </w:r>
      <w:r>
        <w:rPr>
          <w:rFonts w:ascii="Times New Roman" w:hAnsi="Times New Roman"/>
          <w:color w:val="000000"/>
          <w:sz w:val="20"/>
        </w:rPr>
        <w:t xml:space="preserve"> </w:t>
      </w:r>
      <w:r>
        <w:rPr>
          <w:rFonts w:ascii="sans-serif" w:hAnsi="sans-serif"/>
          <w:color w:val="000000"/>
          <w:sz w:val="20"/>
        </w:rPr>
        <w:t>million stock options and the assumed conversion of 1.0</w:t>
      </w:r>
      <w:r>
        <w:rPr>
          <w:rFonts w:ascii="Times New Roman" w:hAnsi="Times New Roman"/>
          <w:color w:val="000000"/>
          <w:sz w:val="20"/>
        </w:rPr>
        <w:t xml:space="preserve"> </w:t>
      </w:r>
      <w:r>
        <w:rPr>
          <w:rFonts w:ascii="sans-serif" w:hAnsi="sans-serif"/>
          <w:color w:val="000000"/>
          <w:sz w:val="20"/>
        </w:rPr>
        <w:t>million shares of 4.0% Series B Preferred Stock.</w:t>
      </w:r>
    </w:p>
    <w:p>
      <w:pPr>
        <w:pStyle w:val="TextBody"/>
        <w:bidi w:val="0"/>
        <w:spacing w:before="200" w:after="283"/>
        <w:jc w:val="left"/>
        <w:rPr>
          <w:rFonts w:ascii="Times New Roman" w:hAnsi="Times New Roman"/>
          <w:sz w:val="20"/>
        </w:rPr>
      </w:pPr>
      <w:r>
        <w:rPr>
          <w:rFonts w:ascii="sans-serif" w:hAnsi="sans-serif"/>
          <w:color w:val="000000"/>
          <w:sz w:val="20"/>
        </w:rPr>
        <w:t>The computation of diluted earnings per share for the three months ended March 31, 2026</w:t>
      </w:r>
      <w:r>
        <w:rPr>
          <w:rFonts w:ascii="Times New Roman" w:hAnsi="Times New Roman"/>
          <w:color w:val="000000"/>
          <w:sz w:val="20"/>
        </w:rPr>
        <w:t xml:space="preserve"> </w:t>
      </w:r>
      <w:r>
        <w:rPr>
          <w:rFonts w:ascii="sans-serif" w:hAnsi="sans-serif"/>
          <w:color w:val="000000"/>
          <w:sz w:val="20"/>
        </w:rPr>
        <w:t>excluded the impact of (1) the assumed conversion of 0.3</w:t>
      </w:r>
      <w:r>
        <w:rPr>
          <w:rFonts w:ascii="Times New Roman" w:hAnsi="Times New Roman"/>
          <w:color w:val="000000"/>
          <w:sz w:val="20"/>
        </w:rPr>
        <w:t xml:space="preserve"> </w:t>
      </w:r>
      <w:r>
        <w:rPr>
          <w:rFonts w:ascii="sans-serif" w:hAnsi="sans-serif"/>
          <w:color w:val="000000"/>
          <w:sz w:val="20"/>
        </w:rPr>
        <w:t>million shares of 6.0% Series B Preferred Stock as permitted by the Beneficial Ownership Limitation</w:t>
      </w:r>
      <w:r>
        <w:rPr>
          <w:rFonts w:ascii="Times New Roman" w:hAnsi="Times New Roman"/>
          <w:color w:val="000000"/>
          <w:sz w:val="20"/>
        </w:rPr>
        <w:t xml:space="preserve"> </w:t>
      </w:r>
      <w:r>
        <w:rPr>
          <w:rFonts w:ascii="sans-serif" w:hAnsi="sans-serif"/>
          <w:color w:val="000000"/>
          <w:sz w:val="20"/>
        </w:rPr>
        <w:t>and (2) the assumed exercise of 1.7</w:t>
      </w:r>
      <w:r>
        <w:rPr>
          <w:rFonts w:ascii="Times New Roman" w:hAnsi="Times New Roman"/>
          <w:color w:val="000000"/>
          <w:sz w:val="20"/>
        </w:rPr>
        <w:t xml:space="preserve"> </w:t>
      </w:r>
      <w:r>
        <w:rPr>
          <w:rFonts w:ascii="sans-serif" w:hAnsi="sans-serif"/>
          <w:color w:val="000000"/>
          <w:sz w:val="20"/>
        </w:rPr>
        <w:t>million outstanding employee stock options because the effects would have been anti-dilutive.</w:t>
      </w:r>
    </w:p>
    <w:p>
      <w:pPr>
        <w:pStyle w:val="TextBody"/>
        <w:bidi w:val="0"/>
        <w:spacing w:before="200" w:after="283"/>
        <w:jc w:val="left"/>
        <w:rPr>
          <w:rFonts w:ascii="Times New Roman" w:hAnsi="Times New Roman"/>
          <w:sz w:val="20"/>
        </w:rPr>
      </w:pPr>
      <w:r>
        <w:rPr>
          <w:rFonts w:ascii="sans-serif" w:hAnsi="sans-serif"/>
          <w:color w:val="000000"/>
          <w:sz w:val="20"/>
        </w:rPr>
        <w:t>The computation of diluted earnings per share for the three months ended March 31, 2025</w:t>
      </w:r>
      <w:r>
        <w:rPr>
          <w:rFonts w:ascii="Times New Roman" w:hAnsi="Times New Roman"/>
          <w:color w:val="000000"/>
          <w:sz w:val="20"/>
        </w:rPr>
        <w:t xml:space="preserve"> </w:t>
      </w:r>
      <w:r>
        <w:rPr>
          <w:rFonts w:ascii="sans-serif" w:hAnsi="sans-serif"/>
          <w:color w:val="000000"/>
          <w:sz w:val="20"/>
        </w:rPr>
        <w:t>excluded the impact of (1) the assumed conversion of 1.0</w:t>
      </w:r>
      <w:r>
        <w:rPr>
          <w:rFonts w:ascii="Times New Roman" w:hAnsi="Times New Roman"/>
          <w:color w:val="000000"/>
          <w:sz w:val="20"/>
        </w:rPr>
        <w:t xml:space="preserve"> </w:t>
      </w:r>
      <w:r>
        <w:rPr>
          <w:rFonts w:ascii="sans-serif" w:hAnsi="sans-serif"/>
          <w:color w:val="000000"/>
          <w:sz w:val="20"/>
        </w:rPr>
        <w:t>million shares of 4.0% Series B Preferred Stock, (2) the assumed conversion of 1.2</w:t>
      </w:r>
      <w:r>
        <w:rPr>
          <w:rFonts w:ascii="Times New Roman" w:hAnsi="Times New Roman"/>
          <w:color w:val="000000"/>
          <w:sz w:val="20"/>
        </w:rPr>
        <w:t xml:space="preserve"> </w:t>
      </w:r>
      <w:r>
        <w:rPr>
          <w:rFonts w:ascii="sans-serif" w:hAnsi="sans-serif"/>
          <w:color w:val="000000"/>
          <w:sz w:val="20"/>
        </w:rPr>
        <w:t>million shares of Series C Preferred Stock and (3) the assumed exercise of 1.7</w:t>
      </w:r>
      <w:r>
        <w:rPr>
          <w:rFonts w:ascii="Times New Roman" w:hAnsi="Times New Roman"/>
          <w:color w:val="000000"/>
          <w:sz w:val="20"/>
        </w:rPr>
        <w:t xml:space="preserve"> </w:t>
      </w:r>
      <w:r>
        <w:rPr>
          <w:rFonts w:ascii="sans-serif" w:hAnsi="sans-serif"/>
          <w:color w:val="000000"/>
          <w:sz w:val="20"/>
        </w:rPr>
        <w:t>million outstanding employee stock options because the effects would have been anti-dilutive.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b/>
          <w:color w:val="000000"/>
          <w:sz w:val="20"/>
        </w:rPr>
        <w:t>NOTE 16: SHAREHOLDERS</w:t>
      </w:r>
      <w:r>
        <w:rPr>
          <w:rFonts w:ascii="Times New Roman" w:hAnsi="Times New Roman"/>
          <w:color w:val="000000"/>
          <w:sz w:val="20"/>
        </w:rPr>
        <w:t xml:space="preserve">’ </w:t>
      </w:r>
      <w:r>
        <w:rPr>
          <w:rFonts w:ascii="sans-serif" w:hAnsi="sans-serif"/>
          <w:b/>
          <w:color w:val="000000"/>
          <w:sz w:val="20"/>
        </w:rPr>
        <w:t>EQUITY</w:t>
      </w:r>
    </w:p>
    <w:p>
      <w:pPr>
        <w:pStyle w:val="TextBody"/>
        <w:bidi w:val="0"/>
        <w:spacing w:before="200" w:after="283"/>
        <w:jc w:val="left"/>
        <w:rPr>
          <w:rFonts w:ascii="Times New Roman" w:hAnsi="Times New Roman"/>
          <w:sz w:val="20"/>
        </w:rPr>
      </w:pPr>
      <w:r>
        <w:rPr>
          <w:rFonts w:ascii="sans-serif" w:hAnsi="sans-serif"/>
          <w:color w:val="000000"/>
          <w:sz w:val="20"/>
        </w:rPr>
        <w:t>The Company has 560</w:t>
      </w:r>
      <w:r>
        <w:rPr>
          <w:rFonts w:ascii="Times New Roman" w:hAnsi="Times New Roman"/>
          <w:color w:val="000000"/>
          <w:sz w:val="20"/>
        </w:rPr>
        <w:t xml:space="preserve"> </w:t>
      </w:r>
      <w:r>
        <w:rPr>
          <w:rFonts w:ascii="sans-serif" w:hAnsi="sans-serif"/>
          <w:color w:val="000000"/>
          <w:sz w:val="20"/>
        </w:rPr>
        <w:t>million shares of authorized stock, consisting of: (i) 500</w:t>
      </w:r>
      <w:r>
        <w:rPr>
          <w:rFonts w:ascii="Times New Roman" w:hAnsi="Times New Roman"/>
          <w:color w:val="000000"/>
          <w:sz w:val="20"/>
        </w:rPr>
        <w:t xml:space="preserve"> </w:t>
      </w:r>
      <w:r>
        <w:rPr>
          <w:rFonts w:ascii="sans-serif" w:hAnsi="sans-serif"/>
          <w:color w:val="000000"/>
          <w:sz w:val="20"/>
        </w:rPr>
        <w:t>million shares of common stock, par value $0.01</w:t>
      </w:r>
      <w:r>
        <w:rPr>
          <w:rFonts w:ascii="Times New Roman" w:hAnsi="Times New Roman"/>
          <w:color w:val="000000"/>
          <w:sz w:val="20"/>
        </w:rPr>
        <w:t xml:space="preserve"> </w:t>
      </w:r>
      <w:r>
        <w:rPr>
          <w:rFonts w:ascii="sans-serif" w:hAnsi="sans-serif"/>
          <w:color w:val="000000"/>
          <w:sz w:val="20"/>
        </w:rPr>
        <w:t>per share and (ii) 60</w:t>
      </w:r>
      <w:r>
        <w:rPr>
          <w:rFonts w:ascii="Times New Roman" w:hAnsi="Times New Roman"/>
          <w:color w:val="000000"/>
          <w:sz w:val="20"/>
        </w:rPr>
        <w:t xml:space="preserve"> </w:t>
      </w:r>
      <w:r>
        <w:rPr>
          <w:rFonts w:ascii="sans-serif" w:hAnsi="sans-serif"/>
          <w:color w:val="000000"/>
          <w:sz w:val="20"/>
        </w:rPr>
        <w:t>million shares of preferred stock, no</w:t>
      </w:r>
      <w:r>
        <w:rPr>
          <w:rFonts w:ascii="Times New Roman" w:hAnsi="Times New Roman"/>
          <w:color w:val="000000"/>
          <w:sz w:val="20"/>
        </w:rPr>
        <w:t xml:space="preserve"> </w:t>
      </w:r>
      <w:r>
        <w:rPr>
          <w:rFonts w:ascii="sans-serif" w:hAnsi="sans-serif"/>
          <w:color w:val="000000"/>
          <w:sz w:val="20"/>
        </w:rPr>
        <w:t>par value, issuable in one or more series.</w:t>
      </w:r>
    </w:p>
    <w:p>
      <w:pPr>
        <w:pStyle w:val="TextBody"/>
        <w:bidi w:val="0"/>
        <w:spacing w:before="200" w:after="283"/>
        <w:jc w:val="left"/>
        <w:rPr>
          <w:rFonts w:ascii="sans-serif" w:hAnsi="sans-serif"/>
          <w:b/>
          <w:color w:val="000000"/>
          <w:sz w:val="20"/>
        </w:rPr>
      </w:pPr>
      <w:r>
        <w:rPr>
          <w:rFonts w:ascii="sans-serif" w:hAnsi="sans-serif"/>
          <w:b/>
          <w:color w:val="000000"/>
          <w:sz w:val="20"/>
        </w:rPr>
        <w:t>Common Stock</w:t>
      </w:r>
    </w:p>
    <w:p>
      <w:pPr>
        <w:pStyle w:val="TextBody"/>
        <w:bidi w:val="0"/>
        <w:spacing w:before="200" w:after="283"/>
        <w:jc w:val="left"/>
        <w:rPr>
          <w:rFonts w:ascii="Times New Roman" w:hAnsi="Times New Roman"/>
          <w:sz w:val="20"/>
        </w:rPr>
      </w:pPr>
      <w:r>
        <w:rPr>
          <w:rFonts w:ascii="sans-serif" w:hAnsi="sans-serif"/>
          <w:color w:val="000000"/>
          <w:sz w:val="20"/>
        </w:rPr>
        <w:t>As of March 31, 2026 and December 31, 2025, there were 97.6</w:t>
      </w:r>
      <w:r>
        <w:rPr>
          <w:rFonts w:ascii="Times New Roman" w:hAnsi="Times New Roman"/>
          <w:color w:val="000000"/>
          <w:sz w:val="20"/>
        </w:rPr>
        <w:t xml:space="preserve"> </w:t>
      </w:r>
      <w:r>
        <w:rPr>
          <w:rFonts w:ascii="sans-serif" w:hAnsi="sans-serif"/>
          <w:color w:val="000000"/>
          <w:sz w:val="20"/>
        </w:rPr>
        <w:t>million and 97.4</w:t>
      </w:r>
      <w:r>
        <w:rPr>
          <w:rFonts w:ascii="Times New Roman" w:hAnsi="Times New Roman"/>
          <w:color w:val="000000"/>
          <w:sz w:val="20"/>
        </w:rPr>
        <w:t xml:space="preserve"> </w:t>
      </w:r>
      <w:r>
        <w:rPr>
          <w:rFonts w:ascii="sans-serif" w:hAnsi="sans-serif"/>
          <w:color w:val="000000"/>
          <w:sz w:val="20"/>
        </w:rPr>
        <w:t>million shares of common stock outstanding, respectively.</w:t>
      </w:r>
    </w:p>
    <w:p>
      <w:pPr>
        <w:pStyle w:val="TextBody"/>
        <w:bidi w:val="0"/>
        <w:spacing w:before="200" w:after="283"/>
        <w:jc w:val="left"/>
        <w:rPr>
          <w:rFonts w:ascii="sans-serif" w:hAnsi="sans-serif"/>
          <w:b/>
          <w:color w:val="000000"/>
          <w:sz w:val="20"/>
        </w:rPr>
      </w:pPr>
      <w:r>
        <w:rPr>
          <w:rFonts w:ascii="sans-serif" w:hAnsi="sans-serif"/>
          <w:b/>
          <w:color w:val="000000"/>
          <w:sz w:val="20"/>
        </w:rPr>
        <w:t>Preferred Stock</w:t>
      </w:r>
    </w:p>
    <w:p>
      <w:pPr>
        <w:pStyle w:val="TextBody"/>
        <w:bidi w:val="0"/>
        <w:spacing w:before="200" w:after="283"/>
        <w:jc w:val="left"/>
        <w:rPr>
          <w:rFonts w:ascii="Times New Roman" w:hAnsi="Times New Roman"/>
          <w:sz w:val="20"/>
        </w:rPr>
      </w:pPr>
      <w:r>
        <w:rPr>
          <w:rFonts w:ascii="sans-serif" w:hAnsi="sans-serif"/>
          <w:color w:val="000000"/>
          <w:sz w:val="20"/>
        </w:rPr>
        <w:t>Series B Preferred stock issued and outstanding included 1.0</w:t>
      </w:r>
      <w:r>
        <w:rPr>
          <w:rFonts w:ascii="Times New Roman" w:hAnsi="Times New Roman"/>
          <w:color w:val="000000"/>
          <w:sz w:val="20"/>
        </w:rPr>
        <w:t xml:space="preserve"> </w:t>
      </w:r>
      <w:r>
        <w:rPr>
          <w:rFonts w:ascii="sans-serif" w:hAnsi="sans-serif"/>
          <w:color w:val="000000"/>
          <w:sz w:val="20"/>
        </w:rPr>
        <w:t>million shares of 6.0% Series B Preferred Stock at March 31, 2026 and 1.0</w:t>
      </w:r>
      <w:r>
        <w:rPr>
          <w:rFonts w:ascii="Times New Roman" w:hAnsi="Times New Roman"/>
          <w:color w:val="000000"/>
          <w:sz w:val="20"/>
        </w:rPr>
        <w:t xml:space="preserve"> </w:t>
      </w:r>
      <w:r>
        <w:rPr>
          <w:rFonts w:ascii="sans-serif" w:hAnsi="sans-serif"/>
          <w:color w:val="000000"/>
          <w:sz w:val="20"/>
        </w:rPr>
        <w:t>million shares of 4.0% Series B Preferred Stock at December 31, 2025 .</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Treasury Stock</w:t>
      </w:r>
    </w:p>
    <w:p>
      <w:pPr>
        <w:pStyle w:val="TextBody"/>
        <w:bidi w:val="0"/>
        <w:spacing w:before="200" w:after="283"/>
        <w:jc w:val="left"/>
        <w:rPr>
          <w:rFonts w:ascii="Times New Roman" w:hAnsi="Times New Roman"/>
          <w:sz w:val="20"/>
        </w:rPr>
      </w:pPr>
      <w:r>
        <w:rPr>
          <w:rFonts w:ascii="sans-serif" w:hAnsi="sans-serif"/>
          <w:color w:val="000000"/>
          <w:sz w:val="20"/>
        </w:rPr>
        <w:t>Treasury stock consisted of approximately 3.2</w:t>
      </w:r>
      <w:r>
        <w:rPr>
          <w:rFonts w:ascii="Times New Roman" w:hAnsi="Times New Roman"/>
          <w:color w:val="000000"/>
          <w:sz w:val="20"/>
        </w:rPr>
        <w:t xml:space="preserve"> </w:t>
      </w:r>
      <w:r>
        <w:rPr>
          <w:rFonts w:ascii="sans-serif" w:hAnsi="sans-serif"/>
          <w:color w:val="000000"/>
          <w:sz w:val="20"/>
        </w:rPr>
        <w:t>million and 3.0</w:t>
      </w:r>
      <w:r>
        <w:rPr>
          <w:rFonts w:ascii="Times New Roman" w:hAnsi="Times New Roman"/>
          <w:color w:val="000000"/>
          <w:sz w:val="20"/>
        </w:rPr>
        <w:t xml:space="preserve"> </w:t>
      </w:r>
      <w:r>
        <w:rPr>
          <w:rFonts w:ascii="sans-serif" w:hAnsi="sans-serif"/>
          <w:color w:val="000000"/>
          <w:sz w:val="20"/>
        </w:rPr>
        <w:t>million shares as of March 31, 2026 and December 31, 2025, respectively.</w:t>
      </w:r>
    </w:p>
    <w:p>
      <w:pPr>
        <w:pStyle w:val="TextBody"/>
        <w:bidi w:val="0"/>
        <w:spacing w:before="200" w:after="283"/>
        <w:jc w:val="left"/>
        <w:rPr>
          <w:rFonts w:ascii="sans-serif" w:hAnsi="sans-serif"/>
          <w:b/>
          <w:color w:val="000000"/>
          <w:sz w:val="20"/>
        </w:rPr>
      </w:pPr>
      <w:r>
        <w:rPr>
          <w:rFonts w:ascii="sans-serif" w:hAnsi="sans-serif"/>
          <w:b/>
          <w:color w:val="000000"/>
          <w:sz w:val="20"/>
        </w:rPr>
        <w:t>NOTE 17: OTHER COMPREHENSIVE INCOME (LOSS)</w:t>
      </w:r>
    </w:p>
    <w:p>
      <w:pPr>
        <w:pStyle w:val="TextBody"/>
        <w:bidi w:val="0"/>
        <w:spacing w:before="200" w:after="283"/>
        <w:jc w:val="left"/>
        <w:rPr>
          <w:rFonts w:ascii="sans-serif" w:hAnsi="sans-serif"/>
          <w:color w:val="000000"/>
          <w:sz w:val="20"/>
        </w:rPr>
      </w:pPr>
      <w:r>
        <w:rPr>
          <w:rFonts w:ascii="sans-serif" w:hAnsi="sans-serif"/>
          <w:color w:val="000000"/>
          <w:sz w:val="20"/>
        </w:rPr>
        <w:t>The changes in Other comprehensive income (loss) by component were as follows:</w:t>
      </w:r>
    </w:p>
    <w:p>
      <w:pPr>
        <w:pStyle w:val="TextBody"/>
        <w:bidi w:val="0"/>
        <w:jc w:val="left"/>
        <w:rPr/>
      </w:pPr>
      <w:r>
        <w:rPr/>
        <w:t> </w:t>
      </w:r>
    </w:p>
    <w:tbl>
      <w:tblPr>
        <w:tblW w:w="9646" w:type="dxa"/>
        <w:jc w:val="left"/>
        <w:tblInd w:w="0" w:type="dxa"/>
        <w:tblLayout w:type="fixed"/>
        <w:tblCellMar>
          <w:top w:w="28" w:type="dxa"/>
          <w:left w:w="28" w:type="dxa"/>
          <w:bottom w:w="28" w:type="dxa"/>
          <w:right w:w="28" w:type="dxa"/>
        </w:tblCellMar>
      </w:tblPr>
      <w:tblGrid>
        <w:gridCol w:w="6541"/>
        <w:gridCol w:w="146"/>
        <w:gridCol w:w="354"/>
        <w:gridCol w:w="542"/>
        <w:gridCol w:w="229"/>
        <w:gridCol w:w="229"/>
        <w:gridCol w:w="354"/>
        <w:gridCol w:w="660"/>
        <w:gridCol w:w="591"/>
      </w:tblGrid>
      <w:tr>
        <w:trPr/>
        <w:tc>
          <w:tcPr>
            <w:tcW w:w="6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Pension and other postretirement benefit plan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Newly established net actuarial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Newly established net actuarial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Reclassification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 xml:space="preserve">Amortization of prior service cost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 xml:space="preserve">Amortization of actuarial gains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reclassification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Reclassification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and other postretirement benefit plan changes,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color w:val="000000"/>
          <w:sz w:val="20"/>
        </w:rPr>
      </w:pPr>
      <w:r>
        <w:rPr>
          <w:rFonts w:ascii="sans-serif" w:hAnsi="sans-serif"/>
          <w:color w:val="000000"/>
          <w:sz w:val="20"/>
        </w:rPr>
        <w:t>Reclassified to Total Net Periodic Benefit Cost - refer to Note 14, "Retirement Plans".</w:t>
      </w:r>
    </w:p>
    <w:p>
      <w:pPr>
        <w:pStyle w:val="TextBody"/>
        <w:bidi w:val="0"/>
        <w:spacing w:before="240" w:after="283"/>
        <w:jc w:val="center"/>
        <w:rPr>
          <w:rFonts w:ascii="sans-serif" w:hAnsi="sans-serif"/>
          <w:color w:val="000000"/>
          <w:sz w:val="20"/>
        </w:rPr>
      </w:pPr>
      <w:r>
        <w:rPr>
          <w:rFonts w:ascii="sans-serif" w:hAnsi="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18: SEGMENT INFORMATION</w:t>
      </w:r>
    </w:p>
    <w:p>
      <w:pPr>
        <w:pStyle w:val="TextBody"/>
        <w:bidi w:val="0"/>
        <w:spacing w:before="200" w:after="283"/>
        <w:jc w:val="left"/>
        <w:rPr>
          <w:rFonts w:ascii="Times New Roman" w:hAnsi="Times New Roman"/>
          <w:sz w:val="20"/>
        </w:rPr>
      </w:pPr>
      <w:r>
        <w:rPr>
          <w:rFonts w:ascii="sans-serif" w:hAnsi="sans-serif"/>
          <w:color w:val="000000"/>
          <w:sz w:val="20"/>
        </w:rPr>
        <w:t>Kodak has three</w:t>
      </w:r>
      <w:r>
        <w:rPr>
          <w:rFonts w:ascii="Times New Roman" w:hAnsi="Times New Roman"/>
          <w:color w:val="000000"/>
          <w:sz w:val="20"/>
        </w:rPr>
        <w:t xml:space="preserve"> </w:t>
      </w:r>
      <w:r>
        <w:rPr>
          <w:rFonts w:ascii="sans-serif" w:hAnsi="sans-serif"/>
          <w:color w:val="000000"/>
          <w:sz w:val="20"/>
        </w:rPr>
        <w:t>reportable segments: Print, Advanced Materials and Chemicals and Brand. Kodak’s reportable segments are based on a combination of factors that the chief operating decision maker (“CODM”) uses to evaluate and manage the business operations, including but not limited to, Kodak’s organizational structure, customer base, markets, products and services and related technologies. Kodak does not aggregate operating segments. A description of Kodak’s reportable segments follows.</w:t>
      </w:r>
    </w:p>
    <w:p>
      <w:pPr>
        <w:pStyle w:val="TextBody"/>
        <w:bidi w:val="0"/>
        <w:spacing w:before="200" w:after="283"/>
        <w:jc w:val="left"/>
        <w:rPr>
          <w:rFonts w:ascii="Times New Roman" w:hAnsi="Times New Roman"/>
          <w:sz w:val="20"/>
        </w:rPr>
      </w:pPr>
      <w:r>
        <w:rPr>
          <w:rFonts w:ascii="sans-serif" w:hAnsi="sans-serif"/>
          <w:b/>
          <w:color w:val="000000"/>
          <w:sz w:val="20"/>
        </w:rPr>
        <w:t>Print</w:t>
      </w:r>
      <w:r>
        <w:rPr>
          <w:rFonts w:ascii="sans-serif" w:hAnsi="sans-serif"/>
          <w:color w:val="000000"/>
          <w:sz w:val="20"/>
        </w:rPr>
        <w:t>: The Print segment is comprised of four</w:t>
      </w:r>
      <w:r>
        <w:rPr>
          <w:rFonts w:ascii="Times New Roman" w:hAnsi="Times New Roman"/>
          <w:color w:val="000000"/>
          <w:sz w:val="20"/>
        </w:rPr>
        <w:t xml:space="preserve"> </w:t>
      </w:r>
      <w:r>
        <w:rPr>
          <w:rFonts w:ascii="sans-serif" w:hAnsi="sans-serif"/>
          <w:color w:val="000000"/>
          <w:sz w:val="20"/>
        </w:rPr>
        <w:t>lines of business: the Prepress Solutions business, the PROSPER business, the Software business and the Electrophotographic Printing Solutions business.</w:t>
      </w:r>
    </w:p>
    <w:p>
      <w:pPr>
        <w:pStyle w:val="TextBody"/>
        <w:bidi w:val="0"/>
        <w:spacing w:before="200" w:after="283"/>
        <w:jc w:val="left"/>
        <w:rPr>
          <w:rFonts w:ascii="Times New Roman" w:hAnsi="Times New Roman"/>
          <w:sz w:val="20"/>
        </w:rPr>
      </w:pPr>
      <w:r>
        <w:rPr>
          <w:rFonts w:ascii="sans-serif" w:hAnsi="sans-serif"/>
          <w:b/>
          <w:color w:val="000000"/>
          <w:sz w:val="20"/>
        </w:rPr>
        <w:t>Advanced Materials and Chemicals:</w:t>
      </w:r>
      <w:r>
        <w:rPr>
          <w:rFonts w:ascii="Times New Roman" w:hAnsi="Times New Roman"/>
          <w:color w:val="000000"/>
          <w:sz w:val="20"/>
        </w:rPr>
        <w:t xml:space="preserve"> </w:t>
      </w:r>
      <w:r>
        <w:rPr>
          <w:rFonts w:ascii="sans-serif" w:hAnsi="sans-serif"/>
          <w:color w:val="000000"/>
          <w:sz w:val="20"/>
        </w:rPr>
        <w:t>The Advanced Materials and Chemicals segment is comprised of five</w:t>
      </w:r>
      <w:r>
        <w:rPr>
          <w:rFonts w:ascii="Times New Roman" w:hAnsi="Times New Roman"/>
          <w:color w:val="000000"/>
          <w:sz w:val="20"/>
        </w:rPr>
        <w:t xml:space="preserve"> </w:t>
      </w:r>
      <w:r>
        <w:rPr>
          <w:rFonts w:ascii="sans-serif" w:hAnsi="sans-serif"/>
          <w:color w:val="000000"/>
          <w:sz w:val="20"/>
        </w:rPr>
        <w:t>lines of business: the Industrial Film and Chemicals business, the Motion Picture business, the Pharmaceuticals business, the Advanced Materials and Functional Printing business and the IP Licensing and Analytical Services business.</w:t>
      </w:r>
    </w:p>
    <w:p>
      <w:pPr>
        <w:pStyle w:val="TextBody"/>
        <w:bidi w:val="0"/>
        <w:spacing w:before="200" w:after="283"/>
        <w:jc w:val="left"/>
        <w:rPr>
          <w:rFonts w:ascii="Times New Roman" w:hAnsi="Times New Roman"/>
          <w:sz w:val="20"/>
        </w:rPr>
      </w:pPr>
      <w:r>
        <w:rPr>
          <w:rFonts w:ascii="sans-serif" w:hAnsi="sans-serif"/>
          <w:b/>
          <w:color w:val="000000"/>
          <w:sz w:val="20"/>
        </w:rPr>
        <w:t>Brand</w:t>
      </w:r>
      <w:r>
        <w:rPr>
          <w:rFonts w:ascii="sans-serif" w:hAnsi="sans-serif"/>
          <w:color w:val="000000"/>
          <w:sz w:val="20"/>
        </w:rPr>
        <w:t>: The Brand segment contains the brand licensing business.</w:t>
      </w:r>
    </w:p>
    <w:p>
      <w:pPr>
        <w:pStyle w:val="TextBody"/>
        <w:bidi w:val="0"/>
        <w:spacing w:before="200" w:after="283"/>
        <w:jc w:val="left"/>
        <w:rPr>
          <w:rFonts w:ascii="sans-serif" w:hAnsi="sans-serif"/>
          <w:color w:val="000000"/>
          <w:sz w:val="20"/>
        </w:rPr>
      </w:pPr>
      <w:r>
        <w:rPr>
          <w:rFonts w:ascii="sans-serif" w:hAnsi="sans-serif"/>
          <w:color w:val="000000"/>
          <w:sz w:val="20"/>
        </w:rPr>
        <w:t>The balance of Kodak’s continuing operations, which primarily represent the operations of Eastman Business Park ("EBP") and do not meet the criteria of a reportable segment, are reported in All Other revenues and All Other Operational EBITDA.</w:t>
      </w:r>
    </w:p>
    <w:p>
      <w:pPr>
        <w:pStyle w:val="TextBody"/>
        <w:bidi w:val="0"/>
        <w:spacing w:before="200" w:after="283"/>
        <w:jc w:val="left"/>
        <w:rPr>
          <w:rFonts w:ascii="Times New Roman" w:hAnsi="Times New Roman"/>
          <w:sz w:val="20"/>
        </w:rPr>
      </w:pPr>
      <w:r>
        <w:rPr>
          <w:rFonts w:ascii="sans-serif" w:hAnsi="sans-serif"/>
          <w:color w:val="000000"/>
          <w:sz w:val="20"/>
        </w:rPr>
        <w:t>The accounting policies of the segments are the same as those described in the summary of significant accounting policies in Note 1 included in the 2025 Form 10-K. There are no intersegment sales between the segments.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CODM is the Executive Chairman and Chief Executive Officer. Kodak’s segment measure of profit and loss is an adjusted earnings before interest, taxes, depreciation and amortization (“Operational EBITDA”). Operational EBITDA represents the loss from operations excluding the provision for income taxes; non-service cost components of pension and other postemployment benefits (“OPEB”) income; depreciation and amortization expense; restructuring costs and other; stock-based compensation expense; interest expense; other operating expense, net and other charges, net. </w:t>
      </w:r>
    </w:p>
    <w:p>
      <w:pPr>
        <w:pStyle w:val="TextBody"/>
        <w:bidi w:val="0"/>
        <w:spacing w:before="200" w:after="283"/>
        <w:jc w:val="left"/>
        <w:rPr>
          <w:rFonts w:ascii="Times New Roman" w:hAnsi="Times New Roman"/>
          <w:sz w:val="20"/>
        </w:rPr>
      </w:pPr>
      <w:r>
        <w:rPr>
          <w:rFonts w:ascii="sans-serif" w:hAnsi="sans-serif"/>
          <w:color w:val="000000"/>
          <w:sz w:val="20"/>
        </w:rPr>
        <w:t>The CODM uses Operational EBITDA in assessing segment performance and deciding how to allocate resources for each segment predominantly through the annual budget and forecasting process. The CODM evaluates Operational EBITDA budget-to-actual variances and changes in Operational EBITDA from prior periods when comparing the results of each segment with one another.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Segment financial information is shown below. Asset information by reportable segment is not disclosed below as this information is not regularly provided to or used by the CODM in assessing performance and allocating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Segment Revenues, Operational EBITDA and Consolidated Loss from Continuing Operations Before Income Taxes</w:t>
      </w:r>
      <w:r>
        <w:rPr>
          <w:rFonts w:ascii="Times New Roman" w:hAnsi="Times New Roman"/>
          <w:color w:val="000000"/>
          <w:sz w:val="20"/>
        </w:rPr>
        <w:t xml:space="preserve"> </w:t>
      </w:r>
    </w:p>
    <w:p>
      <w:pPr>
        <w:pStyle w:val="TextBody"/>
        <w:bidi w:val="0"/>
        <w:jc w:val="left"/>
        <w:rPr/>
      </w:pPr>
      <w:r>
        <w:rPr/>
        <w:t> </w:t>
      </w:r>
    </w:p>
    <w:tbl>
      <w:tblPr>
        <w:tblW w:w="9210" w:type="dxa"/>
        <w:jc w:val="left"/>
        <w:tblInd w:w="0" w:type="dxa"/>
        <w:tblLayout w:type="fixed"/>
        <w:tblCellMar>
          <w:top w:w="28" w:type="dxa"/>
          <w:left w:w="28" w:type="dxa"/>
          <w:bottom w:w="28" w:type="dxa"/>
          <w:right w:w="28" w:type="dxa"/>
        </w:tblCellMar>
      </w:tblPr>
      <w:tblGrid>
        <w:gridCol w:w="6616"/>
        <w:gridCol w:w="313"/>
        <w:gridCol w:w="645"/>
        <w:gridCol w:w="250"/>
        <w:gridCol w:w="202"/>
        <w:gridCol w:w="313"/>
        <w:gridCol w:w="645"/>
        <w:gridCol w:w="226"/>
      </w:tblGrid>
      <w:tr>
        <w:trPr/>
        <w:tc>
          <w:tcPr>
            <w:tcW w:w="66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Print:</w:t>
            </w:r>
          </w:p>
        </w:tc>
        <w:tc>
          <w:tcPr>
            <w:tcW w:w="9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Cost of revenues</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Research and development expenses</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Advanced Materials and Chemicals:</w:t>
            </w:r>
          </w:p>
        </w:tc>
        <w:tc>
          <w:tcPr>
            <w:tcW w:w="9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Cost of revenues</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Research and development expenses</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Brand:</w:t>
            </w:r>
          </w:p>
        </w:tc>
        <w:tc>
          <w:tcPr>
            <w:tcW w:w="9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Operational EBITDA for Reportable Segments</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All Other Operational EBITDA</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Depreciation and amortization</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Restructuring costs and other</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Stock-based compensation</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Consulting and other costs </w:t>
            </w:r>
            <w:r>
              <w:rPr>
                <w:rFonts w:ascii="sans-serif" w:hAnsi="sans-serif"/>
                <w:color w:val="000000"/>
                <w:sz w:val="13"/>
              </w:rPr>
              <w:t>(1)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Idle costs </w:t>
            </w:r>
            <w:r>
              <w:rPr>
                <w:rFonts w:ascii="sans-serif" w:hAnsi="sans-serif"/>
                <w:color w:val="000000"/>
                <w:sz w:val="13"/>
              </w:rPr>
              <w:t>(2)</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Other operating expense, net </w:t>
            </w:r>
            <w:r>
              <w:rPr>
                <w:rFonts w:ascii="sans-serif" w:hAnsi="sans-serif"/>
                <w:color w:val="000000"/>
                <w:sz w:val="13"/>
              </w:rPr>
              <w:t>(3)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Interest expense </w:t>
            </w:r>
            <w:r>
              <w:rPr>
                <w:rFonts w:ascii="sans-serif" w:hAnsi="sans-serif"/>
                <w:color w:val="000000"/>
                <w:sz w:val="13"/>
              </w:rPr>
              <w:t>(3)</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Pension income excluding service cost component </w:t>
            </w:r>
            <w:r>
              <w:rPr>
                <w:rFonts w:ascii="sans-serif" w:hAnsi="sans-serif"/>
                <w:color w:val="000000"/>
                <w:sz w:val="13"/>
              </w:rPr>
              <w:t>(3)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Loss on early extinguishment of debt </w:t>
            </w:r>
            <w:r>
              <w:rPr>
                <w:rFonts w:ascii="sans-serif" w:hAnsi="sans-serif"/>
                <w:color w:val="000000"/>
                <w:sz w:val="13"/>
              </w:rPr>
              <w:t>(3)</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Other charges, net </w:t>
            </w:r>
            <w:r>
              <w:rPr>
                <w:rFonts w:ascii="sans-serif" w:hAnsi="sans-serif"/>
                <w:color w:val="000000"/>
                <w:sz w:val="13"/>
              </w:rPr>
              <w:t>(3)</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Consolidated loss from continuing operations before income taxes</w:t>
            </w:r>
          </w:p>
        </w:tc>
        <w:tc>
          <w:tcPr>
            <w:tcW w:w="31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5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color w:val="000000"/>
          <w:sz w:val="20"/>
        </w:rPr>
      </w:pPr>
      <w:r>
        <w:rPr>
          <w:rFonts w:ascii="sans-serif" w:hAnsi="sans-serif"/>
          <w:color w:val="000000"/>
          <w:sz w:val="20"/>
        </w:rPr>
        <w:t xml:space="preserve">Consulting and other costs are professional services and internal costs associated with corporate strategic initiatives and </w:t>
      </w:r>
    </w:p>
    <w:p>
      <w:pPr>
        <w:pStyle w:val="TextBody"/>
        <w:bidi w:val="0"/>
        <w:jc w:val="left"/>
        <w:rPr>
          <w:rFonts w:ascii="Times New Roman" w:hAnsi="Times New Roman"/>
          <w:sz w:val="20"/>
        </w:rPr>
      </w:pPr>
      <w:r>
        <w:rPr>
          <w:rFonts w:ascii="sans-serif" w:hAnsi="sans-serif"/>
          <w:color w:val="000000"/>
          <w:sz w:val="20"/>
        </w:rPr>
        <w:t>litigation. Consulting and other costs included $1</w:t>
      </w:r>
      <w:r>
        <w:rPr>
          <w:rFonts w:ascii="Times New Roman" w:hAnsi="Times New Roman"/>
          <w:color w:val="000000"/>
          <w:sz w:val="20"/>
        </w:rPr>
        <w:t xml:space="preserve"> </w:t>
      </w:r>
      <w:r>
        <w:rPr>
          <w:rFonts w:ascii="sans-serif" w:hAnsi="sans-serif"/>
          <w:color w:val="000000"/>
          <w:sz w:val="20"/>
        </w:rPr>
        <w:t>million of income in the three months ended March 31, 2026, representing insurance reimbursement of legal costs previously paid by the Company associated with investigations and litigation matters.</w:t>
      </w:r>
    </w:p>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(2)</w:t>
      </w:r>
    </w:p>
    <w:p>
      <w:pPr>
        <w:pStyle w:val="TextBody"/>
        <w:bidi w:val="0"/>
        <w:jc w:val="left"/>
        <w:rPr>
          <w:rFonts w:ascii="sans-serif" w:hAnsi="sans-serif"/>
          <w:color w:val="000000"/>
          <w:sz w:val="20"/>
        </w:rPr>
      </w:pPr>
      <w:r>
        <w:rPr>
          <w:rFonts w:ascii="sans-serif" w:hAnsi="sans-serif"/>
          <w:color w:val="000000"/>
          <w:sz w:val="20"/>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(3)</w:t>
      </w:r>
    </w:p>
    <w:p>
      <w:pPr>
        <w:pStyle w:val="TextBody"/>
        <w:bidi w:val="0"/>
        <w:jc w:val="left"/>
        <w:rPr>
          <w:rFonts w:ascii="sans-serif" w:hAnsi="sans-serif"/>
          <w:color w:val="000000"/>
          <w:sz w:val="20"/>
        </w:rPr>
      </w:pPr>
      <w:r>
        <w:rPr>
          <w:rFonts w:ascii="sans-serif" w:hAnsi="sans-serif"/>
          <w:color w:val="000000"/>
          <w:sz w:val="20"/>
        </w:rPr>
        <w:t xml:space="preserve">As reported in the Consolidated Statement of Operations.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 reconciliation of reportable segment revenues to consolidated revenues follows:</w:t>
      </w:r>
    </w:p>
    <w:p>
      <w:pPr>
        <w:pStyle w:val="TextBody"/>
        <w:bidi w:val="0"/>
        <w:jc w:val="left"/>
        <w:rPr/>
      </w:pPr>
      <w:r>
        <w:rPr/>
        <w:t> </w:t>
      </w:r>
    </w:p>
    <w:tbl>
      <w:tblPr>
        <w:tblW w:w="6250" w:type="dxa"/>
        <w:jc w:val="left"/>
        <w:tblInd w:w="0" w:type="dxa"/>
        <w:tblLayout w:type="fixed"/>
        <w:tblCellMar>
          <w:top w:w="28" w:type="dxa"/>
          <w:left w:w="28" w:type="dxa"/>
          <w:bottom w:w="28" w:type="dxa"/>
          <w:right w:w="28" w:type="dxa"/>
        </w:tblCellMar>
      </w:tblPr>
      <w:tblGrid>
        <w:gridCol w:w="3691"/>
        <w:gridCol w:w="319"/>
        <w:gridCol w:w="659"/>
        <w:gridCol w:w="206"/>
        <w:gridCol w:w="206"/>
        <w:gridCol w:w="319"/>
        <w:gridCol w:w="659"/>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Reportable Segment Revenues</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 Revenues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 Consolidated Revenues</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There was no</w:t>
      </w:r>
      <w:r>
        <w:rPr>
          <w:rFonts w:ascii="Times New Roman" w:hAnsi="Times New Roman"/>
          <w:color w:val="000000"/>
          <w:sz w:val="20"/>
        </w:rPr>
        <w:t xml:space="preserve"> </w:t>
      </w:r>
      <w:r>
        <w:rPr>
          <w:rFonts w:ascii="sans-serif" w:hAnsi="sans-serif"/>
          <w:color w:val="000000"/>
          <w:sz w:val="20"/>
        </w:rPr>
        <w:t>change to employee benefit reserves in the three months ended March 31, 2026. Kodak increased employee benefit reserves by approximately $1</w:t>
      </w:r>
      <w:r>
        <w:rPr>
          <w:rFonts w:ascii="Times New Roman" w:hAnsi="Times New Roman"/>
          <w:color w:val="000000"/>
          <w:sz w:val="20"/>
        </w:rPr>
        <w:t xml:space="preserve"> </w:t>
      </w:r>
      <w:r>
        <w:rPr>
          <w:rFonts w:ascii="sans-serif" w:hAnsi="sans-serif"/>
          <w:color w:val="000000"/>
          <w:sz w:val="20"/>
        </w:rPr>
        <w:t>million in the three months ended March 31, 2025 due to an increase in workers' compensation reserves driven by changes in discount rates. The increase in reserves in the three months ended March 31, 2025</w:t>
      </w:r>
      <w:r>
        <w:rPr>
          <w:rFonts w:ascii="Times New Roman" w:hAnsi="Times New Roman"/>
          <w:color w:val="000000"/>
          <w:sz w:val="20"/>
        </w:rPr>
        <w:t xml:space="preserve"> </w:t>
      </w:r>
      <w:r>
        <w:rPr>
          <w:rFonts w:ascii="sans-serif" w:hAnsi="sans-serif"/>
          <w:color w:val="000000"/>
          <w:sz w:val="20"/>
        </w:rPr>
        <w:t>impacted gross profit by approximately $1</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Amortization and depreciation expense by segment are not included in the segment measure of profit and loss but are regularly provided to the CODM.</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1"/>
        <w:gridCol w:w="465"/>
        <w:gridCol w:w="370"/>
        <w:gridCol w:w="299"/>
        <w:gridCol w:w="299"/>
        <w:gridCol w:w="464"/>
        <w:gridCol w:w="463"/>
        <w:gridCol w:w="394"/>
      </w:tblGrid>
      <w:tr>
        <w:trPr/>
        <w:tc>
          <w:tcPr>
            <w:tcW w:w="745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7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236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Intangible asset amortization expense from continuing operations:</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402" w:type="dxa"/>
        <w:jc w:val="left"/>
        <w:tblInd w:w="0" w:type="dxa"/>
        <w:tblLayout w:type="fixed"/>
        <w:tblCellMar>
          <w:top w:w="28" w:type="dxa"/>
          <w:left w:w="28" w:type="dxa"/>
          <w:bottom w:w="28" w:type="dxa"/>
          <w:right w:w="28" w:type="dxa"/>
        </w:tblCellMar>
      </w:tblPr>
      <w:tblGrid>
        <w:gridCol w:w="5641"/>
        <w:gridCol w:w="448"/>
        <w:gridCol w:w="448"/>
        <w:gridCol w:w="289"/>
        <w:gridCol w:w="289"/>
        <w:gridCol w:w="448"/>
        <w:gridCol w:w="448"/>
        <w:gridCol w:w="391"/>
      </w:tblGrid>
      <w:tr>
        <w:trPr/>
        <w:tc>
          <w:tcPr>
            <w:tcW w:w="564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Depreciation expense from continuing operations:</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6874" w:type="dxa"/>
        <w:jc w:val="left"/>
        <w:tblInd w:w="0" w:type="dxa"/>
        <w:tblLayout w:type="fixed"/>
        <w:tblCellMar>
          <w:top w:w="28" w:type="dxa"/>
          <w:left w:w="28" w:type="dxa"/>
          <w:bottom w:w="28" w:type="dxa"/>
          <w:right w:w="28" w:type="dxa"/>
        </w:tblCellMar>
      </w:tblPr>
      <w:tblGrid>
        <w:gridCol w:w="3541"/>
        <w:gridCol w:w="392"/>
        <w:gridCol w:w="808"/>
        <w:gridCol w:w="146"/>
        <w:gridCol w:w="146"/>
        <w:gridCol w:w="539"/>
        <w:gridCol w:w="1111"/>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 xml:space="preserve">Long-lived assets located in: </w:t>
            </w:r>
            <w:r>
              <w:rPr>
                <w:rFonts w:ascii="sans-serif" w:hAnsi="sans-serif"/>
                <w:b/>
                <w:color w:val="000000"/>
                <w:sz w:val="13"/>
              </w:rPr>
              <w:t>(1)</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The United States</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 and Latin America</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Non-U.S. countries total </w:t>
            </w:r>
            <w:r>
              <w:rPr>
                <w:rFonts w:ascii="sans-serif" w:hAnsi="sans-serif"/>
                <w:color w:val="000000"/>
                <w:sz w:val="13"/>
              </w:rPr>
              <w:t>(2)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 xml:space="preserve">(1) </w:t>
      </w:r>
      <w:r>
        <w:rPr>
          <w:rFonts w:ascii="sans-serif" w:hAnsi="sans-serif"/>
          <w:color w:val="000000"/>
          <w:sz w:val="20"/>
        </w:rPr>
        <w:t>Long-lived assets are comprised of property, plant and equipment, net.</w:t>
      </w:r>
    </w:p>
    <w:p>
      <w:pPr>
        <w:pStyle w:val="TextBody"/>
        <w:bidi w:val="0"/>
        <w:jc w:val="left"/>
        <w:rPr>
          <w:rFonts w:ascii="Times New Roman" w:hAnsi="Times New Roman"/>
          <w:sz w:val="20"/>
        </w:rPr>
      </w:pPr>
      <w:r>
        <w:rPr>
          <w:rFonts w:ascii="sans-serif" w:hAnsi="sans-serif"/>
          <w:color w:val="000000"/>
          <w:sz w:val="13"/>
        </w:rPr>
        <w:t xml:space="preserve">(2) </w:t>
      </w:r>
      <w:r>
        <w:rPr>
          <w:rFonts w:ascii="sans-serif" w:hAnsi="sans-serif"/>
          <w:color w:val="000000"/>
          <w:sz w:val="20"/>
        </w:rPr>
        <w:t>Of the total non-U.S. property, plant and equipment as of March 31, 2026, $41</w:t>
      </w:r>
      <w:r>
        <w:rPr>
          <w:rFonts w:ascii="Times New Roman" w:hAnsi="Times New Roman"/>
          <w:color w:val="000000"/>
          <w:sz w:val="20"/>
        </w:rPr>
        <w:t xml:space="preserve"> </w:t>
      </w:r>
      <w:r>
        <w:rPr>
          <w:rFonts w:ascii="sans-serif" w:hAnsi="sans-serif"/>
          <w:color w:val="000000"/>
          <w:sz w:val="20"/>
        </w:rPr>
        <w:t>million was located in Brazil. Of the total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non-U.S. property, plant and equipment as of December 31, 2025, $39</w:t>
      </w:r>
      <w:r>
        <w:rPr>
          <w:rFonts w:ascii="Times New Roman" w:hAnsi="Times New Roman"/>
          <w:color w:val="000000"/>
          <w:sz w:val="20"/>
        </w:rPr>
        <w:t xml:space="preserve"> </w:t>
      </w:r>
      <w:r>
        <w:rPr>
          <w:rFonts w:ascii="sans-serif" w:hAnsi="sans-serif"/>
          <w:color w:val="000000"/>
          <w:sz w:val="20"/>
        </w:rPr>
        <w:t>million was located in Brazil.</w:t>
      </w:r>
    </w:p>
    <w:p>
      <w:pPr>
        <w:pStyle w:val="TextBody"/>
        <w:bidi w:val="0"/>
        <w:spacing w:before="200" w:after="283"/>
        <w:jc w:val="left"/>
        <w:rPr>
          <w:rFonts w:ascii="sans-serif" w:hAnsi="sans-serif"/>
          <w:b/>
          <w:color w:val="000000"/>
          <w:sz w:val="20"/>
        </w:rPr>
      </w:pPr>
      <w:r>
        <w:rPr>
          <w:rFonts w:ascii="sans-serif" w:hAnsi="sans-serif"/>
          <w:b/>
          <w:color w:val="000000"/>
          <w:sz w:val="20"/>
        </w:rPr>
        <w:t>NOTE 19: FINANCIAL INSTRUMENTS</w:t>
      </w:r>
    </w:p>
    <w:p>
      <w:pPr>
        <w:pStyle w:val="TextBody"/>
        <w:bidi w:val="0"/>
        <w:spacing w:before="200" w:after="283"/>
        <w:jc w:val="left"/>
        <w:rPr>
          <w:rFonts w:ascii="Times New Roman" w:hAnsi="Times New Roman"/>
          <w:sz w:val="20"/>
        </w:rPr>
      </w:pPr>
      <w:r>
        <w:rPr>
          <w:rFonts w:ascii="sans-serif" w:hAnsi="sans-serif"/>
          <w:color w:val="000000"/>
          <w:sz w:val="20"/>
        </w:rPr>
        <w:t>Kodak, as a result of its global operating and financing activities, is exposed to changes in foreign currency exchange rates, commodity pricing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Kodak’s exposure to changes in interest rates results from its investing and borrowing activities used to meet its liquidity needs. Kodak does not utilize financial instruments for trading or other speculative purposes.</w:t>
      </w:r>
    </w:p>
    <w:p>
      <w:pPr>
        <w:pStyle w:val="TextBody"/>
        <w:bidi w:val="0"/>
        <w:spacing w:before="200" w:after="283"/>
        <w:jc w:val="left"/>
        <w:rPr>
          <w:rFonts w:ascii="Times New Roman" w:hAnsi="Times New Roman"/>
          <w:sz w:val="20"/>
        </w:rPr>
      </w:pPr>
      <w:r>
        <w:rPr>
          <w:rFonts w:ascii="sans-serif" w:hAnsi="sans-serif"/>
          <w:color w:val="000000"/>
          <w:sz w:val="20"/>
        </w:rPr>
        <w:t>Kodak’s foreign currency forward contracts are not designated as hedges and are marked to market through net loss at the same time that the exposed assets and liabilities are re-measured through net loss (both in Other charges, net in the Consolidated Statement of Operations). The notional amount of such contracts open at March 31, 2026 and December 31, 2025</w:t>
      </w:r>
      <w:r>
        <w:rPr>
          <w:rFonts w:ascii="Times New Roman" w:hAnsi="Times New Roman"/>
          <w:color w:val="000000"/>
          <w:sz w:val="20"/>
        </w:rPr>
        <w:t xml:space="preserve"> </w:t>
      </w:r>
      <w:r>
        <w:rPr>
          <w:rFonts w:ascii="sans-serif" w:hAnsi="sans-serif"/>
          <w:color w:val="000000"/>
          <w:sz w:val="20"/>
        </w:rPr>
        <w:t>was approximately $190</w:t>
      </w:r>
      <w:r>
        <w:rPr>
          <w:rFonts w:ascii="Times New Roman" w:hAnsi="Times New Roman"/>
          <w:color w:val="000000"/>
          <w:sz w:val="20"/>
        </w:rPr>
        <w:t xml:space="preserve"> </w:t>
      </w:r>
      <w:r>
        <w:rPr>
          <w:rFonts w:ascii="sans-serif" w:hAnsi="sans-serif"/>
          <w:color w:val="000000"/>
          <w:sz w:val="20"/>
        </w:rPr>
        <w:t>million and $224</w:t>
      </w:r>
      <w:r>
        <w:rPr>
          <w:rFonts w:ascii="Times New Roman" w:hAnsi="Times New Roman"/>
          <w:color w:val="000000"/>
          <w:sz w:val="20"/>
        </w:rPr>
        <w:t xml:space="preserve"> </w:t>
      </w:r>
      <w:r>
        <w:rPr>
          <w:rFonts w:ascii="sans-serif" w:hAnsi="sans-serif"/>
          <w:color w:val="000000"/>
          <w:sz w:val="20"/>
        </w:rPr>
        <w:t>million, respectively. The majority of the contracts of this type held by Kodak as of March 31, 2026 are denominated in Chinese renminbi and Japanese yen and as of December 31, 2025 were denominated in Chinese renminbi, Japanese yen and European euros.</w:t>
      </w:r>
    </w:p>
    <w:p>
      <w:pPr>
        <w:pStyle w:val="TextBody"/>
        <w:bidi w:val="0"/>
        <w:spacing w:before="200" w:after="283"/>
        <w:jc w:val="left"/>
        <w:rPr>
          <w:rFonts w:ascii="Times New Roman" w:hAnsi="Times New Roman"/>
          <w:sz w:val="20"/>
        </w:rPr>
      </w:pPr>
      <w:r>
        <w:rPr>
          <w:rFonts w:ascii="sans-serif" w:hAnsi="sans-serif"/>
          <w:color w:val="000000"/>
          <w:sz w:val="20"/>
        </w:rPr>
        <w:t>The net effect of foreign currency forward contracts in the results of operations is shown in the following table:</w:t>
      </w:r>
      <w:r>
        <w:rPr>
          <w:rFonts w:ascii="Times New Roman" w:hAnsi="Times New Roman"/>
          <w:color w:val="000000"/>
          <w:sz w:val="20"/>
        </w:rPr>
        <w:t xml:space="preserve"> </w:t>
      </w:r>
    </w:p>
    <w:tbl>
      <w:tblPr>
        <w:tblW w:w="9836" w:type="dxa"/>
        <w:jc w:val="left"/>
        <w:tblInd w:w="0" w:type="dxa"/>
        <w:tblLayout w:type="fixed"/>
        <w:tblCellMar>
          <w:top w:w="28" w:type="dxa"/>
          <w:left w:w="28" w:type="dxa"/>
          <w:bottom w:w="28" w:type="dxa"/>
          <w:right w:w="28" w:type="dxa"/>
        </w:tblCellMar>
      </w:tblPr>
      <w:tblGrid>
        <w:gridCol w:w="7096"/>
        <w:gridCol w:w="146"/>
        <w:gridCol w:w="421"/>
        <w:gridCol w:w="421"/>
        <w:gridCol w:w="272"/>
        <w:gridCol w:w="272"/>
        <w:gridCol w:w="421"/>
        <w:gridCol w:w="561"/>
        <w:gridCol w:w="226"/>
      </w:tblGrid>
      <w:tr>
        <w:trPr/>
        <w:tc>
          <w:tcPr>
            <w:tcW w:w="7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(gain) from derivatives not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 had no</w:t>
      </w:r>
      <w:r>
        <w:rPr>
          <w:rFonts w:ascii="Times New Roman" w:hAnsi="Times New Roman"/>
          <w:color w:val="000000"/>
          <w:sz w:val="20"/>
        </w:rPr>
        <w:t xml:space="preserve"> </w:t>
      </w:r>
      <w:r>
        <w:rPr>
          <w:rFonts w:ascii="sans-serif" w:hAnsi="sans-serif"/>
          <w:color w:val="000000"/>
          <w:sz w:val="20"/>
        </w:rPr>
        <w:t>derivatives designated as hedging instruments for the three months ended March 31, 2026 and 2025.</w:t>
      </w:r>
    </w:p>
    <w:p>
      <w:pPr>
        <w:pStyle w:val="TextBody"/>
        <w:bidi w:val="0"/>
        <w:spacing w:before="200" w:after="283"/>
        <w:jc w:val="left"/>
        <w:rPr>
          <w:rFonts w:ascii="sans-serif" w:hAnsi="sans-serif"/>
          <w:color w:val="000000"/>
          <w:sz w:val="20"/>
        </w:rPr>
      </w:pPr>
      <w:r>
        <w:rPr>
          <w:rFonts w:ascii="sans-serif" w:hAnsi="sans-serif"/>
          <w:color w:val="000000"/>
          <w:sz w:val="20"/>
        </w:rPr>
        <w:t>In the event of a default under any of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pStyle w:val="TextBody"/>
        <w:bidi w:val="0"/>
        <w:spacing w:before="200" w:after="283"/>
        <w:jc w:val="left"/>
        <w:rPr>
          <w:rFonts w:ascii="sans-serif" w:hAnsi="sans-serif"/>
          <w:b/>
          <w:i/>
          <w:color w:val="000000"/>
          <w:sz w:val="20"/>
        </w:rPr>
      </w:pPr>
      <w:r>
        <w:rPr>
          <w:rFonts w:ascii="sans-serif" w:hAnsi="sans-serif"/>
          <w:b/>
          <w:i/>
          <w:color w:val="000000"/>
          <w:sz w:val="20"/>
        </w:rPr>
        <w:t>Fair Value</w:t>
      </w:r>
    </w:p>
    <w:p>
      <w:pPr>
        <w:pStyle w:val="TextBody"/>
        <w:bidi w:val="0"/>
        <w:spacing w:before="200" w:after="283"/>
        <w:jc w:val="left"/>
        <w:rPr>
          <w:rFonts w:ascii="Times New Roman" w:hAnsi="Times New Roman"/>
          <w:sz w:val="20"/>
        </w:rPr>
      </w:pPr>
      <w:r>
        <w:rPr>
          <w:rFonts w:ascii="sans-serif" w:hAnsi="sans-serif"/>
          <w:color w:val="000000"/>
          <w:sz w:val="20"/>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March 31, 2026 and December 31, 2025</w:t>
      </w:r>
      <w:r>
        <w:rPr>
          <w:rFonts w:ascii="Times New Roman" w:hAnsi="Times New Roman"/>
          <w:color w:val="000000"/>
          <w:sz w:val="20"/>
        </w:rPr>
        <w:t xml:space="preserve"> </w:t>
      </w:r>
      <w:r>
        <w:rPr>
          <w:rFonts w:ascii="sans-serif" w:hAnsi="sans-serif"/>
          <w:color w:val="000000"/>
          <w:sz w:val="20"/>
        </w:rPr>
        <w:t>was zero</w:t>
      </w:r>
      <w:r>
        <w:rPr>
          <w:rFonts w:ascii="Times New Roman" w:hAnsi="Times New Roman"/>
          <w:color w:val="000000"/>
          <w:sz w:val="20"/>
        </w:rPr>
        <w:t xml:space="preserve"> </w:t>
      </w:r>
      <w:r>
        <w:rPr>
          <w:rFonts w:ascii="sans-serif" w:hAnsi="sans-serif"/>
          <w:color w:val="000000"/>
          <w:sz w:val="20"/>
        </w:rPr>
        <w:t>and less than $1</w:t>
      </w:r>
      <w:r>
        <w:rPr>
          <w:rFonts w:ascii="Times New Roman" w:hAnsi="Times New Roman"/>
          <w:color w:val="000000"/>
          <w:sz w:val="20"/>
        </w:rPr>
        <w:t xml:space="preserve"> </w:t>
      </w:r>
      <w:r>
        <w:rPr>
          <w:rFonts w:ascii="sans-serif" w:hAnsi="sans-serif"/>
          <w:color w:val="000000"/>
          <w:sz w:val="20"/>
        </w:rPr>
        <w:t>million, respectively. The gross fair value of foreign currency forward contracts in a liability position as of March 31, 2026 and December 31, 2025</w:t>
      </w:r>
      <w:r>
        <w:rPr>
          <w:rFonts w:ascii="Times New Roman" w:hAnsi="Times New Roman"/>
          <w:color w:val="000000"/>
          <w:sz w:val="20"/>
        </w:rPr>
        <w:t xml:space="preserve"> </w:t>
      </w:r>
      <w:r>
        <w:rPr>
          <w:rFonts w:ascii="sans-serif" w:hAnsi="sans-serif"/>
          <w:color w:val="000000"/>
          <w:sz w:val="20"/>
        </w:rPr>
        <w:t>was $2</w:t>
      </w:r>
      <w:r>
        <w:rPr>
          <w:rFonts w:ascii="Times New Roman" w:hAnsi="Times New Roman"/>
          <w:color w:val="000000"/>
          <w:sz w:val="20"/>
        </w:rPr>
        <w:t xml:space="preserve"> </w:t>
      </w:r>
      <w:r>
        <w:rPr>
          <w:rFonts w:ascii="sans-serif" w:hAnsi="sans-serif"/>
          <w:color w:val="000000"/>
          <w:sz w:val="20"/>
        </w:rPr>
        <w:t>million and less than $1</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spacing w:before="200" w:after="283"/>
        <w:jc w:val="left"/>
        <w:rPr>
          <w:rFonts w:ascii="Times New Roman" w:hAnsi="Times New Roman"/>
          <w:sz w:val="20"/>
        </w:rPr>
      </w:pPr>
      <w:r>
        <w:rPr>
          <w:rFonts w:ascii="sans-serif" w:hAnsi="sans-serif"/>
          <w:color w:val="000000"/>
          <w:sz w:val="20"/>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$100</w:t>
      </w:r>
      <w:r>
        <w:rPr>
          <w:rFonts w:ascii="Times New Roman" w:hAnsi="Times New Roman"/>
          <w:color w:val="000000"/>
          <w:sz w:val="20"/>
        </w:rPr>
        <w:t xml:space="preserve"> </w:t>
      </w:r>
      <w:r>
        <w:rPr>
          <w:rFonts w:ascii="sans-serif" w:hAnsi="sans-serif"/>
          <w:color w:val="000000"/>
          <w:sz w:val="20"/>
        </w:rPr>
        <w:t>million and $151</w:t>
      </w:r>
      <w:r>
        <w:rPr>
          <w:rFonts w:ascii="Times New Roman" w:hAnsi="Times New Roman"/>
          <w:color w:val="000000"/>
          <w:sz w:val="20"/>
        </w:rPr>
        <w:t xml:space="preserve"> </w:t>
      </w:r>
      <w:r>
        <w:rPr>
          <w:rFonts w:ascii="sans-serif" w:hAnsi="sans-serif"/>
          <w:color w:val="000000"/>
          <w:sz w:val="20"/>
        </w:rPr>
        <w:t>million at March 31, 2026 and December 31, 2025, respectively.</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carrying values of cash and cash equivalents, restricted cash and the current portion of long-term debt approximate their fair values at both March 31, 2026 and December 31, 2025.</w:t>
      </w:r>
    </w:p>
    <w:p>
      <w:pPr>
        <w:pStyle w:val="TextBody"/>
        <w:bidi w:val="0"/>
        <w:spacing w:before="200" w:after="283"/>
        <w:jc w:val="left"/>
        <w:rPr>
          <w:rFonts w:ascii="sans-serif" w:hAnsi="sans-serif"/>
          <w:color w:val="000000"/>
          <w:sz w:val="20"/>
        </w:rPr>
      </w:pPr>
      <w:r>
        <w:rPr>
          <w:rFonts w:ascii="sans-serif" w:hAnsi="sans-serif"/>
          <w:color w:val="000000"/>
          <w:sz w:val="20"/>
        </w:rPr>
        <w:t>Transfers between levels of the fair value hierarchy are recognized based on the actual date of the event or change in circumstances that caused the transfer. There were no transfers between levels of the fair value hierarchy during the three months ended March 31, 2026.</w:t>
      </w:r>
    </w:p>
    <w:p>
      <w:pPr>
        <w:pStyle w:val="TextBody"/>
        <w:bidi w:val="0"/>
        <w:spacing w:before="200" w:after="283"/>
        <w:jc w:val="left"/>
        <w:rPr>
          <w:rFonts w:ascii="sans-serif" w:hAnsi="sans-serif"/>
          <w:color w:val="000000"/>
          <w:sz w:val="20"/>
        </w:rPr>
      </w:pPr>
      <w:r>
        <w:rPr>
          <w:rFonts w:ascii="sans-serif" w:hAnsi="sans-serif"/>
          <w:color w:val="000000"/>
          <w:sz w:val="20"/>
        </w:rPr>
        <w:t>As disclosed in Note 7, “Redeemable, Convertible Preferred Stock”, the embedded conversion options were bifurcated from the 6.0% Series B Preferred Stock and are accounted for on a combined basis as a single derivative liability. The fair value of these embedded conversion options is determined using significant unobservable inputs (Level 3 fair value measurements). The Company estimates the fair value of each embedded conversion option using a binomial lattice model, and the combined fair value is recorded as a derivative liability.</w:t>
      </w:r>
    </w:p>
    <w:p>
      <w:pPr>
        <w:pStyle w:val="TextBody"/>
        <w:bidi w:val="0"/>
        <w:spacing w:before="240" w:after="283"/>
        <w:jc w:val="center"/>
        <w:rPr>
          <w:rFonts w:ascii="sans-serif" w:hAnsi="sans-serif"/>
          <w:color w:val="000000"/>
          <w:sz w:val="20"/>
        </w:rPr>
      </w:pPr>
      <w:r>
        <w:rPr>
          <w:rFonts w:ascii="sans-serif" w:hAnsi="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 presents the key inputs used in the determination of fair value for the embedded conversion options:</w:t>
      </w:r>
    </w:p>
    <w:p>
      <w:pPr>
        <w:pStyle w:val="TextBody"/>
        <w:bidi w:val="0"/>
        <w:spacing w:before="200" w:after="283"/>
        <w:jc w:val="left"/>
        <w:rPr/>
      </w:pPr>
      <w:r>
        <w:rPr/>
        <w:t> </w:t>
      </w:r>
    </w:p>
    <w:tbl>
      <w:tblPr>
        <w:tblW w:w="8095" w:type="dxa"/>
        <w:jc w:val="left"/>
        <w:tblInd w:w="0" w:type="dxa"/>
        <w:tblLayout w:type="fixed"/>
        <w:tblCellMar>
          <w:top w:w="28" w:type="dxa"/>
          <w:left w:w="28" w:type="dxa"/>
          <w:bottom w:w="28" w:type="dxa"/>
          <w:right w:w="28" w:type="dxa"/>
        </w:tblCellMar>
      </w:tblPr>
      <w:tblGrid>
        <w:gridCol w:w="4786"/>
        <w:gridCol w:w="146"/>
        <w:gridCol w:w="311"/>
        <w:gridCol w:w="889"/>
        <w:gridCol w:w="286"/>
        <w:gridCol w:w="146"/>
        <w:gridCol w:w="311"/>
        <w:gridCol w:w="889"/>
        <w:gridCol w:w="33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Valuation Date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value of embedded derivative ($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Kodak's closing stock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66.50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Risk 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Implied yield on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3" w:name="mda"/>
      <w:bookmarkEnd w:id="23"/>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2. Management</w:t>
      </w:r>
      <w:r>
        <w:rPr>
          <w:rFonts w:ascii="Times New Roman" w:hAnsi="Times New Roman"/>
          <w:color w:val="000000"/>
          <w:sz w:val="20"/>
        </w:rPr>
        <w:t>’</w:t>
      </w:r>
      <w:r>
        <w:rPr>
          <w:rFonts w:ascii="sans-serif" w:hAnsi="sans-serif"/>
          <w:b/>
          <w:color w:val="000000"/>
          <w:sz w:val="20"/>
        </w:rPr>
        <w:t>s Discussion and Analysis of Financial Condition and Results of Operations</w:t>
      </w:r>
    </w:p>
    <w:p>
      <w:pPr>
        <w:pStyle w:val="TextBody"/>
        <w:bidi w:val="0"/>
        <w:spacing w:before="200" w:after="283"/>
        <w:jc w:val="left"/>
        <w:rPr>
          <w:rFonts w:ascii="sans-serif" w:hAnsi="sans-serif"/>
          <w:b/>
          <w:color w:val="000000"/>
          <w:sz w:val="20"/>
        </w:rPr>
      </w:pPr>
      <w:r>
        <w:rPr>
          <w:rFonts w:ascii="sans-serif" w:hAnsi="sans-serif"/>
          <w:b/>
          <w:color w:val="000000"/>
          <w:sz w:val="20"/>
        </w:rPr>
        <w:t>CAUTIONARY STATEMENT PURSUANT TO SAFE HARBOR PROVISIONS OF THE PRIVATE SECURITIES LITIGATION REFORM ACT OF 1995</w:t>
      </w:r>
    </w:p>
    <w:p>
      <w:pPr>
        <w:pStyle w:val="TextBody"/>
        <w:bidi w:val="0"/>
        <w:spacing w:before="200" w:after="283"/>
        <w:jc w:val="left"/>
        <w:rPr>
          <w:rFonts w:ascii="sans-serif" w:hAnsi="sans-serif"/>
          <w:color w:val="000000"/>
          <w:sz w:val="20"/>
        </w:rPr>
      </w:pPr>
      <w:r>
        <w:rPr>
          <w:rFonts w:ascii="sans-serif" w:hAnsi="sans-serif"/>
          <w:color w:val="000000"/>
          <w:sz w:val="20"/>
        </w:rPr>
        <w:t>This report on Form 10-Q includes “forward–looking statements” as that term is defined under the Private Securities Litigation Reform Act of 1995.</w:t>
      </w:r>
    </w:p>
    <w:p>
      <w:pPr>
        <w:pStyle w:val="TextBody"/>
        <w:bidi w:val="0"/>
        <w:spacing w:before="200" w:after="283"/>
        <w:jc w:val="left"/>
        <w:rPr>
          <w:rFonts w:ascii="sans-serif" w:hAnsi="sans-serif"/>
          <w:color w:val="000000"/>
          <w:sz w:val="20"/>
        </w:rPr>
      </w:pPr>
      <w:r>
        <w:rPr>
          <w:rFonts w:ascii="sans-serif" w:hAnsi="sans-serif"/>
          <w:color w:val="000000"/>
          <w:sz w:val="20"/>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 Important factors that could cause actual events, results or outcomes, or their timing, to differ materially from the forward-looking statements include, among others, the risks and uncertainties described in more detail in the Company’s Annual Report on Form 10</w:t>
        <w:noBreakHyphen/>
        <w:t>K for the year ended December 31, 2025 (“2025 Form 10-K”) under the headings “Business,” “Risk Factors,” “Legal Proceedings,” and/or “Management’s Discussion and Analysis of Financial Condition and Results of Operations–Liquidity and Capital Resources,” in the corresponding sections of this report on Form 10</w:t>
        <w:noBreakHyphen/>
        <w:t>Q and in other filings the Company makes with the SEC from time to time, as well as the following:</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ability to improve and sustain its operating structure, cash flow, profitability and other financial results;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ability to achieve strategic objectives, cash forecasts, financial projections, and projected growth;</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ability to achieve the financial and operational results contained in its business plans;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Changes in commodity prices, tariff rates, foreign currency exchange rates and interest rates;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The impact of the global economic environment, including geopolitical issues, inflationary pressures, changes in trade policies, including tariffs or other trade restrictions or the threat of such actions, medical epidemics and Kodak’s ability to effectively mitigate or recoup the associated increased costs of aluminum, silver and other raw materials, energy, labor, shipping, delays in shipment and production times, and fluctuations in demand;</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ability to obtain additional or alternate financing if and as needed, Kodak’s continued ability to manage world-wide cash through intercompany loans, distributions and other mechanisms, and Kodak’s ability to provide or facilitate financing for its customers;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ability to fund continued investments, capital needs and collateral requirements and service its debt and Series B Preferred Stock;</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ability to effectively compete with large, well-financed industry participants or with competitors whose cost structure is lower than Kodak’s;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geopolitical issues, changes in trade policies, including tariffs or other trade restrictions or the threat of such actions, and commodity supply constraints;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ability to effectively anticipate technology and industry trends, including related to AI, and develop and market new products, solutions and technologies, including products based on its technology and expertise that relate to industries in which it does not currently conduct material business;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ability to effect strategic transactions, such as investments, acquisitions, strategic alliances, divestitures and similar transactions, or to achieve the benefits sought to be achieved from such strategic transactions;</w:t>
      </w:r>
    </w:p>
    <w:p>
      <w:pPr>
        <w:pStyle w:val="TextBody"/>
        <w:bidi w:val="0"/>
        <w:spacing w:before="240" w:after="283"/>
        <w:jc w:val="center"/>
        <w:rPr>
          <w:rFonts w:ascii="sans-serif" w:hAnsi="sans-serif"/>
          <w:color w:val="000000"/>
          <w:sz w:val="20"/>
        </w:rPr>
      </w:pPr>
      <w:r>
        <w:rPr>
          <w:rFonts w:ascii="sans-serif" w:hAnsi="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ability to comply with the covenants in its various credit facilities;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continued ability to manage, defend and resolve a variety of current and legacy claims without incurring material losses or disruptions to its business and to bear the costs associated with such claims;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ability to discontinue, sell or spin-off certain non-core businesses or operations, or otherwise monetize assets; and</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The potential impact of force majeure events, cyber‐attacks or other data security incidents or IT outages that could disrupt or otherwise harm Kodak’s operations.</w:t>
      </w:r>
    </w:p>
    <w:p>
      <w:pPr>
        <w:pStyle w:val="TextBody"/>
        <w:bidi w:val="0"/>
        <w:spacing w:before="200" w:after="283"/>
        <w:jc w:val="left"/>
        <w:rPr>
          <w:rFonts w:ascii="sans-serif" w:hAnsi="sans-serif"/>
          <w:color w:val="000000"/>
          <w:sz w:val="20"/>
        </w:rPr>
      </w:pPr>
      <w:r>
        <w:rPr>
          <w:rFonts w:ascii="sans-serif" w:hAnsi="sans-serif"/>
          <w:color w:val="000000"/>
          <w:sz w:val="20"/>
        </w:rPr>
        <w:t>Future events and other factors may cause Kodak’s actual results or outcomes to differ materially from the forward–looking statements. All forward–looking statements attributable to Kodak or persons acting on its behalf apply only as of the date of this report on Form 10</w:t>
        <w:noBreakHyphen/>
        <w:t>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pStyle w:val="TextBody"/>
        <w:bidi w:val="0"/>
        <w:spacing w:before="200" w:after="283"/>
        <w:jc w:val="left"/>
        <w:rPr>
          <w:rFonts w:ascii="sans-serif" w:hAnsi="sans-serif"/>
          <w:b/>
          <w:color w:val="000000"/>
          <w:sz w:val="20"/>
        </w:rPr>
      </w:pPr>
      <w:r>
        <w:rPr>
          <w:rFonts w:ascii="sans-serif" w:hAnsi="sans-serif"/>
          <w:b/>
          <w:color w:val="000000"/>
          <w:sz w:val="20"/>
        </w:rPr>
        <w:t>EXECUTIVE OVERVIEW</w:t>
      </w:r>
    </w:p>
    <w:p>
      <w:pPr>
        <w:pStyle w:val="TextBody"/>
        <w:bidi w:val="0"/>
        <w:spacing w:before="200" w:after="283"/>
        <w:jc w:val="left"/>
        <w:rPr>
          <w:rFonts w:ascii="Times New Roman" w:hAnsi="Times New Roman"/>
          <w:sz w:val="20"/>
        </w:rPr>
      </w:pPr>
      <w:r>
        <w:rPr>
          <w:rFonts w:ascii="sans-serif" w:hAnsi="sans-serif"/>
          <w:color w:val="000000"/>
          <w:sz w:val="20"/>
        </w:rPr>
        <w:t>Kodak is a global manufacturer focused on commercial print and advanced materials and chemicals. With 79,000 patents earned over 130 years of research and development ("R&amp;D"), Kodak believes in the power of technology and science to enhance what the world sees and creates. Kodak’s innovative, award-winning products, combined with its customer-first approach, make Kodak the partner of choice for commercial printers worldwide. Kodak is committed to environmental stewardship, including industry leadership in developing sustainable solutions for print.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24" w:name="led293315f20228281664393426633"/>
      <w:bookmarkEnd w:id="24"/>
      <w:r>
        <w:rPr>
          <w:rFonts w:ascii="sans-serif" w:hAnsi="sans-serif"/>
          <w:color w:val="000000"/>
          <w:sz w:val="20"/>
        </w:rPr>
        <w:t>Consolidated revenues in the three months ended March 31, 2026 were $265 million, an increase of $18</w:t>
      </w:r>
      <w:r>
        <w:rPr>
          <w:rFonts w:ascii="Times New Roman" w:hAnsi="Times New Roman"/>
          <w:color w:val="000000"/>
          <w:sz w:val="20"/>
        </w:rPr>
        <w:t xml:space="preserve"> </w:t>
      </w:r>
      <w:r>
        <w:rPr>
          <w:rFonts w:ascii="sans-serif" w:hAnsi="sans-serif"/>
          <w:color w:val="000000"/>
          <w:sz w:val="20"/>
        </w:rPr>
        <w:t>million (7</w:t>
      </w:r>
      <w:bookmarkStart w:id="25" w:name="led293315f20228281664393551046"/>
      <w:bookmarkEnd w:id="25"/>
      <w:r>
        <w:rPr>
          <w:rFonts w:ascii="sans-serif" w:hAnsi="sans-serif"/>
          <w:color w:val="000000"/>
          <w:sz w:val="20"/>
        </w:rPr>
        <w:t xml:space="preserve">%) when compared to the </w:t>
      </w:r>
      <w:bookmarkStart w:id="26" w:name="led293237f20228201663700935556"/>
      <w:bookmarkEnd w:id="26"/>
      <w:r>
        <w:rPr>
          <w:rFonts w:ascii="sans-serif" w:hAnsi="sans-serif"/>
          <w:color w:val="000000"/>
          <w:sz w:val="20"/>
        </w:rPr>
        <w:t>three months ended March 31, 2025. Currency fluctuations had a favorable impact on revenues ($7 million) in the three months ended March 31, 2026 compared to the three months ended March 31, 2025.</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27" w:name="led293315f20228281664393783696"/>
      <w:bookmarkEnd w:id="27"/>
      <w:r>
        <w:rPr>
          <w:rFonts w:ascii="sans-serif" w:hAnsi="sans-serif"/>
          <w:color w:val="000000"/>
          <w:sz w:val="20"/>
        </w:rPr>
        <w:t>Print revenues in the three months ended March 31, 2026 were $180 million, an increase of $15</w:t>
      </w:r>
      <w:r>
        <w:rPr>
          <w:rFonts w:ascii="Times New Roman" w:hAnsi="Times New Roman"/>
          <w:color w:val="000000"/>
          <w:sz w:val="20"/>
        </w:rPr>
        <w:t xml:space="preserve"> </w:t>
      </w:r>
      <w:r>
        <w:rPr>
          <w:rFonts w:ascii="sans-serif" w:hAnsi="sans-serif"/>
          <w:color w:val="000000"/>
          <w:sz w:val="20"/>
        </w:rPr>
        <w:t>million (</w:t>
      </w:r>
      <w:bookmarkStart w:id="28" w:name="led293315f20228281664393840864"/>
      <w:bookmarkEnd w:id="28"/>
      <w:r>
        <w:rPr>
          <w:rFonts w:ascii="sans-serif" w:hAnsi="sans-serif"/>
          <w:color w:val="000000"/>
          <w:sz w:val="20"/>
        </w:rPr>
        <w:t xml:space="preserve">9%) compared to the prior year quarter. Print revenues accounted for </w:t>
      </w:r>
      <w:bookmarkStart w:id="29" w:name="led293315f20228281664393706189"/>
      <w:bookmarkEnd w:id="29"/>
      <w:r>
        <w:rPr>
          <w:rFonts w:ascii="sans-serif" w:hAnsi="sans-serif"/>
          <w:color w:val="000000"/>
          <w:sz w:val="20"/>
        </w:rPr>
        <w:t>68%</w:t>
      </w:r>
      <w:r>
        <w:rPr>
          <w:rFonts w:ascii="Times New Roman" w:hAnsi="Times New Roman"/>
          <w:color w:val="000000"/>
          <w:sz w:val="20"/>
        </w:rPr>
        <w:t xml:space="preserve"> </w:t>
      </w:r>
      <w:r>
        <w:rPr>
          <w:rFonts w:ascii="sans-serif" w:hAnsi="sans-serif"/>
          <w:color w:val="000000"/>
          <w:sz w:val="20"/>
        </w:rPr>
        <w:t>of Kodak’s total revenues for the three months ended March 31, 2026. Advanced Materials and Chemicals revenues in the three months ended March 31, 2026 were $76 million, an increase of $2 million (3%) compared to the prior year quarter.</w:t>
      </w:r>
    </w:p>
    <w:p>
      <w:pPr>
        <w:pStyle w:val="TextBody"/>
        <w:bidi w:val="0"/>
        <w:spacing w:before="200" w:after="283"/>
        <w:jc w:val="left"/>
        <w:rPr>
          <w:rFonts w:ascii="Times New Roman" w:hAnsi="Times New Roman"/>
          <w:sz w:val="20"/>
        </w:rPr>
      </w:pPr>
      <w:r>
        <w:rPr>
          <w:rFonts w:ascii="sans-serif" w:hAnsi="sans-serif"/>
          <w:b/>
          <w:color w:val="000000"/>
          <w:sz w:val="20"/>
        </w:rPr>
        <w:t>Economic Environment and Other Global Events</w:t>
      </w:r>
      <w:r>
        <w:rPr>
          <w:rFonts w:ascii="sans-serif" w:hAnsi="sans-serif"/>
          <w:b/>
          <w:i/>
          <w:color w:val="000000"/>
          <w:sz w:val="20"/>
        </w:rPr>
        <w:t>:</w:t>
      </w:r>
    </w:p>
    <w:p>
      <w:pPr>
        <w:pStyle w:val="TextBody"/>
        <w:bidi w:val="0"/>
        <w:spacing w:before="200" w:after="283"/>
        <w:jc w:val="left"/>
        <w:rPr>
          <w:rFonts w:ascii="Times New Roman" w:hAnsi="Times New Roman"/>
          <w:sz w:val="20"/>
        </w:rPr>
      </w:pPr>
      <w:r>
        <w:rPr>
          <w:rFonts w:ascii="sans-serif" w:hAnsi="sans-serif"/>
          <w:color w:val="000000"/>
          <w:sz w:val="20"/>
        </w:rPr>
        <w:t>Kodak sells and services its products globally, with more than half of sales generated outside the U.S. The macroeconomic environment remains highly volatile due to changes in trade policies, including tariffs or other trade restrictions or the threat of such actions, geopolitical conflicts, fluctuations in commodity prices, elevated inflation and on-going supply chain constraints, all of which have impacted Kodak’s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These conditions have contributed to increased manufacturing costs, primarily due to the impact of U.S. tariffs on imported goods (including aluminum, steel and certain raw materials and component parts used in Kodak’s manufacturing and supply chain), as well as increases in commodity prices including aluminum and silver, higher labor, material, and distribution costs, and lower production volumes. The Company has implemented various pricing actions, productivity improvements, supply chain and workforce optimization initiatives and other cost savings activities. In addition, the Company has renegotiated supplier contracts and obtained certain tariff exemptions. Collectively, these actions have largely mitigated the impact of higher manufacturing costs and, as a result, did not have a material adverse effect on Kodak’s operations, financial condition or cash flows for the quarter ended March 31, 2026.</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Kodak continues to actively monitor the developments related to tariffs to assess additional actions that may be taken to mitigate the effects of future tariff changes, including further pricing actions, additional cost reduction measures, securing alternative suppliers and evaluating potential changes to the Company’s manufacturing footprint. However, there is substantial uncertainty about the duration of existing tariffs or pauses in tariffs, tariff levels and whether additional tariffs or other retaliatory actions may be imposed, modified or suspended. Countries subject to such tariffs have imposed or may in the future impose reciprocal or retaliatory tariffs and other trade measures. These actions and the related rising political tensions could negatively impact global macroeconomic conditions and the stability of global financial markets. The ultimate impact of any tariffs is uncertain and will depend on various factors, including whether the tariffs are maintained and/or implemented, the duration of the tariffs, any exceptions or exemptions that are or may become available and the timing of their implementation, and scope, all of which could have a material adverse effect on Kodak’s business, financial condition and results of operations.</w:t>
      </w:r>
    </w:p>
    <w:p>
      <w:pPr>
        <w:pStyle w:val="TextBody"/>
        <w:bidi w:val="0"/>
        <w:spacing w:before="240" w:after="283"/>
        <w:jc w:val="center"/>
        <w:rPr>
          <w:rFonts w:ascii="sans-serif" w:hAnsi="sans-serif"/>
          <w:color w:val="000000"/>
          <w:sz w:val="20"/>
        </w:rPr>
      </w:pPr>
      <w:r>
        <w:rPr>
          <w:rFonts w:ascii="sans-serif" w:hAnsi="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As a result of a trade case brought by the Company in the U.S., the following duties are currently being imposed on U.S. imports of aluminum lithographic printing plates: (i) anti-dumping duties of 115.84% on plates manufactured in China by Fujifilm and 317.43% on such plates manufactured in China by other entities, (ii) countervailing duties of 35.66% on practically all plates manufactured in China, and (iii) anti-dumping duties of 91.83% on practically all plates manufactured in Japan. Fujifilm has appealed the basis for the imposition of these duties. These duties are in addition to other tariffs that may be imposed on imports generally, including on aluminum derivative products to the extent applicable. There can be no assurance that the duties imposed on imported plates will provide Kodak effective relief and will not be reduced or impaired by any appeal or other challenge.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 has implemented numerous measures to mitigate the challenges associated with supply chain disruptions and shortages in materials, including increasing safety stock on certain materials, increasing lead-times, providing suppliers with longer forecasts of future demand and certifying additional sources or substitute materials where possible. These measures have enabled Kodak to largely meet current demand.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Advanced Materials and Chemicals segment has experienced labor shortages in certain manufacturing areas. Increased demand for consumer film products along with manufacturing equipment limitations and labor shortages have contributed to increased backorders. The Advanced Materials and Chemicals segment has increased headcount and made capital investments in equipment upgrades and new equipment that increased capacity and streamlined processes which has reduced backorders and improved operational efficiency. Increased demand for film products may continue to place stress on manufacturing equipment and the labor force without further investment or additional hiring in key areas.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ongoing changes in global economic conditions and the impact of other global events on Kodak’s operations and financial performance remains uncertain. A further deterioration in economic conditions, sustained supply chain disruptions or constraints in securing raw materials and components, or additional increases in manufacturing and other costs without further pricing actions, productivity improvements, supply chain mitigation actions or other cost saving measures, could unfavorably impact Kodak's operating results.</w:t>
      </w:r>
    </w:p>
    <w:p>
      <w:pPr>
        <w:pStyle w:val="TextBody"/>
        <w:bidi w:val="0"/>
        <w:spacing w:before="200" w:after="283"/>
        <w:jc w:val="left"/>
        <w:rPr>
          <w:rFonts w:ascii="Times New Roman" w:hAnsi="Times New Roman"/>
          <w:sz w:val="20"/>
        </w:rPr>
      </w:pPr>
      <w:r>
        <w:rPr>
          <w:rFonts w:ascii="sans-serif" w:hAnsi="sans-serif"/>
          <w:b/>
          <w:color w:val="000000"/>
          <w:sz w:val="20"/>
        </w:rPr>
        <w:t>Kodak</w:t>
      </w:r>
      <w:r>
        <w:rPr>
          <w:rFonts w:ascii="Times New Roman" w:hAnsi="Times New Roman"/>
          <w:color w:val="000000"/>
          <w:sz w:val="20"/>
        </w:rPr>
        <w:t>’</w:t>
      </w:r>
      <w:r>
        <w:rPr>
          <w:rFonts w:ascii="sans-serif" w:hAnsi="sans-serif"/>
          <w:b/>
          <w:color w:val="000000"/>
          <w:sz w:val="20"/>
        </w:rPr>
        <w:t>s strategy</w:t>
      </w:r>
      <w:r>
        <w:rPr>
          <w:rFonts w:ascii="sans-serif" w:hAnsi="sans-serif"/>
          <w:b/>
          <w:i/>
          <w:color w:val="000000"/>
          <w:sz w:val="20"/>
        </w:rPr>
        <w:t>:</w:t>
      </w:r>
    </w:p>
    <w:p>
      <w:pPr>
        <w:pStyle w:val="TextBody"/>
        <w:bidi w:val="0"/>
        <w:spacing w:before="200" w:after="283"/>
        <w:jc w:val="left"/>
        <w:rPr>
          <w:rFonts w:ascii="sans-serif" w:hAnsi="sans-serif"/>
          <w:color w:val="000000"/>
          <w:sz w:val="20"/>
        </w:rPr>
      </w:pPr>
      <w:r>
        <w:rPr>
          <w:rFonts w:ascii="sans-serif" w:hAnsi="sans-serif"/>
          <w:color w:val="000000"/>
          <w:sz w:val="20"/>
        </w:rPr>
        <w:t>Segments within the print industry and the film industry face competition from digital substitution. Kodak’s strategy is to:</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Focus product investment in core competency areas of advanced materials and print, leveraging Kodak’s proprietary technologies to deliver technologically advanced products;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Promote the use of film and expand the applications of Kodak’s film and chemicals to best utilize the existing infrastructure; and</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Continue to invest in automation and streamline processes to drive cost reductions and operating efficiencies and generate profitable revenues through a focus on customers. </w:t>
      </w:r>
    </w:p>
    <w:p>
      <w:pPr>
        <w:pStyle w:val="TextBody"/>
        <w:bidi w:val="0"/>
        <w:spacing w:before="200" w:after="283"/>
        <w:jc w:val="left"/>
        <w:rPr>
          <w:rFonts w:ascii="sans-serif" w:hAnsi="sans-serif"/>
          <w:color w:val="000000"/>
          <w:sz w:val="20"/>
        </w:rPr>
      </w:pPr>
      <w:r>
        <w:rPr>
          <w:rFonts w:ascii="sans-serif" w:hAnsi="sans-serif"/>
          <w:color w:val="000000"/>
          <w:sz w:val="20"/>
        </w:rPr>
        <w:t>A discussion of opportunities and challenges related to Kodak’s strategy follows: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Advanced Materials and Chemicals is using Kodak’s deep expertise in chemistry and strengths in deposition and coating processes that come from decades of experience in film manufacturing to work on new initiatives: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EV/Energy Storage Battery Material Manufacturing - Coating of substrates is a critical aspect of manufacturing materials for batteries and Kodak plans to capitalize on its expertise in coating technology to develop opportunities in this area. Kodak utilizes its pilot coating facility to conduct development of coated electrodes for a variety of battery, fuel cell, and solar film companies as well as low volume manufacturing of electrodes. Kodak has utilized an existing production coating facility to manufacture coated substrates for EV cell assembly. Investment in this production facility began in 2025 and will continue into 2026 to expand volume of battery components manufactured at the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Pharmaceuticals Manufacturing - Kodak completed construction of its Current Good Manufacturing Practice (“cGMP”) lab and manufacturing facility at Eastman Business Park ("EBP") in 2025 and is now certified to manufacture reagents for certain healthcare applications. Kodak plans to expand the product offering over time and is in the process of obtaining ISO 13458 and FDA Class II certification for its manufacturing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 xml:space="preserve">Light-Blocking Technology - A proprietary technology initially developed for electrophotographic toners is being leveraged to commercialize a carbon-less fabric coating designed to offer superior light management, from complete blackout to selective light filtering, and coating compatibility with an unmatched range of fabrics and </w:t>
      </w:r>
    </w:p>
    <w:p>
      <w:pPr>
        <w:pStyle w:val="TextBody"/>
        <w:bidi w:val="0"/>
        <w:spacing w:before="240" w:after="283"/>
        <w:jc w:val="center"/>
        <w:rPr>
          <w:rFonts w:ascii="sans-serif" w:hAnsi="sans-serif"/>
          <w:color w:val="000000"/>
          <w:sz w:val="20"/>
        </w:rPr>
      </w:pPr>
      <w:r>
        <w:rPr>
          <w:rFonts w:ascii="sans-serif" w:hAnsi="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120" w:after="283"/>
        <w:jc w:val="left"/>
        <w:rPr>
          <w:rFonts w:ascii="sans-serif" w:hAnsi="sans-serif"/>
          <w:color w:val="000000"/>
          <w:sz w:val="20"/>
        </w:rPr>
      </w:pPr>
      <w:r>
        <w:rPr>
          <w:rFonts w:ascii="sans-serif" w:hAnsi="sans-serif"/>
          <w:color w:val="000000"/>
          <w:sz w:val="20"/>
        </w:rPr>
        <w:t>also to manage ultraviolet and/or infrared light in addition to visible light. Kodak has installed a production-scale machine to coat fabrics in EBP, located in Rochester, NY and continues to explore strategic alternatives in order to commercialize this technology.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Transparent Antennas - Kodak plans to leverage its proprietary copper micro-wire technologies and high-resolution printing expertise to contract-manufacture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end-use markets. Kodak is evaluating this unique technology and expertise for transparent heaters for automotive and telecom applications, as well as for the manufacture of electronic films for the medical device market.</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Print's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The segment's digital plate products are experiencing challenges from higher prices and availability of raw materials, digital substitution and competitive pricing pressures. Kodak seeks to mitigate the impact of increases in manufacturing costs through a combination of pricing actions, improved production efficiency and cost reduction initiatives. In addition, Kodak seeks to offset the impact of short-term and long-term market dynamics on pricing and volume pressures through innovations in Kodak product lines, including investing in digital print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In Print's digital printing businesses, the PROSPER Inkjet Systems product offerings are expected to grow and continue to build profitability. Kodak launched the PROSPER 7000 Turbo Press in June 2022. The PROSPER 7000 Turbo Press enables commercial, publishing and newspaper printers to compete more effectively with offset and to shift more long run jobs from conventional printing processes to inkjet. Investment in the next generation technology, ULTRASTREAM, is focused on the ability to place ULTRASTREAM writing systems in Kodak branded presses and in various original equipment manufacturers in applications ranging from commercial print to packaging. In addition, Kodak officially launched the KODAK PROSPER ULTRA 520 Digital Press utilizing Kodak's ULTRASTREAM inkjet technology, which offers offset print quality in a smaller footprint.</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Film and related component manufacturing operations and Kodak Research Laboratories utilize capacity at EBP, which helps cost absorption for both Kodak operations and tenants at EBP. Kodak has invested in film manufacturing to increase capacity and to grow different initiatives in film. In the fourth quarter of 2025, Kodak launched its own direct distribution brand of still films which aim to provide distributors, retailers and consumers with more stable pricing and a broader, more reliable supply. In addition, Kodak announced the availability of KODAK VERITA 200D Color Negative Motion Picture Film (5206/7206), a new specialty film stock that expands the Company's motion picture portfolio and reinforces Kodak’s long-standing leadership in film.</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 plans to capitalize on its intellectual property through new business or licensing opportunities in 3D printing materials, smart material applications, and printed electronics markets. </w:t>
      </w:r>
    </w:p>
    <w:p>
      <w:pPr>
        <w:pStyle w:val="TextBody"/>
        <w:bidi w:val="0"/>
        <w:spacing w:before="240" w:after="283"/>
        <w:jc w:val="center"/>
        <w:rPr>
          <w:rFonts w:ascii="sans-serif" w:hAnsi="sans-serif"/>
          <w:color w:val="000000"/>
          <w:sz w:val="20"/>
        </w:rPr>
      </w:pPr>
      <w:r>
        <w:rPr>
          <w:rFonts w:ascii="sans-serif" w:hAnsi="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RESULTS OF OPERATIONS</w:t>
      </w:r>
    </w:p>
    <w:p>
      <w:pPr>
        <w:pStyle w:val="TextBody"/>
        <w:bidi w:val="0"/>
        <w:spacing w:before="200" w:after="283"/>
        <w:jc w:val="left"/>
        <w:rPr>
          <w:rFonts w:ascii="Times New Roman" w:hAnsi="Times New Roman"/>
          <w:sz w:val="20"/>
        </w:rPr>
      </w:pPr>
      <w:bookmarkStart w:id="30" w:name="led293237f20243211713732989449"/>
      <w:bookmarkEnd w:id="30"/>
      <w:r>
        <w:rPr>
          <w:rFonts w:ascii="sans-serif" w:hAnsi="sans-serif"/>
          <w:b/>
          <w:color w:val="000000"/>
          <w:sz w:val="20"/>
        </w:rPr>
        <w:t>2026</w:t>
      </w:r>
      <w:r>
        <w:rPr>
          <w:rFonts w:ascii="Times New Roman" w:hAnsi="Times New Roman"/>
          <w:color w:val="000000"/>
          <w:sz w:val="20"/>
        </w:rPr>
        <w:t xml:space="preserve"> </w:t>
      </w:r>
      <w:r>
        <w:rPr>
          <w:rFonts w:ascii="sans-serif" w:hAnsi="sans-serif"/>
          <w:b/>
          <w:color w:val="000000"/>
          <w:sz w:val="20"/>
        </w:rPr>
        <w:t xml:space="preserve">COMPARED TO </w:t>
      </w:r>
      <w:bookmarkStart w:id="31" w:name="led293237f20243211713733002175"/>
      <w:bookmarkEnd w:id="31"/>
      <w:r>
        <w:rPr>
          <w:rFonts w:ascii="sans-serif" w:hAnsi="sans-serif"/>
          <w:b/>
          <w:color w:val="000000"/>
          <w:sz w:val="20"/>
        </w:rPr>
        <w:t>2025</w:t>
      </w:r>
    </w:p>
    <w:p>
      <w:pPr>
        <w:pStyle w:val="TextBody"/>
        <w:bidi w:val="0"/>
        <w:spacing w:before="200" w:after="283"/>
        <w:jc w:val="left"/>
        <w:rPr>
          <w:rFonts w:ascii="sans-serif" w:hAnsi="sans-serif"/>
          <w:b/>
          <w:color w:val="000000"/>
          <w:sz w:val="20"/>
        </w:rPr>
      </w:pPr>
      <w:r>
        <w:rPr>
          <w:rFonts w:ascii="sans-serif" w:hAnsi="sans-serif"/>
          <w:b/>
          <w:color w:val="000000"/>
          <w:sz w:val="20"/>
        </w:rPr>
        <w:t>FIRST QUARTER RESULTS OF OPERATIONS</w:t>
      </w:r>
    </w:p>
    <w:tbl>
      <w:tblPr>
        <w:tblW w:w="10205" w:type="dxa"/>
        <w:jc w:val="left"/>
        <w:tblInd w:w="0" w:type="dxa"/>
        <w:tblLayout w:type="fixed"/>
        <w:tblCellMar>
          <w:top w:w="28" w:type="dxa"/>
          <w:left w:w="28" w:type="dxa"/>
          <w:bottom w:w="28" w:type="dxa"/>
          <w:right w:w="28" w:type="dxa"/>
        </w:tblCellMar>
      </w:tblPr>
      <w:tblGrid>
        <w:gridCol w:w="4325"/>
        <w:gridCol w:w="146"/>
        <w:gridCol w:w="226"/>
        <w:gridCol w:w="466"/>
        <w:gridCol w:w="181"/>
        <w:gridCol w:w="146"/>
        <w:gridCol w:w="191"/>
        <w:gridCol w:w="455"/>
        <w:gridCol w:w="327"/>
        <w:gridCol w:w="146"/>
        <w:gridCol w:w="226"/>
        <w:gridCol w:w="466"/>
        <w:gridCol w:w="181"/>
        <w:gridCol w:w="146"/>
        <w:gridCol w:w="191"/>
        <w:gridCol w:w="455"/>
        <w:gridCol w:w="327"/>
        <w:gridCol w:w="146"/>
        <w:gridCol w:w="421"/>
        <w:gridCol w:w="645"/>
        <w:gridCol w:w="392"/>
      </w:tblGrid>
      <w:tr>
        <w:trPr/>
        <w:tc>
          <w:tcPr>
            <w:tcW w:w="4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4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March 31,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Change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Loss from operations before interest expense, pension </w:t>
              <w:br/>
              <w:t xml:space="preserve">    income excluding service cost component, loss on </w:t>
              <w:br/>
              <w:t xml:space="preserve">    early extinguishment of debt, other charges, net and </w:t>
              <w:br/>
              <w:t>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Pension income excluding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Loss on early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charges,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Loss from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w:t>
      </w:r>
    </w:p>
    <w:p>
      <w:pPr>
        <w:pStyle w:val="TextBody"/>
        <w:bidi w:val="0"/>
        <w:spacing w:before="200" w:after="283"/>
        <w:jc w:val="left"/>
        <w:rPr>
          <w:rFonts w:ascii="Times New Roman" w:hAnsi="Times New Roman"/>
          <w:sz w:val="20"/>
        </w:rPr>
      </w:pPr>
      <w:bookmarkStart w:id="32" w:name="led293237f20228201663701475391"/>
      <w:bookmarkEnd w:id="32"/>
      <w:r>
        <w:rPr>
          <w:rFonts w:ascii="sans-serif" w:hAnsi="sans-serif"/>
          <w:color w:val="000000"/>
          <w:sz w:val="20"/>
        </w:rPr>
        <w:t>For the three months ended March 31, 2026</w:t>
      </w:r>
      <w:r>
        <w:rPr>
          <w:rFonts w:ascii="Times New Roman" w:hAnsi="Times New Roman"/>
          <w:color w:val="000000"/>
          <w:sz w:val="20"/>
        </w:rPr>
        <w:t xml:space="preserve"> </w:t>
      </w:r>
      <w:r>
        <w:rPr>
          <w:rFonts w:ascii="sans-serif" w:hAnsi="sans-serif"/>
          <w:color w:val="000000"/>
          <w:sz w:val="20"/>
        </w:rPr>
        <w:t xml:space="preserve">revenues increased </w:t>
      </w:r>
      <w:bookmarkStart w:id="33" w:name="led293315f20228281664394300359"/>
      <w:bookmarkEnd w:id="33"/>
      <w:r>
        <w:rPr>
          <w:rFonts w:ascii="sans-serif" w:hAnsi="sans-serif"/>
          <w:color w:val="000000"/>
          <w:sz w:val="20"/>
        </w:rPr>
        <w:t>$18</w:t>
      </w:r>
      <w:r>
        <w:rPr>
          <w:rFonts w:ascii="Times New Roman" w:hAnsi="Times New Roman"/>
          <w:color w:val="000000"/>
          <w:sz w:val="20"/>
        </w:rPr>
        <w:t xml:space="preserve"> </w:t>
      </w:r>
      <w:r>
        <w:rPr>
          <w:rFonts w:ascii="sans-serif" w:hAnsi="sans-serif"/>
          <w:color w:val="000000"/>
          <w:sz w:val="20"/>
        </w:rPr>
        <w:t xml:space="preserve">million compared with the same period in </w:t>
      </w:r>
      <w:bookmarkStart w:id="34" w:name="led293237f20228201663701716909"/>
      <w:bookmarkEnd w:id="34"/>
      <w:r>
        <w:rPr>
          <w:rFonts w:ascii="sans-serif" w:hAnsi="sans-serif"/>
          <w:color w:val="000000"/>
          <w:sz w:val="20"/>
        </w:rPr>
        <w:t>2025, primarily driven by improved pricing in Print ($10 million) and Advanced Materials and Chemicals ($6 million), favorable foreign currency fluctuations ($7 million) and higher volume in Brand ($1 million), partially offset by lower volume in Advanced Materials and Chemicals ($5 million) and Print ($2 million). See segment discussions for additional details.</w:t>
      </w:r>
    </w:p>
    <w:p>
      <w:pPr>
        <w:pStyle w:val="TextBody"/>
        <w:bidi w:val="0"/>
        <w:spacing w:before="200" w:after="283"/>
        <w:jc w:val="left"/>
        <w:rPr>
          <w:rFonts w:ascii="sans-serif" w:hAnsi="sans-serif"/>
          <w:b/>
          <w:color w:val="000000"/>
          <w:sz w:val="20"/>
        </w:rPr>
      </w:pPr>
      <w:r>
        <w:rPr>
          <w:rFonts w:ascii="sans-serif" w:hAnsi="sans-serif"/>
          <w:b/>
          <w:color w:val="000000"/>
          <w:sz w:val="20"/>
        </w:rPr>
        <w:t>Gross Profit</w:t>
      </w:r>
    </w:p>
    <w:p>
      <w:pPr>
        <w:pStyle w:val="TextBody"/>
        <w:bidi w:val="0"/>
        <w:spacing w:before="200" w:after="283"/>
        <w:jc w:val="left"/>
        <w:rPr>
          <w:rFonts w:ascii="Times New Roman" w:hAnsi="Times New Roman"/>
          <w:sz w:val="20"/>
        </w:rPr>
      </w:pPr>
      <w:bookmarkStart w:id="35" w:name="led293320f20243181713455091557"/>
      <w:bookmarkEnd w:id="35"/>
      <w:r>
        <w:rPr>
          <w:rFonts w:ascii="sans-serif" w:hAnsi="sans-serif"/>
          <w:color w:val="000000"/>
          <w:sz w:val="20"/>
        </w:rPr>
        <w:t>Gross profit for the three months ended March 31, 2026 increased $11</w:t>
      </w:r>
      <w:r>
        <w:rPr>
          <w:rFonts w:ascii="Times New Roman" w:hAnsi="Times New Roman"/>
          <w:color w:val="000000"/>
          <w:sz w:val="20"/>
        </w:rPr>
        <w:t xml:space="preserve"> </w:t>
      </w:r>
      <w:r>
        <w:rPr>
          <w:rFonts w:ascii="sans-serif" w:hAnsi="sans-serif"/>
          <w:color w:val="000000"/>
          <w:sz w:val="20"/>
        </w:rPr>
        <w:t>million compared with the same period in 2025, primarily due to improved pricing in Print ($9 million) and Advanced Materials and Chemicals ($5 million), higher margins in Print ($1 million), favorable foreign currency fluctuations ($1 million), reduced manufacturing costs in Print ($1 million), higher volume in Brand ($1 million) and net change in employee benefit reserves ($1 million), partially offset by higher silver costs ($5 million) and manufacturing costs ($2 million) in Advanced Materials and Chemicals, lower volume in Advanced Materials and Chemicals ($1 million) and higher aluminum costs ($1 million). See segment discussions for additional details.</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Selling, General and Administrative Expenses</w:t>
      </w:r>
    </w:p>
    <w:p>
      <w:pPr>
        <w:pStyle w:val="TextBody"/>
        <w:bidi w:val="0"/>
        <w:spacing w:before="200" w:after="283"/>
        <w:jc w:val="left"/>
        <w:rPr>
          <w:rFonts w:ascii="Times New Roman" w:hAnsi="Times New Roman"/>
          <w:sz w:val="20"/>
        </w:rPr>
      </w:pPr>
      <w:bookmarkStart w:id="36" w:name="led293237f20239201697814713951"/>
      <w:bookmarkEnd w:id="36"/>
      <w:r>
        <w:rPr>
          <w:rFonts w:ascii="sans-serif" w:hAnsi="sans-serif"/>
          <w:color w:val="000000"/>
          <w:sz w:val="20"/>
        </w:rPr>
        <w:t>Consolidated selling and general administrative expenses ("SG&amp;A") increased $3 million in the three months ended March 31, 2026 compared to the prior year period, primarily due to an increase in equity compensation costs ($4 million), partially offset by a decline in consulting and other costs ($1 million) related to an insurance reimbursement of legal costs previously paid by the Company associated with investigations and litigation received in the first quarter of 2026 ($1 million).</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Research and Development Costs</w:t>
      </w:r>
    </w:p>
    <w:p>
      <w:pPr>
        <w:pStyle w:val="TextBody"/>
        <w:bidi w:val="0"/>
        <w:spacing w:before="200" w:after="283"/>
        <w:jc w:val="left"/>
        <w:rPr>
          <w:rFonts w:ascii="Times New Roman" w:hAnsi="Times New Roman"/>
          <w:sz w:val="20"/>
        </w:rPr>
      </w:pPr>
      <w:bookmarkStart w:id="37" w:name="led293237f20229201666276604185"/>
      <w:bookmarkEnd w:id="37"/>
      <w:r>
        <w:rPr>
          <w:rFonts w:ascii="sans-serif" w:hAnsi="sans-serif"/>
          <w:color w:val="000000"/>
          <w:sz w:val="20"/>
        </w:rPr>
        <w:t>Consolidated research and development ("R&amp;D") expenses in the three months ended March 31, 2026</w:t>
      </w:r>
      <w:r>
        <w:rPr>
          <w:rFonts w:ascii="Times New Roman" w:hAnsi="Times New Roman"/>
          <w:color w:val="000000"/>
          <w:sz w:val="20"/>
        </w:rPr>
        <w:t xml:space="preserve"> </w:t>
      </w:r>
      <w:r>
        <w:rPr>
          <w:rFonts w:ascii="sans-serif" w:hAnsi="sans-serif"/>
          <w:color w:val="000000"/>
          <w:sz w:val="20"/>
        </w:rPr>
        <w:t>were relatively flat compared to the prior year period.</w:t>
      </w:r>
    </w:p>
    <w:p>
      <w:pPr>
        <w:pStyle w:val="TextBody"/>
        <w:bidi w:val="0"/>
        <w:spacing w:before="240" w:after="283"/>
        <w:jc w:val="center"/>
        <w:rPr>
          <w:rFonts w:ascii="sans-serif" w:hAnsi="sans-serif"/>
          <w:color w:val="000000"/>
          <w:sz w:val="20"/>
        </w:rPr>
      </w:pPr>
      <w:r>
        <w:rPr>
          <w:rFonts w:ascii="sans-serif" w:hAnsi="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Pension Income Excluding Service Cost Component</w:t>
      </w:r>
    </w:p>
    <w:p>
      <w:pPr>
        <w:pStyle w:val="TextBody"/>
        <w:bidi w:val="0"/>
        <w:spacing w:before="200" w:after="283"/>
        <w:jc w:val="left"/>
        <w:rPr>
          <w:rFonts w:ascii="sans-serif" w:hAnsi="sans-serif"/>
          <w:color w:val="000000"/>
          <w:sz w:val="20"/>
        </w:rPr>
      </w:pPr>
      <w:bookmarkStart w:id="38" w:name="led293237f20239201697817068266"/>
      <w:bookmarkEnd w:id="38"/>
      <w:r>
        <w:rPr>
          <w:rFonts w:ascii="sans-serif" w:hAnsi="sans-serif"/>
          <w:color w:val="000000"/>
          <w:sz w:val="20"/>
        </w:rPr>
        <w:t>Pension income excluding service cost component decreased $18 million in the three months ended March 31, 2026 due to lower expected return on assets driven by a decrease in the asset base due to the settlement of the Kodak Retirement Income Plan ("KRIP") in the fourth quarter of 2025. Refer to Note 14, "Retirement Plans".</w:t>
      </w:r>
    </w:p>
    <w:p>
      <w:pPr>
        <w:pStyle w:val="TextBody"/>
        <w:bidi w:val="0"/>
        <w:spacing w:before="200" w:after="283"/>
        <w:jc w:val="left"/>
        <w:rPr>
          <w:rFonts w:ascii="sans-serif" w:hAnsi="sans-serif"/>
          <w:b/>
          <w:color w:val="000000"/>
          <w:sz w:val="20"/>
        </w:rPr>
      </w:pPr>
      <w:r>
        <w:rPr>
          <w:rFonts w:ascii="sans-serif" w:hAnsi="sans-serif"/>
          <w:b/>
          <w:color w:val="000000"/>
          <w:sz w:val="20"/>
        </w:rPr>
        <w:t>Other Charges, Net</w:t>
      </w:r>
    </w:p>
    <w:p>
      <w:pPr>
        <w:pStyle w:val="TextBody"/>
        <w:bidi w:val="0"/>
        <w:spacing w:before="200" w:after="283"/>
        <w:jc w:val="left"/>
        <w:rPr>
          <w:rFonts w:ascii="sans-serif" w:hAnsi="sans-serif"/>
          <w:color w:val="000000"/>
          <w:sz w:val="20"/>
        </w:rPr>
      </w:pPr>
      <w:r>
        <w:rPr>
          <w:rFonts w:ascii="sans-serif" w:hAnsi="sans-serif"/>
          <w:color w:val="000000"/>
          <w:sz w:val="20"/>
        </w:rPr>
        <w:t>For details, refer to Note 12, "Other Charges, Net".</w:t>
      </w:r>
    </w:p>
    <w:p>
      <w:pPr>
        <w:pStyle w:val="TextBody"/>
        <w:bidi w:val="0"/>
        <w:spacing w:before="200" w:after="283"/>
        <w:jc w:val="left"/>
        <w:rPr>
          <w:rFonts w:ascii="sans-serif" w:hAnsi="sans-serif"/>
          <w:b/>
          <w:color w:val="000000"/>
          <w:sz w:val="20"/>
        </w:rPr>
      </w:pPr>
      <w:r>
        <w:rPr>
          <w:rFonts w:ascii="sans-serif" w:hAnsi="sans-serif"/>
          <w:b/>
          <w:color w:val="000000"/>
          <w:sz w:val="20"/>
        </w:rPr>
        <w:t>REPORTABLE SEGMENTS</w:t>
      </w:r>
    </w:p>
    <w:p>
      <w:pPr>
        <w:pStyle w:val="TextBody"/>
        <w:bidi w:val="0"/>
        <w:spacing w:before="200" w:after="283"/>
        <w:jc w:val="left"/>
        <w:rPr>
          <w:rFonts w:ascii="sans-serif" w:hAnsi="sans-serif"/>
          <w:color w:val="000000"/>
          <w:sz w:val="20"/>
        </w:rPr>
      </w:pPr>
      <w:r>
        <w:rPr>
          <w:rFonts w:ascii="sans-serif" w:hAnsi="sans-serif"/>
          <w:color w:val="000000"/>
          <w:sz w:val="20"/>
        </w:rPr>
        <w:t>Kodak has three reportable segments: Print, Advanced Materials and Chemicals and Brand. A description of Kodak’s reportable segments follows.</w:t>
      </w:r>
    </w:p>
    <w:p>
      <w:pPr>
        <w:pStyle w:val="TextBody"/>
        <w:bidi w:val="0"/>
        <w:spacing w:before="200" w:after="283"/>
        <w:jc w:val="left"/>
        <w:rPr>
          <w:rFonts w:ascii="Times New Roman" w:hAnsi="Times New Roman"/>
          <w:sz w:val="20"/>
        </w:rPr>
      </w:pPr>
      <w:r>
        <w:rPr>
          <w:rFonts w:ascii="sans-serif" w:hAnsi="sans-serif"/>
          <w:b/>
          <w:color w:val="000000"/>
          <w:sz w:val="20"/>
        </w:rPr>
        <w:t>Print</w:t>
      </w:r>
      <w:r>
        <w:rPr>
          <w:rFonts w:ascii="sans-serif" w:hAnsi="sans-serif"/>
          <w:color w:val="000000"/>
          <w:sz w:val="20"/>
        </w:rPr>
        <w:t>: The Print segment is comprised of four lines of business: the Prepress Solutions business, the PROSPER business, the Software business and the Electrophotographic Printing Solutions business.</w:t>
      </w:r>
    </w:p>
    <w:p>
      <w:pPr>
        <w:pStyle w:val="TextBody"/>
        <w:bidi w:val="0"/>
        <w:spacing w:before="200" w:after="283"/>
        <w:jc w:val="left"/>
        <w:rPr>
          <w:rFonts w:ascii="Times New Roman" w:hAnsi="Times New Roman"/>
          <w:sz w:val="20"/>
        </w:rPr>
      </w:pPr>
      <w:r>
        <w:rPr>
          <w:rFonts w:ascii="sans-serif" w:hAnsi="sans-serif"/>
          <w:b/>
          <w:color w:val="000000"/>
          <w:sz w:val="20"/>
        </w:rPr>
        <w:t xml:space="preserve">Advanced Materials and Chemicals: </w:t>
      </w:r>
      <w:r>
        <w:rPr>
          <w:rFonts w:ascii="sans-serif" w:hAnsi="sans-serif"/>
          <w:color w:val="000000"/>
          <w:sz w:val="20"/>
        </w:rPr>
        <w:t>The Advanced Materials and Chemicals segment is comprised of five lines of business: the Industrial Film and Chemicals business, the Motion Picture business, the Pharmaceuticals business, the Advanced Materials and Functional Printing business and the IP Licensing and Analytical Services business.</w:t>
      </w:r>
    </w:p>
    <w:p>
      <w:pPr>
        <w:pStyle w:val="TextBody"/>
        <w:bidi w:val="0"/>
        <w:spacing w:before="200" w:after="283"/>
        <w:jc w:val="left"/>
        <w:rPr>
          <w:rFonts w:ascii="Times New Roman" w:hAnsi="Times New Roman"/>
          <w:sz w:val="20"/>
        </w:rPr>
      </w:pPr>
      <w:r>
        <w:rPr>
          <w:rFonts w:ascii="sans-serif" w:hAnsi="sans-serif"/>
          <w:b/>
          <w:color w:val="000000"/>
          <w:sz w:val="20"/>
        </w:rPr>
        <w:t>Brand</w:t>
      </w:r>
      <w:r>
        <w:rPr>
          <w:rFonts w:ascii="sans-serif" w:hAnsi="sans-serif"/>
          <w:color w:val="000000"/>
          <w:sz w:val="20"/>
        </w:rPr>
        <w:t>: The Brand segment contains the brand licensing business.</w:t>
      </w:r>
    </w:p>
    <w:p>
      <w:pPr>
        <w:pStyle w:val="TextBody"/>
        <w:bidi w:val="0"/>
        <w:spacing w:before="200" w:after="283"/>
        <w:jc w:val="left"/>
        <w:rPr>
          <w:rFonts w:ascii="sans-serif" w:hAnsi="sans-serif"/>
          <w:color w:val="000000"/>
          <w:sz w:val="20"/>
        </w:rPr>
      </w:pPr>
      <w:r>
        <w:rPr>
          <w:rFonts w:ascii="sans-serif" w:hAnsi="sans-serif"/>
          <w:color w:val="000000"/>
          <w:sz w:val="20"/>
        </w:rPr>
        <w:t>The balance of Kodak’s continuing operations, which primarily represent the operations of EBP and do not meet the criteria of a reportable segment, are reported in All Other revenues and All Other Operational EBITDA.</w:t>
      </w:r>
    </w:p>
    <w:p>
      <w:pPr>
        <w:pStyle w:val="TextBody"/>
        <w:bidi w:val="0"/>
        <w:spacing w:before="200" w:after="283"/>
        <w:jc w:val="left"/>
        <w:rPr>
          <w:rFonts w:ascii="sans-serif" w:hAnsi="sans-serif"/>
          <w:b/>
          <w:color w:val="000000"/>
          <w:sz w:val="20"/>
        </w:rPr>
      </w:pPr>
      <w:r>
        <w:rPr>
          <w:rFonts w:ascii="sans-serif" w:hAnsi="sans-serif"/>
          <w:b/>
          <w:color w:val="000000"/>
          <w:sz w:val="20"/>
        </w:rPr>
        <w:t>Segment Revenues</w:t>
      </w:r>
    </w:p>
    <w:p>
      <w:pPr>
        <w:pStyle w:val="TextBody"/>
        <w:bidi w:val="0"/>
        <w:jc w:val="left"/>
        <w:rPr/>
      </w:pPr>
      <w:r>
        <w:rPr/>
        <w:t> </w:t>
      </w:r>
    </w:p>
    <w:tbl>
      <w:tblPr>
        <w:tblW w:w="6446" w:type="dxa"/>
        <w:jc w:val="left"/>
        <w:tblInd w:w="0" w:type="dxa"/>
        <w:tblLayout w:type="fixed"/>
        <w:tblCellMar>
          <w:top w:w="28" w:type="dxa"/>
          <w:left w:w="28" w:type="dxa"/>
          <w:bottom w:w="28" w:type="dxa"/>
          <w:right w:w="28" w:type="dxa"/>
        </w:tblCellMar>
      </w:tblPr>
      <w:tblGrid>
        <w:gridCol w:w="3541"/>
        <w:gridCol w:w="146"/>
        <w:gridCol w:w="319"/>
        <w:gridCol w:w="659"/>
        <w:gridCol w:w="206"/>
        <w:gridCol w:w="206"/>
        <w:gridCol w:w="319"/>
        <w:gridCol w:w="659"/>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 of reportable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Consolidated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Kodak’s segment measure of profit and loss is an adjusted earnings before interest, taxes, depreciation and amortization (“Operational EBITDA”). As demonstrated in the table below, Operational EBITDA represents consolidated loss from operations excluding the provision for income taxes; non-service cost components of pension and other postemployment benefits (“OPEB”) income; depreciation and amortization expense; restructuring costs and other; stock-based compensation expense; idle costs; interest expense; loss on early extinguishment of debt; other operating expense, net and other charges, net.</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Segment Operational EBITDA and Consolidated Loss from Operations Before Income Taxes</w:t>
      </w:r>
    </w:p>
    <w:tbl>
      <w:tblPr>
        <w:tblW w:w="8275" w:type="dxa"/>
        <w:jc w:val="left"/>
        <w:tblInd w:w="0" w:type="dxa"/>
        <w:tblLayout w:type="fixed"/>
        <w:tblCellMar>
          <w:top w:w="28" w:type="dxa"/>
          <w:left w:w="28" w:type="dxa"/>
          <w:bottom w:w="28" w:type="dxa"/>
          <w:right w:w="28" w:type="dxa"/>
        </w:tblCellMar>
      </w:tblPr>
      <w:tblGrid>
        <w:gridCol w:w="5536"/>
        <w:gridCol w:w="146"/>
        <w:gridCol w:w="330"/>
        <w:gridCol w:w="615"/>
        <w:gridCol w:w="264"/>
        <w:gridCol w:w="213"/>
        <w:gridCol w:w="330"/>
        <w:gridCol w:w="615"/>
        <w:gridCol w:w="226"/>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Consulting and other costs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Idle costs </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operating expense, net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Interest expense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Pension income excluding service cost component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Loss on early extinguishment of debt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charges, net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Consolidated loss from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 xml:space="preserve">Consulting and other costs are professional services and internal costs associated with corporate strategic initiatives and </w:t>
      </w:r>
    </w:p>
    <w:p>
      <w:pPr>
        <w:pStyle w:val="TextBody"/>
        <w:bidi w:val="0"/>
        <w:jc w:val="left"/>
        <w:rPr>
          <w:rFonts w:ascii="sans-serif" w:hAnsi="sans-serif"/>
          <w:color w:val="000000"/>
          <w:sz w:val="20"/>
        </w:rPr>
      </w:pPr>
      <w:r>
        <w:rPr>
          <w:rFonts w:ascii="sans-serif" w:hAnsi="sans-serif"/>
          <w:color w:val="000000"/>
          <w:sz w:val="20"/>
        </w:rPr>
        <w:t>litigation. Consulting and other costs included $1 million of income in the three months ended March 31, 2026, representing insurance reimbursement of legal costs previously paid by the Company associated with investigations and litigation matters.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 xml:space="preserve">(2) </w:t>
      </w:r>
      <w:r>
        <w:rPr>
          <w:rFonts w:ascii="sans-serif" w:hAnsi="sans-serif"/>
          <w:color w:val="000000"/>
          <w:sz w:val="20"/>
        </w:rPr>
        <w:t>Consists of third-party costs such as security, maintenance and utilities required to maintain land and buildings in certain locations</w:t>
      </w:r>
    </w:p>
    <w:p>
      <w:pPr>
        <w:pStyle w:val="TextBody"/>
        <w:bidi w:val="0"/>
        <w:jc w:val="left"/>
        <w:rPr>
          <w:rFonts w:ascii="sans-serif" w:hAnsi="sans-serif"/>
          <w:color w:val="000000"/>
          <w:sz w:val="20"/>
        </w:rPr>
      </w:pPr>
      <w:r>
        <w:rPr>
          <w:rFonts w:ascii="sans-serif" w:hAnsi="sans-serif"/>
          <w:color w:val="000000"/>
          <w:sz w:val="20"/>
        </w:rPr>
        <w:t>not used in any Kodak operations and the costs, net of any rental income received, of underutilized portions of certain properties.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 xml:space="preserve">(3) </w:t>
      </w:r>
      <w:r>
        <w:rPr>
          <w:rFonts w:ascii="sans-serif" w:hAnsi="sans-serif"/>
          <w:color w:val="000000"/>
          <w:sz w:val="20"/>
        </w:rPr>
        <w:t>As reported in the Consolidated Statement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There was no change to employee benefit reserves in the three months ended March 31, 2026. Kodak increased employee benefit reserves by approximately $1 million in the three months ended March 31, 2025 due to an increase in workers' compensation reserves driven by changes in discount rates. The increase in reserves in the three months ended March 31, 2025 impacted gross profit by approximately $1 million.</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PRINT SEGMENT</w:t>
      </w:r>
    </w:p>
    <w:tbl>
      <w:tblPr>
        <w:tblW w:w="8275" w:type="dxa"/>
        <w:jc w:val="left"/>
        <w:tblInd w:w="0" w:type="dxa"/>
        <w:tblLayout w:type="fixed"/>
        <w:tblCellMar>
          <w:top w:w="28" w:type="dxa"/>
          <w:left w:w="28" w:type="dxa"/>
          <w:bottom w:w="28" w:type="dxa"/>
          <w:right w:w="28" w:type="dxa"/>
        </w:tblCellMar>
      </w:tblPr>
      <w:tblGrid>
        <w:gridCol w:w="3961"/>
        <w:gridCol w:w="146"/>
        <w:gridCol w:w="276"/>
        <w:gridCol w:w="569"/>
        <w:gridCol w:w="349"/>
        <w:gridCol w:w="178"/>
        <w:gridCol w:w="276"/>
        <w:gridCol w:w="569"/>
        <w:gridCol w:w="441"/>
        <w:gridCol w:w="178"/>
        <w:gridCol w:w="450"/>
        <w:gridCol w:w="691"/>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spacing w:before="200" w:after="283"/>
        <w:jc w:val="left"/>
        <w:rPr>
          <w:rFonts w:ascii="sans-serif" w:hAnsi="sans-serif"/>
          <w:color w:val="000000"/>
          <w:sz w:val="20"/>
        </w:rPr>
      </w:pPr>
      <w:r>
        <w:rPr>
          <w:rFonts w:ascii="sans-serif" w:hAnsi="sans-serif"/>
          <w:color w:val="000000"/>
          <w:sz w:val="20"/>
        </w:rPr>
        <w:t>Print revenues for the three months ended March 31, 2026 increased $15 million primarily due to improved pricing in Prepress Solutions ($10 million), favorable foreign currency fluctuations ($7 million), higher volume in PROSPER ($4 million) and Software ($1 million), partially offset by reduced volume in Prepress Solutions ($4 million) and Electrophotographic Printing Solutions ("EPS") ($3 million).</w:t>
      </w:r>
    </w:p>
    <w:p>
      <w:pPr>
        <w:pStyle w:val="TextBody"/>
        <w:bidi w:val="0"/>
        <w:spacing w:before="200" w:after="283"/>
        <w:jc w:val="left"/>
        <w:rPr>
          <w:rFonts w:ascii="sans-serif" w:hAnsi="sans-serif"/>
          <w:b/>
          <w:color w:val="000000"/>
          <w:sz w:val="20"/>
        </w:rPr>
      </w:pPr>
      <w:r>
        <w:rPr>
          <w:rFonts w:ascii="sans-serif" w:hAnsi="sans-serif"/>
          <w:b/>
          <w:color w:val="000000"/>
          <w:sz w:val="20"/>
        </w:rPr>
        <w:t>Operational EBITDA</w:t>
      </w:r>
    </w:p>
    <w:p>
      <w:pPr>
        <w:pStyle w:val="TextBody"/>
        <w:bidi w:val="0"/>
        <w:spacing w:before="200" w:after="283"/>
        <w:jc w:val="left"/>
        <w:rPr>
          <w:rFonts w:ascii="Times New Roman" w:hAnsi="Times New Roman"/>
          <w:sz w:val="20"/>
        </w:rPr>
      </w:pPr>
      <w:r>
        <w:rPr>
          <w:rFonts w:ascii="sans-serif" w:hAnsi="sans-serif"/>
          <w:color w:val="000000"/>
          <w:sz w:val="20"/>
        </w:rPr>
        <w:t>Print Operational EBITDA for the three months ended March 31, 2026 increased $12 million primarily due to improved pricing in Prepress Solutions ($9 million), higher volume in PROSPER ($1 million) and Software ($1 million), higher margins in EPS ($1 million)</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and reduced manufacturing costs ($1 million), partially offset by higher costs for aluminum ($1 million) and lower volume in Prepress Solutions ($1 million).</w:t>
      </w:r>
    </w:p>
    <w:p>
      <w:pPr>
        <w:pStyle w:val="TextBody"/>
        <w:bidi w:val="0"/>
        <w:spacing w:before="200" w:after="283"/>
        <w:jc w:val="left"/>
        <w:rPr>
          <w:rFonts w:ascii="sans-serif" w:hAnsi="sans-serif"/>
          <w:b/>
          <w:color w:val="000000"/>
          <w:sz w:val="20"/>
        </w:rPr>
      </w:pPr>
      <w:r>
        <w:rPr>
          <w:rFonts w:ascii="sans-serif" w:hAnsi="sans-serif"/>
          <w:b/>
          <w:color w:val="000000"/>
          <w:sz w:val="20"/>
        </w:rPr>
        <w:t>ADVANCED MATERIALS AND CHEMICALS SEGMENT</w:t>
      </w:r>
    </w:p>
    <w:p>
      <w:pPr>
        <w:pStyle w:val="TextBody"/>
        <w:bidi w:val="0"/>
        <w:jc w:val="left"/>
        <w:rPr/>
      </w:pPr>
      <w:r>
        <w:rPr/>
        <w:t> </w:t>
      </w:r>
    </w:p>
    <w:tbl>
      <w:tblPr>
        <w:tblW w:w="8191" w:type="dxa"/>
        <w:jc w:val="left"/>
        <w:tblInd w:w="0" w:type="dxa"/>
        <w:tblLayout w:type="fixed"/>
        <w:tblCellMar>
          <w:top w:w="28" w:type="dxa"/>
          <w:left w:w="28" w:type="dxa"/>
          <w:bottom w:w="28" w:type="dxa"/>
          <w:right w:w="28" w:type="dxa"/>
        </w:tblCellMar>
      </w:tblPr>
      <w:tblGrid>
        <w:gridCol w:w="3961"/>
        <w:gridCol w:w="146"/>
        <w:gridCol w:w="310"/>
        <w:gridCol w:w="474"/>
        <w:gridCol w:w="392"/>
        <w:gridCol w:w="200"/>
        <w:gridCol w:w="310"/>
        <w:gridCol w:w="474"/>
        <w:gridCol w:w="392"/>
        <w:gridCol w:w="200"/>
        <w:gridCol w:w="450"/>
        <w:gridCol w:w="691"/>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spacing w:before="200" w:after="283"/>
        <w:jc w:val="left"/>
        <w:rPr>
          <w:rFonts w:ascii="Times New Roman" w:hAnsi="Times New Roman"/>
          <w:sz w:val="20"/>
        </w:rPr>
      </w:pPr>
      <w:bookmarkStart w:id="39" w:name="led293315f20228281664395085709"/>
      <w:bookmarkEnd w:id="39"/>
      <w:r>
        <w:rPr>
          <w:rFonts w:ascii="sans-serif" w:hAnsi="sans-serif"/>
          <w:color w:val="000000"/>
          <w:sz w:val="20"/>
        </w:rPr>
        <w:t>Advanced Materials and Chemicals revenues for the three months ended March 31, 2026 increased $2</w:t>
      </w:r>
      <w:r>
        <w:rPr>
          <w:rFonts w:ascii="Times New Roman" w:hAnsi="Times New Roman"/>
          <w:color w:val="000000"/>
          <w:sz w:val="20"/>
        </w:rPr>
        <w:t xml:space="preserve"> </w:t>
      </w:r>
      <w:r>
        <w:rPr>
          <w:rFonts w:ascii="sans-serif" w:hAnsi="sans-serif"/>
          <w:color w:val="000000"/>
          <w:sz w:val="20"/>
        </w:rPr>
        <w:t>million primarily due to improved pricing in Industrial Film and Chemicals ($6 million), partially offset by a decline in volume ($4 million) in Industrial Film and Chemicals.</w:t>
      </w:r>
    </w:p>
    <w:p>
      <w:pPr>
        <w:pStyle w:val="TextBody"/>
        <w:bidi w:val="0"/>
        <w:spacing w:before="200" w:after="283"/>
        <w:jc w:val="left"/>
        <w:rPr>
          <w:rFonts w:ascii="sans-serif" w:hAnsi="sans-serif"/>
          <w:b/>
          <w:color w:val="000000"/>
          <w:sz w:val="20"/>
        </w:rPr>
      </w:pPr>
      <w:r>
        <w:rPr>
          <w:rFonts w:ascii="sans-serif" w:hAnsi="sans-serif"/>
          <w:b/>
          <w:color w:val="000000"/>
          <w:sz w:val="20"/>
        </w:rPr>
        <w:t>Operational EBITDA</w:t>
      </w:r>
    </w:p>
    <w:p>
      <w:pPr>
        <w:pStyle w:val="TextBody"/>
        <w:bidi w:val="0"/>
        <w:spacing w:before="200" w:after="283"/>
        <w:jc w:val="left"/>
        <w:rPr>
          <w:rFonts w:ascii="sans-serif" w:hAnsi="sans-serif"/>
          <w:color w:val="000000"/>
          <w:sz w:val="20"/>
        </w:rPr>
      </w:pPr>
      <w:r>
        <w:rPr>
          <w:rFonts w:ascii="sans-serif" w:hAnsi="sans-serif"/>
          <w:color w:val="000000"/>
          <w:sz w:val="20"/>
        </w:rPr>
        <w:t>Advanced Materials and Chemicals Operational EBITDA was flat for the three months ended March 31, 2026 compared to the prior year period due to improved pricing in Industrial Film and Chemicals ($5 million), favorable foreign currency fluctuations ($1 million) and net change in employee benefit reserves ($1 million), offset by higher silver costs ($5 million) and manufacturing costs ($2 million).</w:t>
      </w:r>
    </w:p>
    <w:p>
      <w:pPr>
        <w:pStyle w:val="TextBody"/>
        <w:bidi w:val="0"/>
        <w:spacing w:before="200" w:after="283"/>
        <w:jc w:val="left"/>
        <w:rPr>
          <w:rFonts w:ascii="sans-serif" w:hAnsi="sans-serif"/>
          <w:b/>
          <w:color w:val="000000"/>
          <w:sz w:val="20"/>
        </w:rPr>
      </w:pPr>
      <w:r>
        <w:rPr>
          <w:rFonts w:ascii="sans-serif" w:hAnsi="sans-serif"/>
          <w:b/>
          <w:color w:val="000000"/>
          <w:sz w:val="20"/>
        </w:rPr>
        <w:t>BRAND SEGMENT</w:t>
      </w:r>
    </w:p>
    <w:tbl>
      <w:tblPr>
        <w:tblW w:w="8356" w:type="dxa"/>
        <w:jc w:val="left"/>
        <w:tblInd w:w="0" w:type="dxa"/>
        <w:tblLayout w:type="fixed"/>
        <w:tblCellMar>
          <w:top w:w="28" w:type="dxa"/>
          <w:left w:w="28" w:type="dxa"/>
          <w:bottom w:w="28" w:type="dxa"/>
          <w:right w:w="28" w:type="dxa"/>
        </w:tblCellMar>
      </w:tblPr>
      <w:tblGrid>
        <w:gridCol w:w="3961"/>
        <w:gridCol w:w="146"/>
        <w:gridCol w:w="310"/>
        <w:gridCol w:w="474"/>
        <w:gridCol w:w="392"/>
        <w:gridCol w:w="200"/>
        <w:gridCol w:w="310"/>
        <w:gridCol w:w="639"/>
        <w:gridCol w:w="392"/>
        <w:gridCol w:w="200"/>
        <w:gridCol w:w="570"/>
        <w:gridCol w:w="571"/>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Brand revenues for the three months ended March 31, 2026 increased $2 million due to higher volumes.</w:t>
      </w:r>
    </w:p>
    <w:p>
      <w:pPr>
        <w:pStyle w:val="TextBody"/>
        <w:bidi w:val="0"/>
        <w:spacing w:before="200" w:after="283"/>
        <w:jc w:val="left"/>
        <w:rPr>
          <w:rFonts w:ascii="sans-serif" w:hAnsi="sans-serif"/>
          <w:b/>
          <w:color w:val="000000"/>
          <w:sz w:val="20"/>
        </w:rPr>
      </w:pPr>
      <w:r>
        <w:rPr>
          <w:rFonts w:ascii="sans-serif" w:hAnsi="sans-serif"/>
          <w:b/>
          <w:color w:val="000000"/>
          <w:sz w:val="20"/>
        </w:rPr>
        <w:t>Operational EBITDA</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Brand Operational EBITDA for the three months ended March 31, 2026 increased $1 million due to higher volumes.</w:t>
      </w:r>
    </w:p>
    <w:p>
      <w:pPr>
        <w:pStyle w:val="TextBody"/>
        <w:bidi w:val="0"/>
        <w:jc w:val="left"/>
        <w:rPr/>
      </w:pPr>
      <w:r>
        <w:rPr/>
        <w:t> </w:t>
      </w:r>
    </w:p>
    <w:p>
      <w:pPr>
        <w:pStyle w:val="TextBody"/>
        <w:bidi w:val="0"/>
        <w:jc w:val="left"/>
        <w:rPr>
          <w:rFonts w:ascii="sans-serif" w:hAnsi="sans-serif"/>
          <w:b/>
          <w:color w:val="000000"/>
          <w:sz w:val="20"/>
        </w:rPr>
      </w:pPr>
      <w:bookmarkStart w:id="40" w:name="liquid"/>
      <w:bookmarkEnd w:id="40"/>
      <w:r>
        <w:rPr>
          <w:rFonts w:ascii="sans-serif" w:hAnsi="sans-serif"/>
          <w:b/>
          <w:color w:val="000000"/>
          <w:sz w:val="20"/>
        </w:rPr>
        <w:t>LIQUIDITY AND CAPITAL RESOURCES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Management</w:t>
      </w:r>
      <w:r>
        <w:rPr>
          <w:rFonts w:ascii="Times New Roman" w:hAnsi="Times New Roman"/>
          <w:color w:val="000000"/>
          <w:sz w:val="20"/>
        </w:rPr>
        <w:t>’</w:t>
      </w:r>
      <w:r>
        <w:rPr>
          <w:rFonts w:ascii="sans-serif" w:hAnsi="sans-serif"/>
          <w:b/>
          <w:color w:val="000000"/>
          <w:sz w:val="20"/>
        </w:rPr>
        <w:t>s Assessment of Liquidity</w:t>
      </w:r>
    </w:p>
    <w:p>
      <w:pPr>
        <w:pStyle w:val="TextBody"/>
        <w:bidi w:val="0"/>
        <w:jc w:val="left"/>
        <w:rPr/>
      </w:pPr>
      <w:r>
        <w:rPr/>
        <w:t> </w:t>
      </w:r>
    </w:p>
    <w:p>
      <w:pPr>
        <w:pStyle w:val="TextBody"/>
        <w:bidi w:val="0"/>
        <w:jc w:val="left"/>
        <w:rPr>
          <w:rFonts w:ascii="Times New Roman" w:hAnsi="Times New Roman"/>
          <w:sz w:val="20"/>
        </w:rPr>
      </w:pPr>
      <w:bookmarkStart w:id="41" w:name="led293246f20228281664397857067"/>
      <w:bookmarkEnd w:id="41"/>
      <w:r>
        <w:rPr>
          <w:rFonts w:ascii="sans-serif" w:hAnsi="sans-serif"/>
          <w:color w:val="000000"/>
          <w:sz w:val="20"/>
        </w:rPr>
        <w:t>Kodak ended the quarter with a cash balance of $299 million, a decrease of $38</w:t>
      </w:r>
      <w:r>
        <w:rPr>
          <w:rFonts w:ascii="Times New Roman" w:hAnsi="Times New Roman"/>
          <w:color w:val="000000"/>
          <w:sz w:val="20"/>
        </w:rPr>
        <w:t xml:space="preserve"> </w:t>
      </w:r>
      <w:r>
        <w:rPr>
          <w:rFonts w:ascii="sans-serif" w:hAnsi="sans-serif"/>
          <w:color w:val="000000"/>
          <w:sz w:val="20"/>
        </w:rPr>
        <w:t xml:space="preserve">million from </w:t>
      </w:r>
      <w:bookmarkStart w:id="42" w:name="led293237f20232271679950210847"/>
      <w:bookmarkEnd w:id="42"/>
      <w:r>
        <w:rPr>
          <w:rFonts w:ascii="sans-serif" w:hAnsi="sans-serif"/>
          <w:color w:val="000000"/>
          <w:sz w:val="20"/>
        </w:rPr>
        <w:t>December 31,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During the fourth quarter of 2025, the Company completed the settlement of the Kodak Retirement Income Plan ("KRIP") and received $144 million in net cash proceeds from the reversion of KRIP assets, after required debt payments and payment of excise taxes, as well as $158 million of investment assets, of which $9 million was converted to cash in December 2025. The investment assets received by the Company are primarily hedge fund investments which are in redemption.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During the first quarter of 2026, the Company received $46 million of cash from these redemptions. In April 2026, the Company received an additional $39 million of cash and expects to receive $16 million in cash proceeds during the remainder of 2026. The remaining value of the investment assets is expected to be converted to cash primarily in 2027 and 2028.</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Available liquidity includes existing cash and cash equivalent balances. The amount of available liquidity is subject to fluctuations and includes cash balances held by various entities worldwide. At March 31, 2026 and December 31, 2025 approximately $173 million and $231 million, respectively, of cash and cash equivalents were held within the U.S. and approximately $126 million and $106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As of March 31, 2026 and December 31, 2025, outstanding intercompany loans to the U.S. were $479 million and $509 million, respectively, which included short-term intercompany loans from Kodak’s international finance center of $205 million and $235 million, respectively</w:t>
      </w:r>
      <w:r>
        <w:rPr>
          <w:rFonts w:ascii="sans-serif" w:hAnsi="sans-serif"/>
          <w:b/>
          <w:color w:val="000000"/>
          <w:sz w:val="20"/>
        </w:rPr>
        <w:t xml:space="preserve">. </w:t>
      </w:r>
      <w:r>
        <w:rPr>
          <w:rFonts w:ascii="sans-serif" w:hAnsi="sans-serif"/>
          <w:color w:val="000000"/>
          <w:sz w:val="20"/>
        </w:rPr>
        <w:t>In China, where approximately $36 million and $35 million of cash and cash equivalents was held as of March 31, 2026 and December 31, 2025, respectively, there are limitations related to net asset balances that may impact the ability to make cash available to other jurisdictions in the world. Under the terms of the Amended and Restated Term Loan Credit Agreement, the Company is permitted to invest up to $75 million in Restricted Subsidiaries that are not Loan Parties and in joint ventures or Unrestricted Subsidiaries that are not party to the Amended and Restated Term Loan Credit Agreement.</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Company’s Hong Kong subsidiary has an intercompany loan from one of the Company’s Chinese subsidiaries with a maturity date of November 16, 2026, the proceeds of which were in turn loaned to the Company. The terms of the intercompany loan require the Company to make efforts to repay the outstanding loan balance prior to maturity. The outstanding amount of the intercompany loan as of March 31, 2026 was $68 million. The Company is evaluating repayment alternatives for the current loan agreement which would allow Kodak and its subsidiaries to perform their obligations to each other while minimizing the impact on U.S. liquidity taking into account requirements imposed by Chinese regulators. Any amounts repaid to the Chinese subsidiary may not be able to be loaned, repatriated or otherwise moved back to the U.S., in which case the Company’s U.S. liquidity would be reduced.</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On March 11, 2026, the Company filed with the Department of Treasury of the State of New Jersey a Certificate of Amendment to the Series B Certificate of Designations which amended certain terms of the Company’s 4.0% Series B Preferred Stock (the “Series B Preferred Stock Amendment”) and set forth the terms of the Company’s 6.0% Series B Convertible Preferred Stock, no par value (the “6.0% Series B Preferred Stock”). The Series B Preferred Stock Amendment (i) extended the mandatory redemption date from May 28, 2026 to June 11, 2029, (ii) increased the annual cash dividend rate from 4.0% to 6.0% and (iii) reduced the conversion price from $10.50 to $10.00 per share and modified certain other conversion terms. The 6.0% Series B Preferred Stock is convertible into shares of common stock; however, the timing and likelihood of such conversion are dependent on market conditions and other factors and is subject to certain restrictions whereby the Company would be required to pay cash in lieu of issuing shares in excess of a maximum number. The cash payment is determined based on the market value of the Company’s common stock as of the applicable conversion date.</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On March 11, 2026, in connection with the Series B Preferred Stock Amendment, the Company and certain of its subsidiaries entered into the Fourth Amendment to the term loan credit agreement (the “Term Loan Amendment”), which amends the Company’s Amended and Restated Credit Agreement, dated as of June 30, 2023 (as amended, the “Term Loan Credit Agreement”). Under the Term Loan Credit Agreement, the term loan lenders provided the Company with a commitment to provide term loans in an aggregate principal amount of $450 million (the “Term Loans”). The Term Loan Amendment requires the Company to prepay an aggregate $50 million principal amount of Term Loans on or prior to March 18, 2026 and an additional $50 million principal amount of Term Loans on or prior to June 1, 2026, in each case, plus a prepayment premium equal to one percent. On March 13, 2026, the Company paid $50 million of the outstanding principal amount of the Term Loans, $1 million in accrued uncapitalized interest and a prepayment premium equal to one percent of the principal amount paid. The Company expects to fund the remaining required prepayment through a combination of cash proceeds from the redemption of KRIP investment assets and cash on hand.</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Kodak's cash flows continue to be negatively impacted by higher manufacturing, labor, material and distribution costs, along with volume declines, supply chain disruptions and shortages in materials and labor. These impacts have been largely mitigated by price increases, savings relating to rationalization, cost reductions and operational efficiencies and supply chain-related cost improvements. In addition, the cash proceeds from the KRIP reversion and additional cash proceeds expected from the redemption or other monetization of investment assets provides additional liquidity to the Company to adequately fund on‐going operations.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economic uncertainties surrounding the current inflationary environment and other global events represent additional elements of complexity in Kodak’s plans to return to sustainable positive cash flow. The Company cannot predict the duration and scope of such events, including the impact of rising costs of labor, commodity and distribution costs and increased product costs from tariffs, geopolitical conflicts and other factors such as the Company's ability to continue to secure raw materials and components, the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ability to increase prices to offset rising product costs or how quickly and to what extent normal economic and operating conditions can resume.</w:t>
      </w:r>
    </w:p>
    <w:p>
      <w:pPr>
        <w:pStyle w:val="TextBody"/>
        <w:bidi w:val="0"/>
        <w:spacing w:before="200" w:after="283"/>
        <w:jc w:val="left"/>
        <w:rPr>
          <w:rFonts w:ascii="sans-serif" w:hAnsi="sans-serif"/>
          <w:color w:val="000000"/>
          <w:sz w:val="20"/>
        </w:rPr>
      </w:pPr>
      <w:r>
        <w:rPr>
          <w:rFonts w:ascii="sans-serif" w:hAnsi="sans-serif"/>
          <w:color w:val="000000"/>
          <w:sz w:val="20"/>
        </w:rPr>
        <w:t>Kodak's plans to return to sustainable positive cash flow include generating profitable revenues through continued pricing actions and customer-focused initiatives, investing in new product innovation to drive growth in Kodak’s businesses of print and advanced materials and chemicals, implementing effective working capital utilization, reducing operating expenses, continuing to simplify the organizational structure, investing in IT systems to drive operational efficiencies, effectively managing world-wide cash through intercompany loans, distributions or other mechanisms, generating cash from selling and leasing underutilized assets or through new licensing opportunities and implementing ways to reduce cash collateral needs.</w:t>
      </w:r>
    </w:p>
    <w:p>
      <w:pPr>
        <w:pStyle w:val="TextBody"/>
        <w:bidi w:val="0"/>
        <w:spacing w:before="200" w:after="283"/>
        <w:jc w:val="left"/>
        <w:rPr>
          <w:rFonts w:ascii="sans-serif" w:hAnsi="sans-serif"/>
          <w:color w:val="000000"/>
          <w:sz w:val="20"/>
        </w:rPr>
      </w:pPr>
      <w:r>
        <w:rPr>
          <w:rFonts w:ascii="sans-serif" w:hAnsi="sans-serif"/>
          <w:color w:val="000000"/>
          <w:sz w:val="20"/>
        </w:rPr>
        <w:t>Kodak believes its liquidity position is adequate to fund operations, meet its obligations and provide the flexibility to respond as necessary to ordinary changes in the business and economic environment within twelve months as of the filing of this Form 10-Q.</w:t>
      </w:r>
    </w:p>
    <w:p>
      <w:pPr>
        <w:pStyle w:val="TextBody"/>
        <w:bidi w:val="0"/>
        <w:spacing w:before="200" w:after="283"/>
        <w:jc w:val="left"/>
        <w:rPr>
          <w:rFonts w:ascii="sans-serif" w:hAnsi="sans-serif"/>
          <w:b/>
          <w:color w:val="000000"/>
          <w:sz w:val="20"/>
        </w:rPr>
      </w:pPr>
      <w:r>
        <w:rPr>
          <w:rFonts w:ascii="sans-serif" w:hAnsi="sans-serif"/>
          <w:b/>
          <w:color w:val="000000"/>
          <w:sz w:val="20"/>
        </w:rPr>
        <w:t>Letter of Credit Facility Agreement</w:t>
      </w:r>
    </w:p>
    <w:p>
      <w:pPr>
        <w:pStyle w:val="TextBody"/>
        <w:bidi w:val="0"/>
        <w:spacing w:before="200" w:after="283"/>
        <w:jc w:val="left"/>
        <w:rPr>
          <w:rFonts w:ascii="Times New Roman" w:hAnsi="Times New Roman"/>
          <w:sz w:val="20"/>
        </w:rPr>
      </w:pPr>
      <w:bookmarkStart w:id="43" w:name="led293237f20242261711470288355"/>
      <w:bookmarkEnd w:id="43"/>
      <w:r>
        <w:rPr>
          <w:rFonts w:ascii="sans-serif" w:hAnsi="sans-serif"/>
          <w:color w:val="000000"/>
          <w:sz w:val="20"/>
        </w:rPr>
        <w:t>Approximately $24 million of letters of credit were issued under the Amended and Restated L/C Facility Agreement as of both March 31, 2026</w:t>
      </w:r>
      <w:r>
        <w:rPr>
          <w:rFonts w:ascii="Times New Roman" w:hAnsi="Times New Roman"/>
          <w:color w:val="000000"/>
          <w:sz w:val="20"/>
        </w:rPr>
        <w:t xml:space="preserve"> </w:t>
      </w:r>
      <w:r>
        <w:rPr>
          <w:rFonts w:ascii="sans-serif" w:hAnsi="sans-serif"/>
          <w:color w:val="000000"/>
          <w:sz w:val="20"/>
        </w:rPr>
        <w:t>and December 31, 2025</w:t>
      </w:r>
      <w:bookmarkStart w:id="44" w:name="led293237f20242261711470319489"/>
      <w:bookmarkEnd w:id="44"/>
      <w:r>
        <w:rPr>
          <w:rFonts w:ascii="sans-serif" w:hAnsi="sans-serif"/>
          <w:color w:val="000000"/>
          <w:sz w:val="20"/>
        </w:rPr>
        <w:t>. The letters of credit under the Amended and Restated L/C Facility Agreement are collateralized by cash collateral (the “L/C Cash Collateral”). The L/C Cash Collateral was $26 million and $25 million at March 31, 2026 and December 31, 2025, respectively, which was classified as Restricted Cash.</w:t>
      </w:r>
    </w:p>
    <w:p>
      <w:pPr>
        <w:pStyle w:val="TextBody"/>
        <w:bidi w:val="0"/>
        <w:spacing w:before="200" w:after="283"/>
        <w:jc w:val="left"/>
        <w:rPr>
          <w:rFonts w:ascii="sans-serif" w:hAnsi="sans-serif"/>
          <w:b/>
          <w:color w:val="000000"/>
          <w:sz w:val="20"/>
        </w:rPr>
      </w:pPr>
      <w:r>
        <w:rPr>
          <w:rFonts w:ascii="sans-serif" w:hAnsi="sans-serif"/>
          <w:b/>
          <w:color w:val="000000"/>
          <w:sz w:val="20"/>
        </w:rPr>
        <w:t>Cash Flow</w:t>
      </w:r>
    </w:p>
    <w:p>
      <w:pPr>
        <w:pStyle w:val="TextBody"/>
        <w:bidi w:val="0"/>
        <w:spacing w:before="200" w:after="283"/>
        <w:jc w:val="left"/>
        <w:rPr>
          <w:rFonts w:ascii="sans-serif" w:hAnsi="sans-serif"/>
          <w:color w:val="000000"/>
          <w:sz w:val="20"/>
        </w:rPr>
      </w:pPr>
      <w:r>
        <w:rPr>
          <w:rFonts w:ascii="sans-serif" w:hAnsi="sans-serif"/>
          <w:color w:val="000000"/>
          <w:sz w:val="20"/>
        </w:rPr>
        <w:t>Cash, cash equivalents and restricted cash balances were as follows:</w:t>
      </w:r>
    </w:p>
    <w:p>
      <w:pPr>
        <w:pStyle w:val="TextBody"/>
        <w:bidi w:val="0"/>
        <w:jc w:val="left"/>
        <w:rPr/>
      </w:pPr>
      <w:r>
        <w:rPr/>
        <w:t> </w:t>
      </w:r>
    </w:p>
    <w:tbl>
      <w:tblPr>
        <w:tblW w:w="7770" w:type="dxa"/>
        <w:jc w:val="left"/>
        <w:tblInd w:w="0" w:type="dxa"/>
        <w:tblLayout w:type="fixed"/>
        <w:tblCellMar>
          <w:top w:w="28" w:type="dxa"/>
          <w:left w:w="28" w:type="dxa"/>
          <w:bottom w:w="28" w:type="dxa"/>
          <w:right w:w="28" w:type="dxa"/>
        </w:tblCellMar>
      </w:tblPr>
      <w:tblGrid>
        <w:gridCol w:w="4291"/>
        <w:gridCol w:w="146"/>
        <w:gridCol w:w="392"/>
        <w:gridCol w:w="808"/>
        <w:gridCol w:w="146"/>
        <w:gridCol w:w="146"/>
        <w:gridCol w:w="539"/>
        <w:gridCol w:w="111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Cash Flow Activity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87"/>
        <w:gridCol w:w="146"/>
        <w:gridCol w:w="291"/>
        <w:gridCol w:w="543"/>
        <w:gridCol w:w="233"/>
        <w:gridCol w:w="188"/>
        <w:gridCol w:w="291"/>
        <w:gridCol w:w="543"/>
        <w:gridCol w:w="181"/>
        <w:gridCol w:w="146"/>
        <w:gridCol w:w="811"/>
        <w:gridCol w:w="1513"/>
        <w:gridCol w:w="232"/>
      </w:tblGrid>
      <w:tr>
        <w:trPr/>
        <w:tc>
          <w:tcPr>
            <w:tcW w:w="5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Year-Over-Year Change</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Effect of exchange rate changes on cash, cash equivalents and restricted </w:t>
              <w:br/>
              <w:t>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Operating Activities</w:t>
      </w:r>
    </w:p>
    <w:p>
      <w:pPr>
        <w:pStyle w:val="TextBody"/>
        <w:bidi w:val="0"/>
        <w:spacing w:before="200" w:after="283"/>
        <w:jc w:val="left"/>
        <w:rPr>
          <w:rFonts w:ascii="sans-serif" w:hAnsi="sans-serif"/>
          <w:color w:val="000000"/>
          <w:sz w:val="20"/>
        </w:rPr>
      </w:pPr>
      <w:r>
        <w:rPr>
          <w:rFonts w:ascii="sans-serif" w:hAnsi="sans-serif"/>
          <w:color w:val="000000"/>
          <w:sz w:val="20"/>
        </w:rPr>
        <w:t>Net cash used in operating activities decreased $8 million for the three months ended March 31, 2026 as compared with the corresponding period in 2025 primarily due to a decrease in trade receivables ($17 million) and trade payables ($3 million), partially offset by an increase in inventory ($23 million) and miscellaneous receivables ($7 million).</w:t>
      </w:r>
    </w:p>
    <w:p>
      <w:pPr>
        <w:pStyle w:val="TextBody"/>
        <w:bidi w:val="0"/>
        <w:spacing w:before="200" w:after="283"/>
        <w:jc w:val="left"/>
        <w:rPr>
          <w:rFonts w:ascii="sans-serif" w:hAnsi="sans-serif"/>
          <w:b/>
          <w:i/>
          <w:color w:val="000000"/>
          <w:sz w:val="20"/>
        </w:rPr>
      </w:pPr>
      <w:r>
        <w:rPr>
          <w:rFonts w:ascii="sans-serif" w:hAnsi="sans-serif"/>
          <w:b/>
          <w:i/>
          <w:color w:val="000000"/>
          <w:sz w:val="20"/>
        </w:rPr>
        <w:t>Investing Activities</w:t>
      </w:r>
    </w:p>
    <w:p>
      <w:pPr>
        <w:pStyle w:val="TextBody"/>
        <w:bidi w:val="0"/>
        <w:spacing w:before="200" w:after="283"/>
        <w:jc w:val="left"/>
        <w:rPr>
          <w:rFonts w:ascii="Times New Roman" w:hAnsi="Times New Roman"/>
          <w:sz w:val="20"/>
        </w:rPr>
      </w:pPr>
      <w:r>
        <w:rPr>
          <w:rFonts w:ascii="sans-serif" w:hAnsi="sans-serif"/>
          <w:color w:val="000000"/>
          <w:sz w:val="20"/>
        </w:rPr>
        <w:t>Net cash provided by (used in) investing activities for the three months ended March 31, 2026 increased $49 million compared to the corresponding period in 2025 due to cash proceeds from the redemption of KRIP reversion investments ($46 million), proceeds from the sale of preferred equity investment ($2 million) and a decrease in capital expenditures ($6 million), partially offset by proceeds from the sale of assets in the prior year ($5 million).</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i/>
          <w:color w:val="000000"/>
          <w:sz w:val="20"/>
        </w:rPr>
      </w:pPr>
      <w:r>
        <w:rPr>
          <w:rFonts w:ascii="sans-serif" w:hAnsi="sans-serif"/>
          <w:b/>
          <w:i/>
          <w:color w:val="000000"/>
          <w:sz w:val="20"/>
        </w:rPr>
        <w:t>Financing Activities</w:t>
      </w:r>
    </w:p>
    <w:p>
      <w:pPr>
        <w:pStyle w:val="TextBody"/>
        <w:bidi w:val="0"/>
        <w:spacing w:before="200" w:after="283"/>
        <w:jc w:val="left"/>
        <w:rPr>
          <w:rFonts w:ascii="sans-serif" w:hAnsi="sans-serif"/>
          <w:color w:val="000000"/>
          <w:sz w:val="20"/>
        </w:rPr>
      </w:pPr>
      <w:r>
        <w:rPr>
          <w:rFonts w:ascii="sans-serif" w:hAnsi="sans-serif"/>
          <w:color w:val="000000"/>
          <w:sz w:val="20"/>
        </w:rPr>
        <w:t>Net cash used in financing activities for the three months ended March 31, 2026 increased $52 million compared to the corresponding period in 2025 primarily driven by the $50 million principal repayment of the Term Loans on March 13, 2026.</w:t>
      </w:r>
    </w:p>
    <w:p>
      <w:pPr>
        <w:pStyle w:val="TextBody"/>
        <w:bidi w:val="0"/>
        <w:spacing w:before="200" w:after="283"/>
        <w:jc w:val="left"/>
        <w:rPr>
          <w:rFonts w:ascii="Times New Roman" w:hAnsi="Times New Roman"/>
          <w:sz w:val="20"/>
        </w:rPr>
      </w:pPr>
      <w:r>
        <w:rPr>
          <w:rFonts w:ascii="sans-serif" w:hAnsi="sans-serif"/>
          <w:b/>
          <w:color w:val="000000"/>
          <w:sz w:val="20"/>
        </w:rPr>
        <w:t>Other Collateral Requirements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NYS WCB requires security deposits related to self-insured workers’ compensation obligations, which security deposits are recalculated annually. Due to changes in 2019 to the manner in which the required security deposit is determined, the Company has been required to post additional collateral over the last several years. At December 31, 2022, the Company posted $75 million of collateral, representing 107% of the Company’s undiscounted actuarial workers’ compensation obligations. Effective May 1, 2023, the Company added New York to its existing workers compensation liability insurance policy and is no longer self-insured for future claims. As a result, the NYS WCB confirmed the Company will no longer be obligated to post any additional collateral. On July 1, 2025, the Company submitted a current actuarial report to the NYS WCB and requested a review of the collateral requirements. The NYS WCB confirmed no change in the collateral was required at this time.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Based on the legacy nature of the Company’s workers’ compensation obligations, the undiscounted actuarial obligation has been declining and the Company expects this trend to continue. While it may not be indicative of the rate of future declines, the undiscounted actuarial liability declined by an average of $5 million per year between 2014 and 2025. Accordingly, subject to the possibility of other changes to the calculation of required security deposits by the NYS WCB, the Company expects the amount of the required security deposits to decline over time and the gradual return of the security deposits that have been made or the capital used to support such security deposits.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In the third quarter of 2023, the Company deposited $68 million directly with the NYS WCB and cancelled the corresponding letter of credit supporting the associated liability. As of March 31, 2026, the Company had $50 million of surety bonds and $25 million deposited directly with the NYS WCB supporting the associated liability. The surety bonds are collateralized with $32 million of cash and the Company could be required to provide up to $18 million of cash or letters of credit to the issuers of certain surety bonds in the future to fully collateralize the bonds.</w:t>
      </w:r>
    </w:p>
    <w:p>
      <w:pPr>
        <w:pStyle w:val="TextBody"/>
        <w:bidi w:val="0"/>
        <w:spacing w:before="200" w:after="283"/>
        <w:jc w:val="left"/>
        <w:rPr>
          <w:rFonts w:ascii="sans-serif" w:hAnsi="sans-serif"/>
          <w:b/>
          <w:color w:val="000000"/>
          <w:sz w:val="20"/>
        </w:rPr>
      </w:pPr>
      <w:r>
        <w:rPr>
          <w:rFonts w:ascii="sans-serif" w:hAnsi="sans-serif"/>
          <w:b/>
          <w:color w:val="000000"/>
          <w:sz w:val="20"/>
        </w:rPr>
        <w:t>Other Uses of Cash Related to Financing Transactions</w:t>
      </w:r>
    </w:p>
    <w:p>
      <w:pPr>
        <w:pStyle w:val="TextBody"/>
        <w:bidi w:val="0"/>
        <w:spacing w:before="200" w:after="283"/>
        <w:jc w:val="left"/>
        <w:rPr>
          <w:rFonts w:ascii="sans-serif" w:hAnsi="sans-serif"/>
          <w:color w:val="000000"/>
          <w:sz w:val="20"/>
        </w:rPr>
      </w:pPr>
      <w:r>
        <w:rPr>
          <w:rFonts w:ascii="sans-serif" w:hAnsi="sans-serif"/>
          <w:color w:val="000000"/>
          <w:sz w:val="20"/>
        </w:rPr>
        <w:t>The holders of the Term Loans are entitled to quarterly cash interest payments at a rate of 12.5% which can be paid fully in cash or paid at a rate of 7.5% per annum in cash and 5.0% per annum payable in kind ("PIK") at the Company’s option (or entirely in PIK through the October 1, 2026 interest payment date). As a result of the Series B Preferred Stock Amendment, the holders are now entitled to cumulative dividends payable quarterly in cash at a rate of 6.0% per annum. All interest and dividends have been paid when due in cash.</w:t>
      </w:r>
    </w:p>
    <w:p>
      <w:pPr>
        <w:pStyle w:val="TextBody"/>
        <w:bidi w:val="0"/>
        <w:spacing w:before="200" w:after="283"/>
        <w:jc w:val="left"/>
        <w:rPr>
          <w:rFonts w:ascii="Times New Roman" w:hAnsi="Times New Roman"/>
          <w:sz w:val="20"/>
        </w:rPr>
      </w:pPr>
      <w:r>
        <w:rPr>
          <w:rFonts w:ascii="sans-serif" w:hAnsi="sans-serif"/>
          <w:b/>
          <w:color w:val="000000"/>
          <w:sz w:val="20"/>
        </w:rPr>
        <w:t>Defined Benefit Pension and Postretirement Plans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45" w:name="led293237f20228201663701622308"/>
      <w:bookmarkEnd w:id="45"/>
      <w:r>
        <w:rPr>
          <w:rFonts w:ascii="sans-serif" w:hAnsi="sans-serif"/>
          <w:color w:val="000000"/>
          <w:sz w:val="20"/>
        </w:rPr>
        <w:t xml:space="preserve">Kodak made net contributions (funded plans) or paid benefits (unfunded plans) totaling approximately $3 million to its non-U.S. defined benefit pension and postretirement benefit plans for the three months ended March 31, 2026. For the balance of </w:t>
      </w:r>
      <w:bookmarkStart w:id="46" w:name="led293237f20232271679952306693"/>
      <w:bookmarkEnd w:id="46"/>
      <w:r>
        <w:rPr>
          <w:rFonts w:ascii="sans-serif" w:hAnsi="sans-serif"/>
          <w:color w:val="000000"/>
          <w:sz w:val="20"/>
        </w:rPr>
        <w:t>2026, the forecasted contribution (funded plans) and benefit payment (unfunded plans) requirements for its pension and postretirement plans are approximately $6 million.</w:t>
      </w:r>
    </w:p>
    <w:p>
      <w:pPr>
        <w:pStyle w:val="TextBody"/>
        <w:bidi w:val="0"/>
        <w:spacing w:before="200" w:after="283"/>
        <w:jc w:val="left"/>
        <w:rPr>
          <w:rFonts w:ascii="sans-serif" w:hAnsi="sans-serif"/>
          <w:b/>
          <w:color w:val="000000"/>
          <w:sz w:val="20"/>
        </w:rPr>
      </w:pPr>
      <w:r>
        <w:rPr>
          <w:rFonts w:ascii="sans-serif" w:hAnsi="sans-serif"/>
          <w:b/>
          <w:color w:val="000000"/>
          <w:sz w:val="20"/>
        </w:rPr>
        <w:t>Capital Expenditures</w:t>
      </w:r>
    </w:p>
    <w:p>
      <w:pPr>
        <w:pStyle w:val="TextBody"/>
        <w:bidi w:val="0"/>
        <w:spacing w:before="200" w:after="283"/>
        <w:jc w:val="left"/>
        <w:rPr>
          <w:rFonts w:ascii="Times New Roman" w:hAnsi="Times New Roman"/>
          <w:sz w:val="20"/>
        </w:rPr>
      </w:pPr>
      <w:r>
        <w:rPr>
          <w:rFonts w:ascii="sans-serif" w:hAnsi="sans-serif"/>
          <w:color w:val="000000"/>
          <w:sz w:val="20"/>
        </w:rPr>
        <w:t>Cash flows from investing activities included $6 million of capital expenditures for the three months ended March 31, 2026. Kodak expects approximately $45 million to $55 million of total capital expenditures for 2026.</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CRITICAL ACCOUNTING POLICIES AND ESTIMATES</w:t>
      </w:r>
    </w:p>
    <w:p>
      <w:pPr>
        <w:pStyle w:val="TextBody"/>
        <w:bidi w:val="0"/>
        <w:jc w:val="left"/>
        <w:rPr>
          <w:rFonts w:ascii="sans-serif" w:hAnsi="sans-serif"/>
          <w:color w:val="000000"/>
          <w:sz w:val="20"/>
        </w:rPr>
      </w:pPr>
      <w:r>
        <w:rPr>
          <w:rFonts w:ascii="sans-serif" w:hAnsi="sans-serif"/>
          <w:color w:val="000000"/>
          <w:sz w:val="20"/>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The accounting policies most critical to the preparation of the consolidated financial statements and that require the most difficult, subjective or complex judgments are described in Management's Discussion and Analysis of Financial Condition and Results of Operations included in the 2025 Form 10-K. There have been no material changes in the Company's critical accounting policies or estimates since December 31, 2025.</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Item 3. Quantitative and Qualitative Disclosures About Market Risk</w:t>
      </w:r>
    </w:p>
    <w:p>
      <w:pPr>
        <w:pStyle w:val="TextBody"/>
        <w:bidi w:val="0"/>
        <w:spacing w:before="200" w:after="283"/>
        <w:jc w:val="left"/>
        <w:rPr>
          <w:rFonts w:ascii="sans-serif" w:hAnsi="sans-serif"/>
          <w:color w:val="000000"/>
          <w:sz w:val="20"/>
        </w:rPr>
      </w:pPr>
      <w:bookmarkStart w:id="47" w:name="qqd1"/>
      <w:bookmarkEnd w:id="47"/>
      <w:r>
        <w:rPr>
          <w:rFonts w:ascii="sans-serif" w:hAnsi="sans-serif"/>
          <w:color w:val="000000"/>
          <w:sz w:val="20"/>
        </w:rPr>
        <w:t>As noted in the 2025 Form 10-K, Kodak operates and conducts business in many foreign countries and as a result is exposed to fluctuations between the U.S. dollar and other currencies. Volatility in the global financial markets could increase the volatility of foreign currency exchange rates which would, in turn, impact sales and net income. For a discussion of the Company's exposure to market risk and how market risk is mitigated, refer to Part I, Item 1A "Risk Factors" and Part II, Item 7A, "Quantitative and Qualitative Disclosures About Market Risk", contained in the 2025 Form 10-K.</w:t>
      </w:r>
    </w:p>
    <w:p>
      <w:pPr>
        <w:pStyle w:val="TextBody"/>
        <w:bidi w:val="0"/>
        <w:spacing w:before="200" w:after="283"/>
        <w:jc w:val="left"/>
        <w:rPr>
          <w:rFonts w:ascii="Times New Roman" w:hAnsi="Times New Roman"/>
          <w:sz w:val="20"/>
        </w:rPr>
      </w:pPr>
      <w:bookmarkStart w:id="48" w:name="controls"/>
      <w:bookmarkEnd w:id="48"/>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4. Controls and Procedures</w:t>
      </w:r>
    </w:p>
    <w:p>
      <w:pPr>
        <w:pStyle w:val="TextBody"/>
        <w:bidi w:val="0"/>
        <w:spacing w:before="200" w:after="283"/>
        <w:jc w:val="left"/>
        <w:rPr>
          <w:rFonts w:ascii="sans-serif" w:hAnsi="sans-serif"/>
          <w:b/>
          <w:color w:val="000000"/>
          <w:sz w:val="20"/>
        </w:rPr>
      </w:pPr>
      <w:r>
        <w:rPr>
          <w:rFonts w:ascii="sans-serif" w:hAnsi="sans-serif"/>
          <w:b/>
          <w:color w:val="000000"/>
          <w:sz w:val="20"/>
        </w:rPr>
        <w:t>Evaluation of Disclosure Controls and Procedures</w:t>
      </w:r>
    </w:p>
    <w:p>
      <w:pPr>
        <w:pStyle w:val="TextBody"/>
        <w:bidi w:val="0"/>
        <w:spacing w:before="200" w:after="283"/>
        <w:jc w:val="left"/>
        <w:rPr>
          <w:rFonts w:ascii="sans-serif" w:hAnsi="sans-serif"/>
          <w:color w:val="000000"/>
          <w:sz w:val="20"/>
        </w:rPr>
      </w:pPr>
      <w:r>
        <w:rPr>
          <w:rFonts w:ascii="sans-serif" w:hAnsi="sans-serif"/>
          <w:color w:val="000000"/>
          <w:sz w:val="20"/>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Kodak’s Executive Chairman and Chief Executive Officer and Chief Financial Officer have concluded that, as of the end of the period covered by this Quarterly Report on Form 10-Q, Kodak’s disclosure controls and procedures (as defined in Rules 13a-15(e) and 15d-15(e) under the Exchange Act) were effective.</w:t>
      </w:r>
    </w:p>
    <w:p>
      <w:pPr>
        <w:pStyle w:val="TextBody"/>
        <w:bidi w:val="0"/>
        <w:spacing w:before="200" w:after="283"/>
        <w:jc w:val="left"/>
        <w:rPr>
          <w:rFonts w:ascii="sans-serif" w:hAnsi="sans-serif"/>
          <w:b/>
          <w:color w:val="000000"/>
          <w:sz w:val="20"/>
        </w:rPr>
      </w:pPr>
      <w:r>
        <w:rPr>
          <w:rFonts w:ascii="sans-serif" w:hAnsi="sans-serif"/>
          <w:b/>
          <w:color w:val="000000"/>
          <w:sz w:val="20"/>
        </w:rPr>
        <w:t>Changes in Internal Control Over Financial Reporting</w:t>
      </w:r>
    </w:p>
    <w:p>
      <w:pPr>
        <w:pStyle w:val="TextBody"/>
        <w:bidi w:val="0"/>
        <w:spacing w:before="200" w:after="283"/>
        <w:jc w:val="left"/>
        <w:rPr>
          <w:rFonts w:ascii="sans-serif" w:hAnsi="sans-serif"/>
          <w:color w:val="000000"/>
          <w:sz w:val="20"/>
        </w:rPr>
      </w:pPr>
      <w:r>
        <w:rPr>
          <w:rFonts w:ascii="sans-serif" w:hAnsi="sans-serif"/>
          <w:color w:val="000000"/>
          <w:sz w:val="20"/>
        </w:rPr>
        <w:t>Kodak is in the process of a multi-year project to modernize and enhance the Company’s global information technology systems to improve and standardize business and financial processes and to increase the efficiency and effectiveness of financial planning and reporting. As the phased implementation occurs, it may result in changes to processes and procedures which may result in changes to internal controls over financial reporting. As such changes occur, Kodak evaluates whether they materially affect the Company’s internal controls over financial reporting.</w:t>
      </w:r>
    </w:p>
    <w:p>
      <w:pPr>
        <w:pStyle w:val="TextBody"/>
        <w:bidi w:val="0"/>
        <w:spacing w:before="200" w:after="283"/>
        <w:jc w:val="left"/>
        <w:rPr>
          <w:rFonts w:ascii="sans-serif" w:hAnsi="sans-serif"/>
          <w:color w:val="000000"/>
          <w:sz w:val="20"/>
        </w:rPr>
      </w:pPr>
      <w:r>
        <w:rPr>
          <w:rFonts w:ascii="sans-serif" w:hAnsi="sans-serif"/>
          <w:color w:val="000000"/>
          <w:sz w:val="20"/>
        </w:rPr>
        <w:t>There have been no changes identified in Kodak’s internal control over financial reporting that occurred during the most recently completed fiscal quarter that have materially affected, or are reasonably likely to materially affect, Kodak’s internal control over financial reporting.</w:t>
      </w:r>
    </w:p>
    <w:p>
      <w:pPr>
        <w:pStyle w:val="TextBody"/>
        <w:bidi w:val="0"/>
        <w:spacing w:before="240" w:after="283"/>
        <w:jc w:val="center"/>
        <w:rPr>
          <w:rFonts w:ascii="sans-serif" w:hAnsi="sans-serif"/>
          <w:color w:val="000000"/>
          <w:sz w:val="20"/>
        </w:rPr>
      </w:pPr>
      <w:r>
        <w:rPr>
          <w:rFonts w:ascii="sans-serif" w:hAnsi="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sans-serif" w:hAnsi="sans-serif"/>
          <w:b/>
          <w:color w:val="000000"/>
          <w:sz w:val="20"/>
        </w:rPr>
      </w:pPr>
      <w:bookmarkStart w:id="49" w:name="part_ii_other_information"/>
      <w:bookmarkEnd w:id="49"/>
      <w:r>
        <w:rPr>
          <w:rFonts w:ascii="sans-serif" w:hAnsi="sans-serif"/>
          <w:b/>
          <w:color w:val="000000"/>
          <w:sz w:val="20"/>
        </w:rPr>
        <w:t>Part II. OTHER INFORMATION</w:t>
      </w:r>
    </w:p>
    <w:p>
      <w:pPr>
        <w:pStyle w:val="TextBody"/>
        <w:bidi w:val="0"/>
        <w:spacing w:before="200" w:after="283"/>
        <w:jc w:val="left"/>
        <w:rPr>
          <w:rFonts w:ascii="sans-serif" w:hAnsi="sans-serif"/>
          <w:b/>
          <w:color w:val="000000"/>
          <w:sz w:val="20"/>
        </w:rPr>
      </w:pPr>
      <w:bookmarkStart w:id="50" w:name="legal_proceedings"/>
      <w:bookmarkEnd w:id="50"/>
      <w:r>
        <w:rPr>
          <w:rFonts w:ascii="sans-serif" w:hAnsi="sans-serif"/>
          <w:b/>
          <w:color w:val="000000"/>
          <w:sz w:val="20"/>
        </w:rPr>
        <w:t>Item 1. Legal Proceedings</w:t>
      </w:r>
    </w:p>
    <w:p>
      <w:pPr>
        <w:pStyle w:val="TextBody"/>
        <w:bidi w:val="0"/>
        <w:spacing w:before="200" w:after="283"/>
        <w:jc w:val="left"/>
        <w:rPr>
          <w:rFonts w:ascii="sans-serif" w:hAnsi="sans-serif"/>
          <w:color w:val="000000"/>
          <w:sz w:val="20"/>
        </w:rPr>
      </w:pPr>
      <w:r>
        <w:rPr>
          <w:rFonts w:ascii="sans-serif" w:hAnsi="sans-serif"/>
          <w:color w:val="000000"/>
          <w:sz w:val="20"/>
        </w:rPr>
        <w:t>See Note 9, “Commitments and Contingencies” in the Notes to the Financial Statements included in Part I, Item 1, “Financial Statements” for information regarding certain legal proceedings in which Kodak is involved.</w:t>
      </w:r>
    </w:p>
    <w:p>
      <w:pPr>
        <w:pStyle w:val="TextBody"/>
        <w:bidi w:val="0"/>
        <w:spacing w:before="200" w:after="283"/>
        <w:jc w:val="left"/>
        <w:rPr>
          <w:rFonts w:ascii="sans-serif" w:hAnsi="sans-serif"/>
          <w:b/>
          <w:color w:val="000000"/>
          <w:sz w:val="20"/>
        </w:rPr>
      </w:pPr>
      <w:bookmarkStart w:id="51" w:name="risk_factors"/>
      <w:bookmarkEnd w:id="51"/>
      <w:r>
        <w:rPr>
          <w:rFonts w:ascii="sans-serif" w:hAnsi="sans-serif"/>
          <w:b/>
          <w:color w:val="000000"/>
          <w:sz w:val="20"/>
        </w:rPr>
        <w:t>Item 1A. Risk Factors</w:t>
      </w:r>
    </w:p>
    <w:p>
      <w:pPr>
        <w:pStyle w:val="TextBody"/>
        <w:bidi w:val="0"/>
        <w:spacing w:before="200" w:after="283"/>
        <w:jc w:val="left"/>
        <w:rPr>
          <w:rFonts w:ascii="Times New Roman" w:hAnsi="Times New Roman"/>
          <w:sz w:val="20"/>
        </w:rPr>
      </w:pPr>
      <w:bookmarkStart w:id="52" w:name="led293237f20232271679952897691"/>
      <w:bookmarkEnd w:id="52"/>
      <w:r>
        <w:rPr>
          <w:rFonts w:ascii="sans-serif" w:hAnsi="sans-serif"/>
          <w:color w:val="000000"/>
          <w:sz w:val="20"/>
        </w:rPr>
        <w:t>See the Risk Factors set forth in Part I, Item 1A, "Risk Factors" of the 2025</w:t>
      </w:r>
      <w:r>
        <w:rPr>
          <w:rFonts w:ascii="Times New Roman" w:hAnsi="Times New Roman"/>
          <w:color w:val="000000"/>
          <w:sz w:val="20"/>
        </w:rPr>
        <w:t xml:space="preserve"> </w:t>
      </w:r>
      <w:r>
        <w:rPr>
          <w:rFonts w:ascii="sans-serif" w:hAnsi="sans-serif"/>
          <w:color w:val="000000"/>
          <w:sz w:val="20"/>
        </w:rPr>
        <w:t>Form 10-K for a detailed discussion of risk factors that could materially affect Kodak’s business, financial condition and results of operations.</w:t>
      </w:r>
    </w:p>
    <w:p>
      <w:pPr>
        <w:pStyle w:val="TextBody"/>
        <w:bidi w:val="0"/>
        <w:spacing w:before="200" w:after="283"/>
        <w:jc w:val="left"/>
        <w:rPr>
          <w:rFonts w:ascii="sans-serif" w:hAnsi="sans-serif"/>
          <w:b/>
          <w:color w:val="000000"/>
          <w:sz w:val="20"/>
        </w:rPr>
      </w:pPr>
      <w:bookmarkStart w:id="53" w:name="item2unregistered"/>
      <w:bookmarkEnd w:id="53"/>
      <w:r>
        <w:rPr>
          <w:rFonts w:ascii="sans-serif" w:hAnsi="sans-serif"/>
          <w:b/>
          <w:color w:val="000000"/>
          <w:sz w:val="20"/>
        </w:rPr>
        <w:t>Item 2. Unregistered Sales of Equity Securities and Use of Proceeds</w:t>
      </w:r>
    </w:p>
    <w:p>
      <w:pPr>
        <w:pStyle w:val="TextBody"/>
        <w:bidi w:val="0"/>
        <w:spacing w:before="200" w:after="283"/>
        <w:jc w:val="left"/>
        <w:rPr>
          <w:rFonts w:ascii="Calibri" w:hAnsi="Calibri"/>
          <w:b/>
          <w:color w:val="000000"/>
          <w:sz w:val="20"/>
        </w:rPr>
      </w:pPr>
      <w:r>
        <w:rPr>
          <w:rFonts w:ascii="Calibri" w:hAnsi="Calibri"/>
          <w:b/>
          <w:color w:val="000000"/>
          <w:sz w:val="20"/>
        </w:rPr>
        <w:t>(a)</w:t>
      </w:r>
    </w:p>
    <w:p>
      <w:pPr>
        <w:pStyle w:val="TextBody"/>
        <w:bidi w:val="0"/>
        <w:spacing w:before="200" w:after="283"/>
        <w:jc w:val="left"/>
        <w:rPr>
          <w:rFonts w:ascii="sans-serif" w:hAnsi="sans-serif"/>
          <w:b/>
          <w:color w:val="000000"/>
          <w:sz w:val="20"/>
        </w:rPr>
      </w:pPr>
      <w:r>
        <w:rPr>
          <w:rFonts w:ascii="sans-serif" w:hAnsi="sans-serif"/>
          <w:b/>
          <w:color w:val="000000"/>
          <w:sz w:val="20"/>
        </w:rPr>
        <w:t>Sales of unregistered securities during the quarter ended March 31, 2026</w:t>
      </w:r>
    </w:p>
    <w:p>
      <w:pPr>
        <w:pStyle w:val="TextBody"/>
        <w:bidi w:val="0"/>
        <w:spacing w:before="200" w:after="283"/>
        <w:jc w:val="left"/>
        <w:rPr>
          <w:rFonts w:ascii="sans-serif" w:hAnsi="sans-serif"/>
          <w:color w:val="000000"/>
          <w:sz w:val="20"/>
        </w:rPr>
      </w:pPr>
      <w:r>
        <w:rPr>
          <w:rFonts w:ascii="sans-serif" w:hAnsi="sans-serif"/>
          <w:color w:val="000000"/>
          <w:sz w:val="20"/>
        </w:rPr>
        <w:t>None.</w:t>
      </w:r>
    </w:p>
    <w:p>
      <w:pPr>
        <w:pStyle w:val="TextBody"/>
        <w:bidi w:val="0"/>
        <w:spacing w:before="200" w:after="283"/>
        <w:jc w:val="left"/>
        <w:rPr>
          <w:rFonts w:ascii="Calibri" w:hAnsi="Calibri"/>
          <w:b/>
          <w:color w:val="000000"/>
          <w:sz w:val="20"/>
        </w:rPr>
      </w:pPr>
      <w:r>
        <w:rPr>
          <w:rFonts w:ascii="Calibri" w:hAnsi="Calibri"/>
          <w:b/>
          <w:color w:val="000000"/>
          <w:sz w:val="20"/>
        </w:rPr>
        <w:t>(b)</w:t>
      </w:r>
    </w:p>
    <w:p>
      <w:pPr>
        <w:pStyle w:val="TextBody"/>
        <w:bidi w:val="0"/>
        <w:spacing w:before="200" w:after="283"/>
        <w:jc w:val="left"/>
        <w:rPr>
          <w:rFonts w:ascii="sans-serif" w:hAnsi="sans-serif"/>
          <w:b/>
          <w:color w:val="000000"/>
          <w:sz w:val="20"/>
        </w:rPr>
      </w:pPr>
      <w:r>
        <w:rPr>
          <w:rFonts w:ascii="sans-serif" w:hAnsi="sans-serif"/>
          <w:b/>
          <w:color w:val="000000"/>
          <w:sz w:val="20"/>
        </w:rPr>
        <w:t>Issuer purchases of equity securities during the quarter ended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9"/>
        <w:gridCol w:w="146"/>
        <w:gridCol w:w="227"/>
        <w:gridCol w:w="1331"/>
        <w:gridCol w:w="146"/>
        <w:gridCol w:w="146"/>
        <w:gridCol w:w="356"/>
        <w:gridCol w:w="830"/>
        <w:gridCol w:w="146"/>
        <w:gridCol w:w="146"/>
        <w:gridCol w:w="1904"/>
        <w:gridCol w:w="146"/>
        <w:gridCol w:w="2072"/>
      </w:tblGrid>
      <w:tr>
        <w:trPr/>
        <w:tc>
          <w:tcPr>
            <w:tcW w:w="2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Maximum Number</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Purchased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That May Yet</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Part of Publicly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Be Purchased</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Announced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under the Plans or</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Purchased </w:t>
            </w:r>
            <w:r>
              <w:rPr>
                <w:rFonts w:ascii="sans-serif" w:hAnsi="sans-serif"/>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or Programs </w:t>
            </w:r>
            <w:r>
              <w:rPr>
                <w:rFonts w:ascii="sans-serif" w:hAnsi="sans-serif"/>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Programs </w:t>
            </w:r>
            <w:r>
              <w:rPr>
                <w:rFonts w:ascii="sans-serif" w:hAnsi="sans-serif"/>
                <w:b/>
                <w:color w:val="000000"/>
                <w:sz w:val="13"/>
              </w:rPr>
              <w:t>(2)</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January 1 through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February 1 through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March 1 through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spacing w:before="0" w:after="0"/>
        <w:jc w:val="left"/>
        <w:rPr/>
      </w:pPr>
      <w:r>
        <w:rPr>
          <w:rFonts w:ascii="sans-serif" w:hAnsi="sans-serif"/>
          <w:color w:val="000000"/>
          <w:sz w:val="20"/>
        </w:rPr>
        <w:t>These purchases were made to satisfy the payment of tax withholding obligations or the exercise price in connection with the vesting of restricted stock units or net exercise of stock options issued to employees.</w:t>
        <w:br/>
      </w:r>
      <w:r>
        <w:rPr>
          <w:color w:val="000000"/>
        </w:rPr>
        <w:t> </w:t>
      </w:r>
    </w:p>
    <w:p>
      <w:pPr>
        <w:pStyle w:val="TextBody"/>
        <w:bidi w:val="0"/>
        <w:spacing w:before="0" w:after="0"/>
        <w:jc w:val="left"/>
        <w:rPr>
          <w:rFonts w:ascii="Calibri" w:hAnsi="Calibri"/>
          <w:color w:val="000000"/>
          <w:sz w:val="20"/>
        </w:rPr>
      </w:pPr>
      <w:r>
        <w:rPr>
          <w:rFonts w:ascii="Calibri" w:hAnsi="Calibri"/>
          <w:color w:val="000000"/>
          <w:sz w:val="20"/>
        </w:rPr>
        <w:t>(2)</w:t>
      </w:r>
    </w:p>
    <w:p>
      <w:pPr>
        <w:pStyle w:val="TextBody"/>
        <w:bidi w:val="0"/>
        <w:jc w:val="left"/>
        <w:rPr>
          <w:rFonts w:ascii="sans-serif" w:hAnsi="sans-serif"/>
          <w:color w:val="000000"/>
          <w:sz w:val="20"/>
        </w:rPr>
      </w:pPr>
      <w:r>
        <w:rPr>
          <w:rFonts w:ascii="sans-serif" w:hAnsi="sans-serif"/>
          <w:color w:val="000000"/>
          <w:sz w:val="20"/>
        </w:rPr>
        <w:t>Kodak does not have a publicly announced repurchase plan or program.</w:t>
      </w:r>
    </w:p>
    <w:p>
      <w:pPr>
        <w:pStyle w:val="TextBody"/>
        <w:bidi w:val="0"/>
        <w:spacing w:before="200" w:after="283"/>
        <w:jc w:val="left"/>
        <w:rPr>
          <w:rFonts w:ascii="Times New Roman" w:hAnsi="Times New Roman"/>
          <w:sz w:val="20"/>
        </w:rPr>
      </w:pPr>
      <w:bookmarkStart w:id="54" w:name="defaults_upon_senior_securities"/>
      <w:bookmarkEnd w:id="54"/>
      <w:r>
        <w:rPr>
          <w:rFonts w:ascii="sans-serif" w:hAnsi="sans-serif"/>
          <w:b/>
          <w:color w:val="000000"/>
          <w:sz w:val="20"/>
        </w:rPr>
        <w:t>Item 3. Defaults Upon Senior Securities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None.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55" w:name="mine_safety_disclosures"/>
      <w:bookmarkEnd w:id="55"/>
      <w:r>
        <w:rPr>
          <w:rFonts w:ascii="sans-serif" w:hAnsi="sans-serif"/>
          <w:b/>
          <w:color w:val="000000"/>
          <w:sz w:val="20"/>
        </w:rPr>
        <w:t>Item 4. Mine Safety Disclosures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Not applicable.</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bookmarkStart w:id="56" w:name="other_information"/>
      <w:bookmarkEnd w:id="56"/>
      <w:r>
        <w:rPr>
          <w:rFonts w:ascii="sans-serif" w:hAnsi="sans-serif"/>
          <w:b/>
          <w:color w:val="000000"/>
          <w:sz w:val="20"/>
        </w:rPr>
        <w:t>Item 5. Other Information</w:t>
      </w:r>
    </w:p>
    <w:p>
      <w:pPr>
        <w:pStyle w:val="TextBody"/>
        <w:bidi w:val="0"/>
        <w:spacing w:before="200" w:after="283"/>
        <w:jc w:val="left"/>
        <w:rPr>
          <w:rFonts w:ascii="sans-serif" w:hAnsi="sans-serif"/>
          <w:b/>
          <w:color w:val="000000"/>
          <w:sz w:val="20"/>
        </w:rPr>
      </w:pPr>
      <w:r>
        <w:rPr>
          <w:rFonts w:ascii="sans-serif" w:hAnsi="sans-serif"/>
          <w:b/>
          <w:color w:val="000000"/>
          <w:sz w:val="20"/>
        </w:rPr>
        <w:t>(c) Rule 10b5-1 Trading Plans</w:t>
      </w:r>
    </w:p>
    <w:p>
      <w:pPr>
        <w:pStyle w:val="TextBody"/>
        <w:bidi w:val="0"/>
        <w:spacing w:before="200" w:after="283"/>
        <w:jc w:val="left"/>
        <w:rPr>
          <w:rFonts w:ascii="sans-serif" w:hAnsi="sans-serif"/>
          <w:color w:val="000000"/>
          <w:sz w:val="20"/>
        </w:rPr>
      </w:pPr>
      <w:r>
        <w:rPr>
          <w:rFonts w:ascii="sans-serif" w:hAnsi="sans-serif"/>
          <w:color w:val="000000"/>
          <w:sz w:val="20"/>
        </w:rPr>
        <w:t>None.</w:t>
      </w:r>
    </w:p>
    <w:p>
      <w:pPr>
        <w:pStyle w:val="TextBody"/>
        <w:bidi w:val="0"/>
        <w:spacing w:before="240" w:after="283"/>
        <w:jc w:val="center"/>
        <w:rPr>
          <w:rFonts w:ascii="sans-serif" w:hAnsi="sans-serif"/>
          <w:color w:val="000000"/>
          <w:sz w:val="20"/>
        </w:rPr>
      </w:pPr>
      <w:r>
        <w:rPr>
          <w:rFonts w:ascii="sans-serif" w:hAnsi="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bookmarkStart w:id="57" w:name="exhibits"/>
      <w:bookmarkEnd w:id="57"/>
      <w:r>
        <w:rPr>
          <w:rFonts w:ascii="sans-serif" w:hAnsi="sans-serif"/>
          <w:b/>
          <w:color w:val="000000"/>
          <w:sz w:val="20"/>
        </w:rPr>
        <w:t>Item 6. Exhibits</w:t>
      </w:r>
    </w:p>
    <w:p>
      <w:pPr>
        <w:pStyle w:val="TextBody"/>
        <w:bidi w:val="0"/>
        <w:jc w:val="center"/>
        <w:rPr>
          <w:rFonts w:ascii="sans-serif" w:hAnsi="sans-serif"/>
          <w:b/>
          <w:color w:val="000000"/>
          <w:sz w:val="20"/>
        </w:rPr>
      </w:pPr>
      <w:r>
        <w:rPr>
          <w:rFonts w:ascii="sans-serif" w:hAnsi="sans-serif"/>
          <w:b/>
          <w:color w:val="000000"/>
          <w:sz w:val="20"/>
        </w:rPr>
        <w:t>Eastman Kodak Company</w:t>
      </w:r>
    </w:p>
    <w:p>
      <w:pPr>
        <w:pStyle w:val="TextBody"/>
        <w:bidi w:val="0"/>
        <w:jc w:val="center"/>
        <w:rPr>
          <w:rFonts w:ascii="sans-serif" w:hAnsi="sans-serif"/>
          <w:b/>
          <w:color w:val="000000"/>
          <w:sz w:val="20"/>
        </w:rPr>
      </w:pPr>
      <w:bookmarkStart w:id="58" w:name="index_to_exhibits"/>
      <w:bookmarkEnd w:id="58"/>
      <w:r>
        <w:rPr>
          <w:rFonts w:ascii="sans-serif" w:hAnsi="sans-serif"/>
          <w:b/>
          <w:color w:val="000000"/>
          <w:sz w:val="20"/>
        </w:rPr>
        <w:t>Index to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1"/>
        <w:gridCol w:w="9214"/>
      </w:tblGrid>
      <w:tr>
        <w:trPr/>
        <w:tc>
          <w:tcPr>
            <w:tcW w:w="991" w:type="dxa"/>
            <w:tcBorders/>
            <w:vAlign w:val="center"/>
          </w:tcPr>
          <w:p>
            <w:pPr>
              <w:pStyle w:val="TableContents"/>
              <w:bidi w:val="0"/>
              <w:spacing w:before="0" w:after="283"/>
              <w:jc w:val="left"/>
              <w:rPr>
                <w:sz w:val="4"/>
                <w:szCs w:val="4"/>
              </w:rPr>
            </w:pPr>
            <w:r>
              <w:rPr>
                <w:sz w:val="4"/>
                <w:szCs w:val="4"/>
              </w:rPr>
            </w:r>
          </w:p>
        </w:tc>
        <w:tc>
          <w:tcPr>
            <w:tcW w:w="9214" w:type="dxa"/>
            <w:tcBorders/>
            <w:vAlign w:val="center"/>
          </w:tcPr>
          <w:p>
            <w:pPr>
              <w:pStyle w:val="TableContents"/>
              <w:bidi w:val="0"/>
              <w:spacing w:before="0" w:after="283"/>
              <w:jc w:val="left"/>
              <w:rPr>
                <w:sz w:val="4"/>
                <w:szCs w:val="4"/>
              </w:rPr>
            </w:pPr>
            <w:r>
              <w:rPr>
                <w:sz w:val="4"/>
                <w:szCs w:val="4"/>
              </w:rPr>
            </w:r>
          </w:p>
        </w:tc>
      </w:tr>
      <w:tr>
        <w:trPr/>
        <w:tc>
          <w:tcPr>
            <w:tcW w:w="991" w:type="dxa"/>
            <w:tcBorders/>
            <w:tcMar>
              <w:top w:w="0" w:type="dxa"/>
              <w:left w:w="0" w:type="dxa"/>
              <w:bottom w:w="0" w:type="dxa"/>
              <w:right w:w="0" w:type="dxa"/>
            </w:tcMar>
            <w:vAlign w:val="center"/>
          </w:tcPr>
          <w:p>
            <w:pPr>
              <w:pStyle w:val="TableContents"/>
              <w:bidi w:val="0"/>
              <w:jc w:val="left"/>
              <w:rPr>
                <w:rFonts w:ascii="sans-serif" w:hAnsi="sans-serif"/>
                <w:b/>
                <w:color w:val="000000"/>
                <w:sz w:val="20"/>
              </w:rPr>
            </w:pPr>
            <w:r>
              <w:rPr>
                <w:rFonts w:ascii="sans-serif" w:hAnsi="sans-serif"/>
                <w:b/>
                <w:color w:val="000000"/>
                <w:sz w:val="20"/>
              </w:rPr>
              <w:t>Exhibit</w:t>
            </w:r>
          </w:p>
          <w:p>
            <w:pPr>
              <w:pStyle w:val="TableContents"/>
              <w:bidi w:val="0"/>
              <w:spacing w:before="0" w:after="283"/>
              <w:jc w:val="left"/>
              <w:rPr>
                <w:rFonts w:ascii="sans-serif" w:hAnsi="sans-serif"/>
                <w:b/>
                <w:color w:val="000000"/>
                <w:sz w:val="20"/>
              </w:rPr>
            </w:pPr>
            <w:r>
              <w:rPr>
                <w:rFonts w:ascii="sans-serif" w:hAnsi="sans-serif"/>
                <w:b/>
                <w:color w:val="000000"/>
                <w:sz w:val="20"/>
              </w:rPr>
              <w:t>Number</w:t>
            </w:r>
          </w:p>
        </w:tc>
        <w:tc>
          <w:tcPr>
            <w:tcW w:w="9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sans-serif" w:hAnsi="sans-serif"/>
                  <w:color w:val="0000EE"/>
                  <w:sz w:val="20"/>
                  <w:u w:val="single"/>
                </w:rPr>
                <w:t>Second Amended and Restated Certificate of Incorporation of Eastman Kodak Company (Incorporated by reference to Exhibit 4.1 of the Company’s Registration Statement on Form S-8 as filed on September 3, 2013).</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(3.2)</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November 16, 2016).</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(3.3)</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September 12, 2019).</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(3.4)</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sans-serif" w:hAnsi="sans-serif"/>
                  <w:color w:val="0000EE"/>
                  <w:sz w:val="20"/>
                  <w:u w:val="single"/>
                </w:rPr>
                <w:t>Certificate of Amendment to the Second Amended and Restated Certificate of Incorporation of Eastman Kodak Company (Incorporated by reference to Exhibit (3.2) of the Company’s Current Report on Form 8-K as filed on September 12, 2019).</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(3.5)</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December 29, 2020).</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(3.6)</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March 1, 2021).</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(3.7)</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sans-serif" w:hAnsi="sans-serif"/>
                  <w:color w:val="0000EE"/>
                  <w:sz w:val="20"/>
                  <w:u w:val="single"/>
                </w:rPr>
                <w:t>Certificate of Amendment to the Second Amended and Restated Certificate of Incorporation of Eastman Kodak Company (Incorporated by reference to Exhibit 3.2 of the Company’s Current Report on Form 8-K as filed on March 1, 2021).</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(3.8)</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sans-serif" w:hAnsi="sans-serif"/>
                  <w:color w:val="0000FF"/>
                  <w:sz w:val="20"/>
                  <w:u w:val="single"/>
                </w:rPr>
                <w:t>Certificate of Amendment to the Second Amended and Restated Certificate of Incorporation of Eastman Kodak Company (Incorporated by reference to Exhibit 3.8 of the Company’s Annual Report on Form 10-K for the fiscal year ended December 31, 2025 as filed on March 12, 2026).</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(3.9)</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sans-serif" w:hAnsi="sans-serif"/>
                  <w:color w:val="0000EE"/>
                  <w:sz w:val="20"/>
                  <w:u w:val="single"/>
                </w:rPr>
                <w:t>Fourth Amended and Restated By-Laws of Eastman Kodak Company (Incorporated by reference to Exhibit (3.5) of the Company’s Quarterly Report on Form 10-Q for the quarterly period ended March 31, 2020 as filed on May 12, 2020).</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(4.1)</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sans-serif" w:hAnsi="sans-serif"/>
                  <w:color w:val="0000FF"/>
                  <w:sz w:val="20"/>
                  <w:u w:val="single"/>
                </w:rPr>
                <w:t>Registration Rights Agreement, dated as of March 11, 2026, by and among Eastman Kodak Company and Kennedy Lewis Investment Management LLC (together with its affiliates and certain funds, accounts or clients managed, advised or sub-advised by Kennedy Lewis Investment Management LLC or its affiliates) (Incorporated by reference to Exhibit 4.5 of the Company’s Annual Report on Form 10-K for the fiscal year ended December 31, 2025 as filed on March 12, 2026).</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(4.2)</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sans-serif" w:hAnsi="sans-serif"/>
                  <w:color w:val="000080"/>
                  <w:sz w:val="20"/>
                  <w:u w:val="single"/>
                </w:rPr>
                <w:t>Amended and Restated Board Rights Agreement, dated as of March 11, 2026, by and between Eastman Kodak Company and Kennedy Lewis Investment Management LLC (Incorporated by reference to Exhibit 4.6 of the Company’s Annual Report on Form 10-K for the fiscal year ended December 31, 2025 as filed on March 12, 2026)</w:t>
              </w:r>
            </w:hyperlink>
            <w:r>
              <w:rPr>
                <w:rFonts w:ascii="sans-serif" w:hAnsi="sans-serif"/>
                <w:color w:val="0000FF"/>
                <w:sz w:val="20"/>
                <w:u w:val="single"/>
              </w:rPr>
              <w:t>.</w:t>
            </w:r>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(4.3)</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sans-serif" w:hAnsi="sans-serif"/>
                  <w:color w:val="0000FF"/>
                  <w:sz w:val="20"/>
                  <w:u w:val="single"/>
                </w:rPr>
                <w:t>Investor Rights Agreement, dated as of March 11, 2026, by and among Eastman Kodak Company and Kennedy Lewis Investment Management LLC (together with its affiliates and certain funds, accounts or clients managed, advised or sub-advised by Kennedy Lewis Investment Management LLC or its affiliates)</w:t>
              </w:r>
            </w:hyperlink>
            <w:hyperlink r:id="rId14">
              <w:r>
                <w:rPr>
                  <w:rStyle w:val="InternetLink"/>
                  <w:rFonts w:ascii="Times New Roman" w:hAnsi="Times New Roman"/>
                  <w:color w:val="0000FF"/>
                  <w:sz w:val="20"/>
                  <w:u w:val="single"/>
                </w:rPr>
                <w:t xml:space="preserve"> </w:t>
              </w:r>
            </w:hyperlink>
            <w:hyperlink r:id="rId15">
              <w:r>
                <w:rPr>
                  <w:rStyle w:val="InternetLink"/>
                  <w:rFonts w:ascii="sans-serif" w:hAnsi="sans-serif"/>
                  <w:color w:val="0000FF"/>
                  <w:sz w:val="20"/>
                  <w:u w:val="single"/>
                </w:rPr>
                <w:t>(Incorporated by reference to Exhibit 4.7 of the Company’s Annual Report on Form 10-K for the fiscal year ended December 31, 2025 as filed on March 12, 2026).</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(4.4)</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sans-serif" w:hAnsi="sans-serif"/>
                  <w:color w:val="0000FF"/>
                  <w:sz w:val="20"/>
                  <w:u w:val="single"/>
                </w:rPr>
                <w:t>Letter Agreement, dated as of March 11, 2026, by and among Eastman Kodak Company and Kennedy Lewis Management LP, Kennedy Lewis Capital Partners Master Fund III LP, KLIM Delta HQC3 LP, Kennedy Lewis (EU) SPV LP and KLCP Co-Investment Opportunities III LP (Incorporated by reference to Exhibit 4.8 of the Company’s Annual Report on Form 10-K for the fiscal year ended December 31, 2025 as filed on March 12, 2026).</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w:anchor="kodk-ex10_1.htm">
              <w:r>
                <w:rPr>
                  <w:rStyle w:val="InternetLink"/>
                  <w:rFonts w:ascii="sans-serif" w:hAnsi="sans-serif"/>
                  <w:color w:val="0000FF"/>
                  <w:sz w:val="20"/>
                  <w:u w:val="single"/>
                </w:rPr>
                <w:t>Eastman Kodak Company 2013 Omnibus Incentive Plan Continenza Restricted Stock Unit Award Agreement dated February 24, 2026, filed herewith.</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sans-serif" w:hAnsi="sans-serif"/>
          <w:color w:val="000000"/>
          <w:sz w:val="20"/>
        </w:rPr>
      </w:pPr>
      <w:r>
        <w:rPr>
          <w:rFonts w:ascii="sans-serif" w:hAnsi="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1"/>
        <w:gridCol w:w="9254"/>
      </w:tblGrid>
      <w:tr>
        <w:trPr/>
        <w:tc>
          <w:tcPr>
            <w:tcW w:w="951" w:type="dxa"/>
            <w:tcBorders/>
            <w:vAlign w:val="center"/>
          </w:tcPr>
          <w:p>
            <w:pPr>
              <w:pStyle w:val="TableContents"/>
              <w:bidi w:val="0"/>
              <w:spacing w:before="0" w:after="283"/>
              <w:jc w:val="left"/>
              <w:rPr>
                <w:sz w:val="4"/>
                <w:szCs w:val="4"/>
              </w:rPr>
            </w:pPr>
            <w:r>
              <w:rPr>
                <w:sz w:val="4"/>
                <w:szCs w:val="4"/>
              </w:rPr>
            </w:r>
          </w:p>
        </w:tc>
        <w:tc>
          <w:tcPr>
            <w:tcW w:w="9254" w:type="dxa"/>
            <w:tcBorders/>
            <w:vAlign w:val="center"/>
          </w:tcPr>
          <w:p>
            <w:pPr>
              <w:pStyle w:val="TableContents"/>
              <w:bidi w:val="0"/>
              <w:spacing w:before="0" w:after="283"/>
              <w:jc w:val="left"/>
              <w:rPr>
                <w:sz w:val="4"/>
                <w:szCs w:val="4"/>
              </w:rPr>
            </w:pPr>
            <w:r>
              <w:rPr>
                <w:sz w:val="4"/>
                <w:szCs w:val="4"/>
              </w:rPr>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*(10.2)</w:t>
            </w:r>
          </w:p>
        </w:tc>
        <w:tc>
          <w:tcPr>
            <w:tcW w:w="9254" w:type="dxa"/>
            <w:tcBorders/>
            <w:tcMar>
              <w:top w:w="0" w:type="dxa"/>
              <w:left w:w="0" w:type="dxa"/>
              <w:bottom w:w="0" w:type="dxa"/>
              <w:right w:w="0" w:type="dxa"/>
            </w:tcMar>
            <w:vAlign w:val="center"/>
          </w:tcPr>
          <w:p>
            <w:pPr>
              <w:pStyle w:val="TableContents"/>
              <w:bidi w:val="0"/>
              <w:spacing w:before="0" w:after="283"/>
              <w:jc w:val="left"/>
              <w:rPr/>
            </w:pPr>
            <w:hyperlink w:anchor="kodk-ex10_2.htm">
              <w:r>
                <w:rPr>
                  <w:rStyle w:val="InternetLink"/>
                  <w:rFonts w:ascii="sans-serif" w:hAnsi="sans-serif"/>
                  <w:color w:val="0000FF"/>
                  <w:sz w:val="20"/>
                  <w:u w:val="single"/>
                </w:rPr>
                <w:t>Eastman Kodak Company Management Bonus Plan – Functional Group (MFP), filed herewith.</w:t>
              </w:r>
            </w:hyperlink>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*(10.3)</w:t>
            </w:r>
          </w:p>
        </w:tc>
        <w:tc>
          <w:tcPr>
            <w:tcW w:w="9254"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sans-serif" w:hAnsi="sans-serif"/>
                  <w:color w:val="0000FF"/>
                  <w:sz w:val="20"/>
                  <w:u w:val="single"/>
                </w:rPr>
                <w:t>Executive Chairman and CEO Agreement between Eastman Kodak Company and James V. Continenza, dated February 23, 2026 (Incorporated by reference to Exhibit 10.23 of the Company’s Annual Report on Form 10-K for the fiscal year ended December 31, 2025 as filed on March 12, 2026).</w:t>
              </w:r>
            </w:hyperlink>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(10.4)</w:t>
            </w:r>
          </w:p>
        </w:tc>
        <w:tc>
          <w:tcPr>
            <w:tcW w:w="9254"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sans-serif" w:hAnsi="sans-serif"/>
                  <w:color w:val="0000FF"/>
                  <w:sz w:val="20"/>
                  <w:u w:val="single"/>
                </w:rPr>
                <w:t>Fourth Amendment to Amended and Restated Credit Agreement, dated as of March 11, 2026, by and among the Company, the other Loan Parties named therein, the Lenders named therein and Alter Domus (US), LLC, as Administrative Agent (Incorporated by reference to Exhibit 10.36 of the Company’s Annual Report on Form 10-K for the fiscal year ended December 31, 2025 as filed on March 12, 2026).</w:t>
              </w:r>
            </w:hyperlink>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(31.1)</w:t>
            </w:r>
          </w:p>
        </w:tc>
        <w:tc>
          <w:tcPr>
            <w:tcW w:w="9254" w:type="dxa"/>
            <w:tcBorders/>
            <w:tcMar>
              <w:top w:w="0" w:type="dxa"/>
              <w:left w:w="0" w:type="dxa"/>
              <w:bottom w:w="0" w:type="dxa"/>
              <w:right w:w="0" w:type="dxa"/>
            </w:tcMar>
            <w:vAlign w:val="center"/>
          </w:tcPr>
          <w:p>
            <w:pPr>
              <w:pStyle w:val="TableContents"/>
              <w:bidi w:val="0"/>
              <w:spacing w:before="0" w:after="283"/>
              <w:jc w:val="left"/>
              <w:rPr/>
            </w:pPr>
            <w:hyperlink w:anchor="kodk-ex31_1.htm">
              <w:r>
                <w:rPr>
                  <w:rStyle w:val="InternetLink"/>
                  <w:rFonts w:ascii="sans-serif" w:hAnsi="sans-serif"/>
                  <w:color w:val="0000FF"/>
                  <w:sz w:val="20"/>
                  <w:u w:val="single"/>
                </w:rPr>
                <w:t>Certification signed by James V. Continenza, filed herewith.</w:t>
              </w:r>
            </w:hyperlink>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(31.2)</w:t>
            </w:r>
          </w:p>
        </w:tc>
        <w:tc>
          <w:tcPr>
            <w:tcW w:w="9254" w:type="dxa"/>
            <w:tcBorders/>
            <w:tcMar>
              <w:top w:w="0" w:type="dxa"/>
              <w:left w:w="0" w:type="dxa"/>
              <w:bottom w:w="0" w:type="dxa"/>
              <w:right w:w="0" w:type="dxa"/>
            </w:tcMar>
            <w:vAlign w:val="center"/>
          </w:tcPr>
          <w:p>
            <w:pPr>
              <w:pStyle w:val="TableContents"/>
              <w:bidi w:val="0"/>
              <w:spacing w:before="0" w:after="283"/>
              <w:jc w:val="left"/>
              <w:rPr/>
            </w:pPr>
            <w:hyperlink w:anchor="kodk-ex31_2.htm">
              <w:r>
                <w:rPr>
                  <w:rStyle w:val="InternetLink"/>
                  <w:rFonts w:ascii="sans-serif" w:hAnsi="sans-serif"/>
                  <w:color w:val="0000FF"/>
                  <w:sz w:val="20"/>
                  <w:u w:val="single"/>
                </w:rPr>
                <w:t>Certification signed by David E. Bullwinkle, filed herewith.</w:t>
              </w:r>
            </w:hyperlink>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(32.1)</w:t>
            </w:r>
            <w:r>
              <w:rPr>
                <w:rFonts w:ascii="sans-serif" w:hAnsi="sans-serif"/>
                <w:color w:val="000000"/>
                <w:sz w:val="13"/>
              </w:rPr>
              <w:t>(1)</w:t>
            </w:r>
          </w:p>
        </w:tc>
        <w:tc>
          <w:tcPr>
            <w:tcW w:w="9254" w:type="dxa"/>
            <w:tcBorders/>
            <w:tcMar>
              <w:top w:w="0" w:type="dxa"/>
              <w:left w:w="0" w:type="dxa"/>
              <w:bottom w:w="0" w:type="dxa"/>
              <w:right w:w="0" w:type="dxa"/>
            </w:tcMar>
            <w:vAlign w:val="center"/>
          </w:tcPr>
          <w:p>
            <w:pPr>
              <w:pStyle w:val="TableContents"/>
              <w:bidi w:val="0"/>
              <w:spacing w:before="0" w:after="283"/>
              <w:jc w:val="left"/>
              <w:rPr/>
            </w:pPr>
            <w:hyperlink w:anchor="kodk-ex32_1.htm">
              <w:r>
                <w:rPr>
                  <w:rStyle w:val="InternetLink"/>
                  <w:rFonts w:ascii="sans-serif" w:hAnsi="sans-serif"/>
                  <w:color w:val="0000FF"/>
                  <w:sz w:val="20"/>
                  <w:u w:val="single"/>
                </w:rPr>
                <w:t>Certification Pursuant to 18 U.S.C. Section 1350, as Adopted Pursuant to Section 906 of the Sarbanes-Oxley Act of 2002, signed by James V. Continenza, furnished herewith.</w:t>
              </w:r>
            </w:hyperlink>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(32.2)</w:t>
            </w:r>
            <w:r>
              <w:rPr>
                <w:rFonts w:ascii="sans-serif" w:hAnsi="sans-serif"/>
                <w:color w:val="000000"/>
                <w:sz w:val="13"/>
              </w:rPr>
              <w:t>(1)</w:t>
            </w:r>
          </w:p>
        </w:tc>
        <w:tc>
          <w:tcPr>
            <w:tcW w:w="9254" w:type="dxa"/>
            <w:tcBorders/>
            <w:tcMar>
              <w:top w:w="0" w:type="dxa"/>
              <w:left w:w="0" w:type="dxa"/>
              <w:bottom w:w="0" w:type="dxa"/>
              <w:right w:w="0" w:type="dxa"/>
            </w:tcMar>
            <w:vAlign w:val="center"/>
          </w:tcPr>
          <w:p>
            <w:pPr>
              <w:pStyle w:val="TableContents"/>
              <w:bidi w:val="0"/>
              <w:spacing w:before="0" w:after="283"/>
              <w:jc w:val="left"/>
              <w:rPr/>
            </w:pPr>
            <w:hyperlink w:anchor="kodk-ex32_2.htm">
              <w:r>
                <w:rPr>
                  <w:rStyle w:val="InternetLink"/>
                  <w:rFonts w:ascii="sans-serif" w:hAnsi="sans-serif"/>
                  <w:color w:val="0000FF"/>
                  <w:sz w:val="20"/>
                  <w:u w:val="single"/>
                </w:rPr>
                <w:t>Certification Pursuant to 18 U.S.C. Section 1350, as Adopted Pursuant to Section 906 of the Sarbanes-Oxley Act of 2002 signed by David E. Bullwinkle, furnished herewith.</w:t>
              </w:r>
            </w:hyperlink>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(101.INS)</w:t>
            </w:r>
          </w:p>
        </w:tc>
        <w:tc>
          <w:tcPr>
            <w:tcW w:w="925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Instance Document - the instance document does not appear in the Interactive Data File as its XBRL tags are embedded within the Inline XBRL document</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(101.SCH)</w:t>
            </w:r>
          </w:p>
        </w:tc>
        <w:tc>
          <w:tcPr>
            <w:tcW w:w="925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Taxonomy Extension Schema With Embedded Linkbase Documents</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ind w:left="0" w:right="0" w:firstLine="360"/>
              <w:jc w:val="left"/>
              <w:rPr>
                <w:rFonts w:ascii="sans-serif" w:hAnsi="sans-serif"/>
                <w:color w:val="000000"/>
                <w:sz w:val="20"/>
              </w:rPr>
            </w:pPr>
            <w:r>
              <w:rPr>
                <w:rFonts w:ascii="sans-serif" w:hAnsi="sans-serif"/>
                <w:color w:val="000000"/>
                <w:sz w:val="20"/>
              </w:rPr>
              <w:t>(104)</w:t>
            </w:r>
          </w:p>
        </w:tc>
        <w:tc>
          <w:tcPr>
            <w:tcW w:w="925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Cover page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 Management contract or compensatory plan or arrangement.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Furnished herewith. The certifications that accompany this Quarterly Report on Form 10</w:t>
        <w:noBreakHyphen/>
        <w:t>Q are not deemed filed with the SEC and are not to be incorporated by reference into any filing of the Registrant under the Securities Act of 1933, as amended, or the Securities Exchange Act of 1934, as amended (whether made before or after the date of this Quarterly Report on Form 10</w:t>
        <w:noBreakHyphen/>
        <w:t>Q), irrespective of any general incorporation language contained in such filing.</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bookmarkStart w:id="59" w:name="signatures"/>
      <w:bookmarkEnd w:id="59"/>
      <w:r>
        <w:rPr>
          <w:rFonts w:ascii="sans-serif" w:hAnsi="sans-serif"/>
          <w:b/>
          <w:color w:val="000000"/>
          <w:sz w:val="20"/>
        </w:rPr>
        <w:t>SIGNATURES</w:t>
      </w:r>
    </w:p>
    <w:p>
      <w:pPr>
        <w:pStyle w:val="TextBody"/>
        <w:bidi w:val="0"/>
        <w:spacing w:before="200" w:after="283"/>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982" w:type="dxa"/>
        <w:jc w:val="left"/>
        <w:tblInd w:w="0" w:type="dxa"/>
        <w:tblLayout w:type="fixed"/>
        <w:tblCellMar>
          <w:top w:w="28" w:type="dxa"/>
          <w:left w:w="28" w:type="dxa"/>
          <w:bottom w:w="28" w:type="dxa"/>
          <w:right w:w="28" w:type="dxa"/>
        </w:tblCellMar>
      </w:tblPr>
      <w:tblGrid>
        <w:gridCol w:w="2146"/>
        <w:gridCol w:w="5836"/>
      </w:tblGrid>
      <w:tr>
        <w:trPr/>
        <w:tc>
          <w:tcPr>
            <w:tcW w:w="214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EASTMAN KODAK COMPANY</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(Registrant)</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Date: May 7, 2026</w:t>
            </w:r>
          </w:p>
        </w:tc>
        <w:tc>
          <w:tcPr>
            <w:tcW w:w="58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 Richard T. Michaels</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Richard T. Michaels</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Chief Accounting Officer and Corporate Controller</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(Chief Accounting Officer and Authorized Signatory)</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60" w:name="kodk-ex10_1.htm"/>
      <w:bookmarkStart w:id="61" w:name="kskodkex10_1"/>
      <w:bookmarkEnd w:id="60"/>
      <w:bookmarkEnd w:id="61"/>
      <w:r>
        <w:rPr>
          <w:rFonts w:ascii="Times New Roman" w:hAnsi="Times New Roman"/>
          <w:color w:val="000000"/>
          <w:sz w:val="21"/>
        </w:rPr>
        <w:t xml:space="preserve">CONFIDENTIAL </w:t>
      </w:r>
      <w:r>
        <w:rPr>
          <w:rFonts w:ascii="Times New Roman" w:hAnsi="Times New Roman"/>
          <w:b/>
          <w:color w:val="000000"/>
          <w:sz w:val="21"/>
        </w:rPr>
        <w:t>Exhibit 10.1</w:t>
      </w:r>
      <w:r>
        <w:br w:type="page"/>
      </w:r>
    </w:p>
    <w:p>
      <w:pPr>
        <w:pStyle w:val="TextBody"/>
        <w:bidi w:val="0"/>
        <w:spacing w:before="0" w:after="200"/>
        <w:jc w:val="center"/>
        <w:rPr>
          <w:rFonts w:ascii="Times New Roman" w:hAnsi="Times New Roman"/>
          <w:b/>
          <w:smallCaps/>
          <w:color w:val="000000"/>
          <w:sz w:val="22"/>
        </w:rPr>
      </w:pPr>
      <w:r>
        <w:rPr>
          <w:rFonts w:ascii="Times New Roman" w:hAnsi="Times New Roman"/>
          <w:b/>
          <w:smallCaps/>
          <w:color w:val="000000"/>
          <w:sz w:val="22"/>
        </w:rPr>
        <w:t>Eastman Kodak Company</w:t>
        <w:br/>
        <w:t>2013 Omnibus Incentive Plan</w:t>
      </w:r>
    </w:p>
    <w:p>
      <w:pPr>
        <w:pStyle w:val="TextBody"/>
        <w:bidi w:val="0"/>
        <w:spacing w:before="0" w:after="200"/>
        <w:jc w:val="center"/>
        <w:rPr>
          <w:rFonts w:ascii="Times New Roman" w:hAnsi="Times New Roman"/>
          <w:b/>
          <w:color w:val="000000"/>
          <w:sz w:val="21"/>
          <w:u w:val="single"/>
        </w:rPr>
      </w:pPr>
      <w:r>
        <w:rPr>
          <w:rFonts w:ascii="Times New Roman" w:hAnsi="Times New Roman"/>
          <w:b/>
          <w:color w:val="000000"/>
          <w:sz w:val="21"/>
          <w:u w:val="single"/>
        </w:rPr>
        <w:t>RESTRICTED STOCK UNIT AWARD AGREEMENT</w:t>
      </w:r>
    </w:p>
    <w:p>
      <w:pPr>
        <w:pStyle w:val="Heading1"/>
        <w:bidi w:val="0"/>
        <w:spacing w:before="0" w:after="200"/>
        <w:jc w:val="both"/>
        <w:rPr>
          <w:rFonts w:ascii="Times New Roman" w:hAnsi="Times New Roman"/>
          <w:sz w:val="20"/>
        </w:rPr>
      </w:pPr>
      <w:r>
        <w:rPr>
          <w:rFonts w:ascii="Times New Roman" w:hAnsi="Times New Roman"/>
          <w:b w:val="false"/>
          <w:color w:val="000000"/>
          <w:sz w:val="21"/>
        </w:rPr>
        <w:t>This Restricted Stock Unit Award Agreement (this “</w:t>
      </w:r>
      <w:r>
        <w:rPr>
          <w:rFonts w:ascii="Times New Roman" w:hAnsi="Times New Roman"/>
          <w:b w:val="false"/>
          <w:color w:val="000000"/>
          <w:sz w:val="21"/>
          <w:u w:val="single"/>
        </w:rPr>
        <w:t>Award Agreement</w:t>
      </w:r>
      <w:r>
        <w:rPr>
          <w:rFonts w:ascii="Times New Roman" w:hAnsi="Times New Roman"/>
          <w:color w:val="000000"/>
          <w:sz w:val="20"/>
        </w:rPr>
        <w:t>”</w:t>
      </w:r>
      <w:r>
        <w:rPr>
          <w:rFonts w:ascii="Times New Roman" w:hAnsi="Times New Roman"/>
          <w:b w:val="false"/>
          <w:color w:val="000000"/>
          <w:sz w:val="21"/>
        </w:rPr>
        <w:t>) evidences an award of restricted stock units (“</w:t>
      </w:r>
      <w:r>
        <w:rPr>
          <w:rFonts w:ascii="Times New Roman" w:hAnsi="Times New Roman"/>
          <w:b w:val="false"/>
          <w:color w:val="000000"/>
          <w:sz w:val="21"/>
          <w:u w:val="single"/>
        </w:rPr>
        <w:t>RSUs</w:t>
      </w:r>
      <w:r>
        <w:rPr>
          <w:rFonts w:ascii="Times New Roman" w:hAnsi="Times New Roman"/>
          <w:color w:val="000000"/>
          <w:sz w:val="20"/>
        </w:rPr>
        <w:t>”</w:t>
      </w:r>
      <w:r>
        <w:rPr>
          <w:rFonts w:ascii="Times New Roman" w:hAnsi="Times New Roman"/>
          <w:b w:val="false"/>
          <w:color w:val="000000"/>
          <w:sz w:val="21"/>
        </w:rPr>
        <w:t>) by the Company under the Eastman Kodak Company 2013 Omnibus Incentive Plan (the “</w:t>
      </w:r>
      <w:r>
        <w:rPr>
          <w:rFonts w:ascii="Times New Roman" w:hAnsi="Times New Roman"/>
          <w:b w:val="false"/>
          <w:color w:val="000000"/>
          <w:sz w:val="21"/>
          <w:u w:val="single"/>
        </w:rPr>
        <w:t>Plan</w:t>
      </w:r>
      <w:r>
        <w:rPr>
          <w:rFonts w:ascii="Times New Roman" w:hAnsi="Times New Roman"/>
          <w:color w:val="000000"/>
          <w:sz w:val="20"/>
        </w:rPr>
        <w:t>”</w:t>
      </w:r>
      <w:r>
        <w:rPr>
          <w:rFonts w:ascii="Times New Roman" w:hAnsi="Times New Roman"/>
          <w:b w:val="false"/>
          <w:color w:val="000000"/>
          <w:sz w:val="21"/>
        </w:rPr>
        <w:t>). Capitalized terms not defined in the Award Agreement have the meanings given to them in the Plan.</w:t>
      </w:r>
    </w:p>
    <w:tbl>
      <w:tblPr>
        <w:tblW w:w="10205" w:type="dxa"/>
        <w:jc w:val="left"/>
        <w:tblInd w:w="0" w:type="dxa"/>
        <w:tblLayout w:type="fixed"/>
        <w:tblCellMar>
          <w:top w:w="28" w:type="dxa"/>
          <w:left w:w="28" w:type="dxa"/>
          <w:bottom w:w="28" w:type="dxa"/>
          <w:right w:w="28" w:type="dxa"/>
        </w:tblCellMar>
      </w:tblPr>
      <w:tblGrid>
        <w:gridCol w:w="1011"/>
        <w:gridCol w:w="9194"/>
      </w:tblGrid>
      <w:tr>
        <w:trPr/>
        <w:tc>
          <w:tcPr>
            <w:tcW w:w="1011" w:type="dxa"/>
            <w:tcBorders/>
            <w:vAlign w:val="center"/>
          </w:tcPr>
          <w:p>
            <w:pPr>
              <w:pStyle w:val="TableContents"/>
              <w:bidi w:val="0"/>
              <w:spacing w:before="0" w:after="283"/>
              <w:jc w:val="left"/>
              <w:rPr>
                <w:sz w:val="4"/>
                <w:szCs w:val="4"/>
              </w:rPr>
            </w:pPr>
            <w:r>
              <w:rPr>
                <w:sz w:val="4"/>
                <w:szCs w:val="4"/>
              </w:rPr>
            </w:r>
          </w:p>
        </w:tc>
        <w:tc>
          <w:tcPr>
            <w:tcW w:w="9194" w:type="dxa"/>
            <w:tcBorders/>
            <w:vAlign w:val="center"/>
          </w:tcPr>
          <w:p>
            <w:pPr>
              <w:pStyle w:val="TableContents"/>
              <w:bidi w:val="0"/>
              <w:spacing w:before="0" w:after="283"/>
              <w:jc w:val="left"/>
              <w:rPr>
                <w:sz w:val="4"/>
                <w:szCs w:val="4"/>
              </w:rPr>
            </w:pPr>
            <w:r>
              <w:rPr>
                <w:sz w:val="4"/>
                <w:szCs w:val="4"/>
              </w:rPr>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Name of Grantee:</w:t>
            </w:r>
          </w:p>
        </w:tc>
        <w:tc>
          <w:tcPr>
            <w:tcW w:w="9194"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1"/>
              </w:rPr>
            </w:pPr>
            <w:r>
              <w:rPr>
                <w:rFonts w:ascii="Times New Roman" w:hAnsi="Times New Roman"/>
                <w:color w:val="000000"/>
                <w:sz w:val="21"/>
                <w:u w:val="single"/>
              </w:rPr>
              <w:t>James V. Continenza</w:t>
            </w:r>
            <w:r>
              <w:rPr>
                <w:rFonts w:ascii="Times New Roman" w:hAnsi="Times New Roman"/>
                <w:color w:val="000000"/>
                <w:sz w:val="21"/>
              </w:rPr>
              <w:t> (the “</w:t>
            </w:r>
            <w:r>
              <w:rPr>
                <w:rFonts w:ascii="Times New Roman" w:hAnsi="Times New Roman"/>
                <w:color w:val="000000"/>
                <w:sz w:val="21"/>
                <w:u w:val="single"/>
              </w:rPr>
              <w:t>Grantee</w:t>
            </w:r>
            <w:r>
              <w:rPr>
                <w:rFonts w:ascii="Times New Roman" w:hAnsi="Times New Roman"/>
                <w:color w:val="000000"/>
                <w:sz w:val="21"/>
              </w:rPr>
              <w:t>”)</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Grant Date:</w:t>
            </w:r>
          </w:p>
        </w:tc>
        <w:tc>
          <w:tcPr>
            <w:tcW w:w="9194"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1"/>
                <w:u w:val="single"/>
              </w:rPr>
            </w:pPr>
            <w:r>
              <w:rPr>
                <w:rFonts w:ascii="Times New Roman" w:hAnsi="Times New Roman"/>
                <w:color w:val="000000"/>
                <w:sz w:val="21"/>
                <w:u w:val="single"/>
              </w:rPr>
              <w:t>February 24, 2026</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Number of RSUs:</w:t>
            </w:r>
          </w:p>
        </w:tc>
        <w:tc>
          <w:tcPr>
            <w:tcW w:w="9194"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1"/>
                <w:u w:val="single"/>
              </w:rPr>
            </w:pPr>
            <w:r>
              <w:rPr>
                <w:rFonts w:ascii="Times New Roman" w:hAnsi="Times New Roman"/>
                <w:color w:val="000000"/>
                <w:sz w:val="21"/>
                <w:u w:val="single"/>
              </w:rPr>
              <w:t>5 million</w:t>
            </w:r>
          </w:p>
          <w:p>
            <w:pPr>
              <w:pStyle w:val="TableContents"/>
              <w:bidi w:val="0"/>
              <w:spacing w:before="0" w:after="200"/>
              <w:jc w:val="left"/>
              <w:rPr>
                <w:rFonts w:ascii="Times New Roman" w:hAnsi="Times New Roman"/>
                <w:color w:val="000000"/>
                <w:sz w:val="21"/>
              </w:rPr>
            </w:pPr>
            <w:r>
              <w:rPr>
                <w:rFonts w:ascii="Times New Roman" w:hAnsi="Times New Roman"/>
                <w:color w:val="000000"/>
                <w:sz w:val="21"/>
              </w:rPr>
              <w:t xml:space="preserve">In the event of a corporate event or transaction involving the Company, the number of RSUs subject to this Award shall be adjusted pursuant to Article 14 of the Plan.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Vesting:</w:t>
            </w:r>
          </w:p>
        </w:tc>
        <w:tc>
          <w:tcPr>
            <w:tcW w:w="9194"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1"/>
              </w:rPr>
            </w:pPr>
            <w:r>
              <w:rPr>
                <w:rFonts w:ascii="Times New Roman" w:hAnsi="Times New Roman"/>
                <w:color w:val="000000"/>
                <w:sz w:val="21"/>
              </w:rPr>
              <w:t>The RSUs awarded as set forth above will vest in five equal installments on each of December 31, 2026; December 31, 2027; December 31, 2028; December 31, 2029; and December 31, 2030 (each, a “</w:t>
            </w:r>
            <w:r>
              <w:rPr>
                <w:rFonts w:ascii="Times New Roman" w:hAnsi="Times New Roman"/>
                <w:color w:val="000000"/>
                <w:sz w:val="21"/>
                <w:u w:val="single"/>
              </w:rPr>
              <w:t>Vesting Date</w:t>
            </w:r>
            <w:r>
              <w:rPr>
                <w:rFonts w:ascii="Times New Roman" w:hAnsi="Times New Roman"/>
                <w:color w:val="000000"/>
                <w:sz w:val="21"/>
              </w:rPr>
              <w:t>”), in each case, except as otherwise provided by either this Award Agreement or the Executive Chairman and CEO Agreement, by and between the Company and the Grantee, dated February 23, 2026 (the “</w:t>
            </w:r>
            <w:r>
              <w:rPr>
                <w:rFonts w:ascii="Times New Roman" w:hAnsi="Times New Roman"/>
                <w:color w:val="000000"/>
                <w:sz w:val="21"/>
                <w:u w:val="single"/>
              </w:rPr>
              <w:t>Employment Agreement</w:t>
            </w:r>
            <w:r>
              <w:rPr>
                <w:rFonts w:ascii="Times New Roman" w:hAnsi="Times New Roman"/>
                <w:color w:val="000000"/>
                <w:sz w:val="21"/>
              </w:rPr>
              <w:t>”), subject to Grantee’s continued employment with the Company through the applicable Vesting Date.</w:t>
            </w:r>
          </w:p>
          <w:p>
            <w:pPr>
              <w:pStyle w:val="TableContents"/>
              <w:bidi w:val="0"/>
              <w:spacing w:before="0" w:after="200"/>
              <w:jc w:val="left"/>
              <w:rPr>
                <w:rFonts w:ascii="Times New Roman" w:hAnsi="Times New Roman"/>
                <w:sz w:val="21"/>
              </w:rPr>
            </w:pPr>
            <w:r>
              <w:rPr>
                <w:rFonts w:ascii="Times New Roman" w:hAnsi="Times New Roman"/>
                <w:color w:val="000000"/>
                <w:sz w:val="21"/>
              </w:rPr>
              <w:t>Pursuant to the Employment Agreement, in the event of the Grantee’s termination of employment by the Company without Cause or voluntarily by the Grantee for Good Reason, or the termination of the Grantee’s employment due to the death, Disability or Retirement of the Grantee, in each case, during the Scheduled Term, any unvested RSUs on the date of the termination of the Grantee’s employment will immediately vest as of such date. Any termination of the Grantee’s employment by the Company during the Scheduled Term that occurs within six months of a Change of Control will be presumed to be a termination without Cause. “</w:t>
            </w:r>
            <w:r>
              <w:rPr>
                <w:rFonts w:ascii="Times New Roman" w:hAnsi="Times New Roman"/>
                <w:color w:val="000000"/>
                <w:sz w:val="21"/>
                <w:u w:val="single"/>
              </w:rPr>
              <w:t>Cause</w:t>
            </w:r>
            <w:r>
              <w:rPr>
                <w:rFonts w:ascii="Times New Roman" w:hAnsi="Times New Roman"/>
                <w:color w:val="000000"/>
                <w:sz w:val="21"/>
              </w:rPr>
              <w:t>,” “</w:t>
            </w:r>
            <w:r>
              <w:rPr>
                <w:rFonts w:ascii="Times New Roman" w:hAnsi="Times New Roman"/>
                <w:color w:val="000000"/>
                <w:sz w:val="21"/>
                <w:u w:val="single"/>
              </w:rPr>
              <w:t>Good Reason</w:t>
            </w:r>
            <w:r>
              <w:rPr>
                <w:rFonts w:ascii="Times New Roman" w:hAnsi="Times New Roman"/>
                <w:color w:val="000000"/>
                <w:sz w:val="21"/>
              </w:rPr>
              <w:t>,” “</w:t>
            </w:r>
            <w:r>
              <w:rPr>
                <w:rFonts w:ascii="Times New Roman" w:hAnsi="Times New Roman"/>
                <w:color w:val="000000"/>
                <w:sz w:val="21"/>
                <w:u w:val="single"/>
              </w:rPr>
              <w:t>Disability</w:t>
            </w:r>
            <w:r>
              <w:rPr>
                <w:rFonts w:ascii="Times New Roman" w:hAnsi="Times New Roman"/>
                <w:color w:val="000000"/>
                <w:sz w:val="21"/>
              </w:rPr>
              <w:t>,” “</w:t>
            </w:r>
            <w:r>
              <w:rPr>
                <w:rFonts w:ascii="Times New Roman" w:hAnsi="Times New Roman"/>
                <w:color w:val="000000"/>
                <w:sz w:val="21"/>
                <w:u w:val="single"/>
              </w:rPr>
              <w:t>Retirement</w:t>
            </w:r>
            <w:r>
              <w:rPr>
                <w:rFonts w:ascii="Times New Roman" w:hAnsi="Times New Roman"/>
                <w:color w:val="000000"/>
                <w:sz w:val="21"/>
              </w:rPr>
              <w:t>,” “</w:t>
            </w:r>
            <w:r>
              <w:rPr>
                <w:rFonts w:ascii="Times New Roman" w:hAnsi="Times New Roman"/>
                <w:color w:val="000000"/>
                <w:sz w:val="21"/>
                <w:u w:val="single"/>
              </w:rPr>
              <w:t>Scheduled Term</w:t>
            </w:r>
            <w:r>
              <w:rPr>
                <w:rFonts w:ascii="Times New Roman" w:hAnsi="Times New Roman"/>
                <w:color w:val="000000"/>
                <w:sz w:val="21"/>
              </w:rPr>
              <w:t>” and “</w:t>
            </w:r>
            <w:r>
              <w:rPr>
                <w:rFonts w:ascii="Times New Roman" w:hAnsi="Times New Roman"/>
                <w:color w:val="000000"/>
                <w:sz w:val="21"/>
                <w:u w:val="single"/>
              </w:rPr>
              <w:t>Change of Control</w:t>
            </w:r>
            <w:r>
              <w:rPr>
                <w:rFonts w:ascii="Times New Roman" w:hAnsi="Times New Roman"/>
                <w:color w:val="000000"/>
                <w:sz w:val="21"/>
              </w:rPr>
              <w:t>” have the meanings given such terms by the Employment Agreement.</w:t>
            </w:r>
          </w:p>
        </w:tc>
      </w:tr>
      <w:tr>
        <w:trPr/>
        <w:tc>
          <w:tcPr>
            <w:tcW w:w="10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1"/>
              </w:rPr>
              <w:t>Grantee Rights</w:t>
            </w:r>
          </w:p>
        </w:tc>
        <w:tc>
          <w:tcPr>
            <w:tcW w:w="9194"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1"/>
              </w:rPr>
            </w:pPr>
            <w:r>
              <w:rPr>
                <w:rFonts w:ascii="Times New Roman" w:hAnsi="Times New Roman"/>
                <w:color w:val="000000"/>
                <w:sz w:val="21"/>
              </w:rPr>
              <w:t>The Grantee shall not have the right to exercise any of the rights or privileges of a shareholder with respect to the shares of Common Stock underlying the RSUs, whether or not vested, until such shares are actually issued to the Grantee.</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Delivery Date</w:t>
            </w:r>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 xml:space="preserve">Subject to the “Withholding” provision below, within 30 days after the earliest of the applicable Vesting Date, and the date of the Grantee’s termination of employment by the Company without Cause, voluntarily by the Grantee for Good Reason, or termination of the Grantee’s employment due to the death, Disability or Retirement of the Grantee, but in no event later than December 31 of the calendar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63"/>
        <w:gridCol w:w="8542"/>
      </w:tblGrid>
      <w:tr>
        <w:trPr/>
        <w:tc>
          <w:tcPr>
            <w:tcW w:w="1663" w:type="dxa"/>
            <w:tcBorders/>
            <w:vAlign w:val="center"/>
          </w:tcPr>
          <w:p>
            <w:pPr>
              <w:pStyle w:val="TableContents"/>
              <w:bidi w:val="0"/>
              <w:spacing w:before="0" w:after="283"/>
              <w:jc w:val="left"/>
              <w:rPr>
                <w:sz w:val="4"/>
                <w:szCs w:val="4"/>
              </w:rPr>
            </w:pPr>
            <w:r>
              <w:rPr>
                <w:sz w:val="4"/>
                <w:szCs w:val="4"/>
              </w:rPr>
            </w:r>
          </w:p>
        </w:tc>
        <w:tc>
          <w:tcPr>
            <w:tcW w:w="8542" w:type="dxa"/>
            <w:tcBorders/>
            <w:vAlign w:val="center"/>
          </w:tcPr>
          <w:p>
            <w:pPr>
              <w:pStyle w:val="TableContents"/>
              <w:bidi w:val="0"/>
              <w:spacing w:before="0" w:after="283"/>
              <w:jc w:val="left"/>
              <w:rPr>
                <w:sz w:val="4"/>
                <w:szCs w:val="4"/>
              </w:rPr>
            </w:pPr>
            <w:r>
              <w:rPr>
                <w:sz w:val="4"/>
                <w:szCs w:val="4"/>
              </w:rPr>
            </w:r>
          </w:p>
        </w:tc>
      </w:tr>
      <w:tr>
        <w:trPr/>
        <w:tc>
          <w:tcPr>
            <w:tcW w:w="1663" w:type="dxa"/>
            <w:tcBorders/>
            <w:tcMar>
              <w:top w:w="0" w:type="dxa"/>
              <w:left w:w="0" w:type="dxa"/>
              <w:bottom w:w="0" w:type="dxa"/>
              <w:right w:w="0" w:type="dxa"/>
            </w:tcMar>
            <w:vAlign w:val="center"/>
          </w:tcPr>
          <w:p>
            <w:pPr>
              <w:pStyle w:val="TableContents"/>
              <w:bidi w:val="0"/>
              <w:spacing w:before="0" w:after="283"/>
              <w:jc w:val="left"/>
              <w:rPr/>
            </w:pPr>
            <w:r>
              <w:rPr/>
              <w:t> </w:t>
            </w:r>
          </w:p>
        </w:tc>
        <w:tc>
          <w:tcPr>
            <w:tcW w:w="8542"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1"/>
              </w:rPr>
            </w:pPr>
            <w:r>
              <w:rPr>
                <w:rFonts w:ascii="Times New Roman" w:hAnsi="Times New Roman"/>
                <w:color w:val="000000"/>
                <w:sz w:val="21"/>
              </w:rPr>
              <w:t>year which includes such date (or if later, the 15th day of the third month immediately following such date), the Company shall issue to the Grantee one Share for each RSU that vests on such date. For purposes of this provision, “termination of employment” is intended to mean the Grantee’s “separation from service” within the meaning given such term by Section 409A. To the extent necessary to comply with Section 409A, the settlement of the RSUs will be delayed until the first day of the seventh month following the Grantee’s separation from service.</w:t>
            </w:r>
          </w:p>
        </w:tc>
      </w:tr>
      <w:tr>
        <w:trPr/>
        <w:tc>
          <w:tcPr>
            <w:tcW w:w="1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Withholding</w:t>
            </w:r>
          </w:p>
        </w:tc>
        <w:tc>
          <w:tcPr>
            <w:tcW w:w="8542"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1"/>
              </w:rPr>
            </w:pPr>
            <w:r>
              <w:rPr>
                <w:rFonts w:ascii="Times New Roman" w:hAnsi="Times New Roman"/>
                <w:color w:val="000000"/>
                <w:sz w:val="21"/>
              </w:rPr>
              <w:t xml:space="preserve">Pursuant to Section 16.4 of the Plan, the Company shall have the power and the right to deduct or withhold (or cause to be deducted or withheld) from any amount deliverable under the RSUs or otherwise (including Shares otherwise deliverable), or require the Grantee to remit to the Company, the minimum statutory amount to satisfy federal, state, and local taxes, domestic or foreign, required by law or regulation to be withheld with respect to any taxable event arising in connection with the RSUs. </w:t>
            </w:r>
          </w:p>
          <w:p>
            <w:pPr>
              <w:pStyle w:val="TableContents"/>
              <w:bidi w:val="0"/>
              <w:spacing w:before="0" w:after="200"/>
              <w:jc w:val="left"/>
              <w:rPr>
                <w:rFonts w:ascii="Times New Roman" w:hAnsi="Times New Roman"/>
                <w:color w:val="000000"/>
                <w:sz w:val="21"/>
              </w:rPr>
            </w:pPr>
            <w:r>
              <w:rPr>
                <w:rFonts w:ascii="Times New Roman" w:hAnsi="Times New Roman"/>
                <w:color w:val="000000"/>
                <w:sz w:val="21"/>
              </w:rPr>
              <w:t>Subject to the Company’s automatic withholding right set out above, the Grantee may elect to satisfy the withholding requirement, in whole or in part:</w:t>
            </w:r>
          </w:p>
          <w:p>
            <w:pPr>
              <w:pStyle w:val="TableContents"/>
              <w:bidi w:val="0"/>
              <w:spacing w:before="0" w:after="200"/>
              <w:jc w:val="left"/>
              <w:rPr>
                <w:rFonts w:ascii="Times New Roman" w:hAnsi="Times New Roman"/>
                <w:color w:val="000000"/>
                <w:sz w:val="21"/>
              </w:rPr>
            </w:pPr>
            <w:r>
              <w:rPr>
                <w:rFonts w:ascii="Times New Roman" w:hAnsi="Times New Roman"/>
                <w:color w:val="000000"/>
                <w:sz w:val="21"/>
              </w:rPr>
              <w:t xml:space="preserve">(i) by having the Company withhold Shares; or </w:t>
            </w:r>
          </w:p>
          <w:p>
            <w:pPr>
              <w:pStyle w:val="TableContents"/>
              <w:bidi w:val="0"/>
              <w:spacing w:before="0" w:after="200"/>
              <w:jc w:val="left"/>
              <w:rPr>
                <w:rFonts w:ascii="Times New Roman" w:hAnsi="Times New Roman"/>
                <w:color w:val="000000"/>
                <w:sz w:val="21"/>
              </w:rPr>
            </w:pPr>
            <w:r>
              <w:rPr>
                <w:rFonts w:ascii="Times New Roman" w:hAnsi="Times New Roman"/>
                <w:color w:val="000000"/>
                <w:sz w:val="21"/>
              </w:rPr>
              <w:t>(ii) through an independent broker-dealer arrangement to sell a sufficient number of Shares;</w:t>
            </w:r>
          </w:p>
          <w:p>
            <w:pPr>
              <w:pStyle w:val="TableContents"/>
              <w:bidi w:val="0"/>
              <w:spacing w:before="0" w:after="200"/>
              <w:jc w:val="left"/>
              <w:rPr>
                <w:rFonts w:ascii="Times New Roman" w:hAnsi="Times New Roman"/>
                <w:color w:val="000000"/>
                <w:sz w:val="21"/>
              </w:rPr>
            </w:pPr>
            <w:r>
              <w:rPr>
                <w:rFonts w:ascii="Times New Roman" w:hAnsi="Times New Roman"/>
                <w:color w:val="000000"/>
                <w:sz w:val="21"/>
              </w:rPr>
              <w:t>in each case, having a fair market value on the date the tax is to be determined equal to the minimum tax required to be withheld.</w:t>
            </w:r>
          </w:p>
        </w:tc>
      </w:tr>
      <w:tr>
        <w:trPr/>
        <w:tc>
          <w:tcPr>
            <w:tcW w:w="1663"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1"/>
              </w:rPr>
            </w:pPr>
            <w:r>
              <w:rPr>
                <w:rFonts w:ascii="Times New Roman" w:hAnsi="Times New Roman"/>
                <w:b/>
                <w:color w:val="000000"/>
                <w:sz w:val="21"/>
              </w:rPr>
              <w:t>Transferability</w:t>
            </w:r>
          </w:p>
          <w:p>
            <w:pPr>
              <w:pStyle w:val="TableContents"/>
              <w:bidi w:val="0"/>
              <w:jc w:val="left"/>
              <w:rPr/>
            </w:pPr>
            <w:r>
              <w:rPr/>
              <w:t> </w:t>
            </w:r>
          </w:p>
          <w:p>
            <w:pPr>
              <w:pStyle w:val="TableContents"/>
              <w:bidi w:val="0"/>
              <w:spacing w:before="0" w:after="283"/>
              <w:jc w:val="left"/>
              <w:rPr/>
            </w:pPr>
            <w:r>
              <w:rPr/>
              <w:t> </w:t>
            </w:r>
          </w:p>
        </w:tc>
        <w:tc>
          <w:tcPr>
            <w:tcW w:w="8542"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1"/>
              </w:rPr>
            </w:pPr>
            <w:r>
              <w:rPr>
                <w:rFonts w:ascii="Times New Roman" w:hAnsi="Times New Roman"/>
                <w:color w:val="000000"/>
                <w:sz w:val="21"/>
              </w:rPr>
              <w:t>The RSUs will not in any manner be subject to alteration, anticipation, sale, transfer, assignment, pledge or encumbrance.</w:t>
            </w:r>
          </w:p>
        </w:tc>
      </w:tr>
      <w:tr>
        <w:trPr/>
        <w:tc>
          <w:tcPr>
            <w:tcW w:w="1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Continued Service</w:t>
            </w:r>
          </w:p>
        </w:tc>
        <w:tc>
          <w:tcPr>
            <w:tcW w:w="8542"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1"/>
              </w:rPr>
            </w:pPr>
            <w:r>
              <w:rPr>
                <w:rFonts w:ascii="Times New Roman" w:hAnsi="Times New Roman"/>
                <w:color w:val="000000"/>
                <w:sz w:val="21"/>
              </w:rPr>
              <w:t>The Grantee’s receipt of this Award does not give the Grantee right to remain in the service of the Company or as a member of the Board.</w:t>
            </w:r>
          </w:p>
        </w:tc>
      </w:tr>
      <w:tr>
        <w:trPr/>
        <w:tc>
          <w:tcPr>
            <w:tcW w:w="1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Grantee’s Rights Unsecured</w:t>
            </w:r>
          </w:p>
        </w:tc>
        <w:tc>
          <w:tcPr>
            <w:tcW w:w="8542"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1"/>
              </w:rPr>
            </w:pPr>
            <w:r>
              <w:rPr>
                <w:rFonts w:ascii="Times New Roman" w:hAnsi="Times New Roman"/>
                <w:color w:val="000000"/>
                <w:sz w:val="21"/>
              </w:rPr>
              <w:t>The RSUs under this Award Agreement shall be unfunded, and the right of the Grantee to receive payment under this Award Agreement shall be an unsecured claim against the general assets of the Company.</w:t>
            </w:r>
          </w:p>
        </w:tc>
      </w:tr>
      <w:tr>
        <w:trPr/>
        <w:tc>
          <w:tcPr>
            <w:tcW w:w="1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Section 409A</w:t>
            </w:r>
          </w:p>
        </w:tc>
        <w:tc>
          <w:tcPr>
            <w:tcW w:w="8542"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1"/>
              </w:rPr>
            </w:pPr>
            <w:r>
              <w:rPr>
                <w:rFonts w:ascii="Times New Roman" w:hAnsi="Times New Roman"/>
                <w:color w:val="000000"/>
                <w:sz w:val="21"/>
              </w:rPr>
              <w:t>The RSUs described in this Award Agreement are intended to comply with Section 409A, and this Award Agreement shall be interpreted and administered consistent with such intention, and in accordance with Eastman Kodak Company’s Policy Regarding Section 409A Compliance. The Company may unilaterally amend this Award Agreement for purposes of compliance if, in its sole discretion, the Company determines that such amendment would not have a material adverse effect with respect to the Grantee’s rights under this Award Agreement.</w:t>
            </w:r>
          </w:p>
          <w:p>
            <w:pPr>
              <w:pStyle w:val="TableContents"/>
              <w:bidi w:val="0"/>
              <w:spacing w:before="0" w:after="283"/>
              <w:jc w:val="both"/>
              <w:rPr>
                <w:rFonts w:ascii="Times New Roman" w:hAnsi="Times New Roman"/>
                <w:color w:val="000000"/>
                <w:sz w:val="21"/>
              </w:rPr>
            </w:pPr>
            <w:r>
              <w:rPr>
                <w:rFonts w:ascii="Times New Roman" w:hAnsi="Times New Roman"/>
                <w:color w:val="000000"/>
                <w:sz w:val="21"/>
              </w:rPr>
              <w:t xml:space="preserve">Notwithstanding the foregoing, no person connected with the Plan or this Award Agreement in any capacity, including, but not limited to, Kodak and its directors, officers, agents and employees makes any representation, commitment, or guarantee </w:t>
            </w:r>
          </w:p>
        </w:tc>
      </w:tr>
    </w:tbl>
    <w:p>
      <w:pPr>
        <w:pStyle w:val="TextBody"/>
        <w:bidi w:val="0"/>
        <w:jc w:val="center"/>
        <w:rPr>
          <w:rFonts w:ascii="Times New Roman" w:hAnsi="Times New Roman"/>
          <w:color w:val="000000"/>
          <w:sz w:val="21"/>
        </w:rPr>
      </w:pPr>
      <w:r>
        <w:rPr>
          <w:rFonts w:ascii="Times New Roman" w:hAnsi="Times New Roman"/>
          <w:color w:val="000000"/>
          <w:sz w:val="21"/>
        </w:rPr>
        <w:t>-2-</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02"/>
        <w:gridCol w:w="8303"/>
      </w:tblGrid>
      <w:tr>
        <w:trPr/>
        <w:tc>
          <w:tcPr>
            <w:tcW w:w="1902" w:type="dxa"/>
            <w:tcBorders/>
            <w:vAlign w:val="center"/>
          </w:tcPr>
          <w:p>
            <w:pPr>
              <w:pStyle w:val="TableContents"/>
              <w:bidi w:val="0"/>
              <w:spacing w:before="0" w:after="283"/>
              <w:jc w:val="left"/>
              <w:rPr>
                <w:sz w:val="4"/>
                <w:szCs w:val="4"/>
              </w:rPr>
            </w:pPr>
            <w:r>
              <w:rPr>
                <w:sz w:val="4"/>
                <w:szCs w:val="4"/>
              </w:rPr>
            </w:r>
          </w:p>
        </w:tc>
        <w:tc>
          <w:tcPr>
            <w:tcW w:w="8303" w:type="dxa"/>
            <w:tcBorders/>
            <w:vAlign w:val="center"/>
          </w:tcPr>
          <w:p>
            <w:pPr>
              <w:pStyle w:val="TableContents"/>
              <w:bidi w:val="0"/>
              <w:spacing w:before="0" w:after="283"/>
              <w:jc w:val="left"/>
              <w:rPr>
                <w:sz w:val="4"/>
                <w:szCs w:val="4"/>
              </w:rPr>
            </w:pPr>
            <w:r>
              <w:rPr>
                <w:sz w:val="4"/>
                <w:szCs w:val="4"/>
              </w:rPr>
            </w:r>
          </w:p>
        </w:tc>
      </w:tr>
      <w:tr>
        <w:trPr/>
        <w:tc>
          <w:tcPr>
            <w:tcW w:w="19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03"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1"/>
              </w:rPr>
            </w:pPr>
            <w:r>
              <w:rPr>
                <w:rFonts w:ascii="Times New Roman" w:hAnsi="Times New Roman"/>
                <w:color w:val="000000"/>
                <w:sz w:val="21"/>
              </w:rPr>
              <w:t>that any tax treatment, including, but not limited to, federal, state and local income, estate and gift tax treatment, will be applicable with respect to the RSUs or any shares of Common Stock issued pursuant thereto, or that such tax treatment will apply to or be available to the Grantee.</w:t>
            </w:r>
          </w:p>
        </w:tc>
      </w:tr>
      <w:tr>
        <w:trPr/>
        <w:tc>
          <w:tcPr>
            <w:tcW w:w="1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b/>
                <w:color w:val="000000"/>
                <w:sz w:val="21"/>
              </w:rPr>
              <w:t>All Other Terms</w:t>
            </w:r>
            <w:r>
              <w:rPr>
                <w:rFonts w:ascii="Times New Roman" w:hAnsi="Times New Roman"/>
                <w:color w:val="000000"/>
                <w:sz w:val="21"/>
              </w:rPr>
              <w:t>:</w:t>
            </w:r>
          </w:p>
        </w:tc>
        <w:tc>
          <w:tcPr>
            <w:tcW w:w="8303"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1"/>
              </w:rPr>
            </w:pPr>
            <w:r>
              <w:rPr>
                <w:rFonts w:ascii="Times New Roman" w:hAnsi="Times New Roman"/>
                <w:color w:val="000000"/>
                <w:sz w:val="21"/>
              </w:rPr>
              <w:t>The RSUs are subject to all other terms set forth in the Plan.</w:t>
            </w:r>
          </w:p>
        </w:tc>
      </w:tr>
      <w:tr>
        <w:trPr/>
        <w:tc>
          <w:tcPr>
            <w:tcW w:w="1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Plan Incorporation and Conflicting Terms</w:t>
            </w:r>
          </w:p>
        </w:tc>
        <w:tc>
          <w:tcPr>
            <w:tcW w:w="8303"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1"/>
              </w:rPr>
            </w:pPr>
            <w:r>
              <w:rPr>
                <w:rFonts w:ascii="Times New Roman" w:hAnsi="Times New Roman"/>
                <w:color w:val="000000"/>
                <w:sz w:val="21"/>
              </w:rPr>
              <w:t>The Plan is incorporated herein by reference, and, by accepting this Award, the Grantee agrees to be subject to the terms and conditions of the Plan. The Award Agreement and the Plan constitute the entire agreement and understanding of the parties with respect to the RSUs. In the event of any conflict between this Award Agreement and the Plan, the terms of the Plan shall control unless the context indicates otherwise.</w:t>
            </w:r>
          </w:p>
        </w:tc>
      </w:tr>
    </w:tbl>
    <w:p>
      <w:pPr>
        <w:pStyle w:val="TextBody"/>
        <w:bidi w:val="0"/>
        <w:spacing w:before="0" w:after="200"/>
        <w:jc w:val="both"/>
        <w:rPr/>
      </w:pPr>
      <w:r>
        <w:rPr/>
        <w:t> </w:t>
      </w:r>
    </w:p>
    <w:p>
      <w:pPr>
        <w:pStyle w:val="TextBody"/>
        <w:bidi w:val="0"/>
        <w:spacing w:before="0" w:after="200"/>
        <w:jc w:val="both"/>
        <w:rPr/>
      </w:pPr>
      <w:r>
        <w:rPr/>
        <w:t> </w:t>
      </w:r>
    </w:p>
    <w:p>
      <w:pPr>
        <w:pStyle w:val="TextBody"/>
        <w:bidi w:val="0"/>
        <w:jc w:val="center"/>
        <w:rPr>
          <w:rFonts w:ascii="Times New Roman" w:hAnsi="Times New Roman"/>
          <w:color w:val="000000"/>
          <w:sz w:val="21"/>
        </w:rPr>
      </w:pPr>
      <w:r>
        <w:rPr>
          <w:rFonts w:ascii="Times New Roman" w:hAnsi="Times New Roman"/>
          <w:color w:val="000000"/>
          <w:sz w:val="21"/>
        </w:rPr>
        <w:t>-3-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bookmarkStart w:id="62" w:name="kodk-ex10_2.htm"/>
      <w:bookmarkStart w:id="63" w:name="kskodkex10_2"/>
      <w:bookmarkEnd w:id="62"/>
      <w:bookmarkEnd w:id="63"/>
      <w:r>
        <w:rPr>
          <w:rFonts w:ascii="Times New Roman" w:hAnsi="Times New Roman"/>
          <w:b/>
          <w:color w:val="000000"/>
          <w:sz w:val="24"/>
        </w:rPr>
        <w:t>Exhibit 10.2</w:t>
      </w:r>
      <w:r>
        <w:br w:type="page"/>
      </w:r>
    </w:p>
    <w:p>
      <w:pPr>
        <w:pStyle w:val="TextBody"/>
        <w:bidi w:val="0"/>
        <w:jc w:val="center"/>
        <w:rPr>
          <w:rFonts w:ascii="Arial" w:hAnsi="Arial"/>
          <w:b/>
          <w:color w:val="000000"/>
          <w:sz w:val="22"/>
        </w:rPr>
      </w:pPr>
      <w:r>
        <w:rPr>
          <w:rFonts w:ascii="Arial" w:hAnsi="Arial"/>
          <w:b/>
          <w:color w:val="000000"/>
          <w:sz w:val="22"/>
        </w:rPr>
        <w:t>EASTMAN KODAK COMPANY</w:t>
      </w:r>
    </w:p>
    <w:p>
      <w:pPr>
        <w:pStyle w:val="TextBody"/>
        <w:bidi w:val="0"/>
        <w:jc w:val="center"/>
        <w:rPr>
          <w:rFonts w:ascii="Arial" w:hAnsi="Arial"/>
          <w:b/>
          <w:color w:val="000000"/>
          <w:sz w:val="22"/>
        </w:rPr>
      </w:pPr>
      <w:r>
        <w:rPr>
          <w:rFonts w:ascii="Arial" w:hAnsi="Arial"/>
          <w:b/>
          <w:color w:val="000000"/>
          <w:sz w:val="22"/>
        </w:rPr>
        <w:t>Management Bonus Plan – Functional Group (MFP)</w:t>
      </w:r>
    </w:p>
    <w:p>
      <w:pPr>
        <w:pStyle w:val="TextBody"/>
        <w:bidi w:val="0"/>
        <w:jc w:val="center"/>
        <w:rPr/>
      </w:pPr>
      <w:r>
        <w:rPr/>
        <w:t>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General</w:t>
      </w:r>
    </w:p>
    <w:p>
      <w:pPr>
        <w:pStyle w:val="TextBody"/>
        <w:bidi w:val="0"/>
        <w:jc w:val="both"/>
        <w:rPr>
          <w:rFonts w:ascii="Times New Roman" w:hAnsi="Times New Roman"/>
          <w:sz w:val="20"/>
        </w:rPr>
      </w:pPr>
      <w:r>
        <w:rPr>
          <w:rFonts w:ascii="Arial" w:hAnsi="Arial"/>
          <w:color w:val="000000"/>
          <w:sz w:val="22"/>
        </w:rPr>
        <w:t>The Management Bonus Plan – Functional Group (MPF) (“Plan”) is an annual incentive program for eligible participants. The Plan provides an opportunity to earn payouts based on total Company performance against established metrics.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Plan Purpose</w:t>
      </w:r>
    </w:p>
    <w:p>
      <w:pPr>
        <w:pStyle w:val="TextBody"/>
        <w:bidi w:val="0"/>
        <w:jc w:val="both"/>
        <w:rPr>
          <w:rFonts w:ascii="Arial" w:hAnsi="Arial"/>
          <w:color w:val="000000"/>
          <w:sz w:val="22"/>
        </w:rPr>
      </w:pPr>
      <w:r>
        <w:rPr>
          <w:rFonts w:ascii="Arial" w:hAnsi="Arial"/>
          <w:color w:val="000000"/>
          <w:sz w:val="22"/>
        </w:rPr>
        <w:t>The purpose of the Plan is to provide an annual incentive to eligible employees of Eastman Kodak Company (“Company”) to put forth their maximum efforts toward continued growth and success of the Company.</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Eligibility is restricted to key leaders from the Company’s Global Functions that are integral to the support of the Company’s growth initiatives and long-term sustainability. The approved participant list for a performance period is described in Appendix A.</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Eligibility and participation will be reviewed and authorized annually by the Administrator or his or her designee. Changes in participation can be authorized if staffing changes occur throughout the year.</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Participants in this Plan are not eligible for any other Company-sponsored incentive compensation plan.</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The Company’s VP of Human Resources shall be the Administrator (“Administrator”) of the Plan. The Administrator shall have such authority as may be necessary or helpful to enable him or her to discharge the obligations required by the Plan. Without limiting the generality of the foregoing, the Administrator shall have the exclusive right at any time to construe, implement, prescribe, amend, terminate and administer the Plan and to make any other determinations necessary, appropriate, or advisable for the Plan’s administration. The Administrator will have full discretion with respect to determining all questions of Plan interpretation and the payment of awards and all such decisions shall be final, binding, and conclusive upon all participants. The Administrator may delegate such ministerial administrative functions, and with appropriate guidance may delegate such discretionary administrative functions, to designated members of the Company’s Human Resources organization from time to time as the Administrator may consider necessary or convenient.</w:t>
      </w:r>
    </w:p>
    <w:p>
      <w:pPr>
        <w:pStyle w:val="TextBody"/>
        <w:bidi w:val="0"/>
        <w:jc w:val="both"/>
        <w:rPr/>
      </w:pPr>
      <w:r>
        <w:rPr/>
        <w:t> </w:t>
      </w:r>
    </w:p>
    <w:p>
      <w:pPr>
        <w:pStyle w:val="TextBody"/>
        <w:bidi w:val="0"/>
        <w:jc w:val="left"/>
        <w:rPr>
          <w:rFonts w:ascii="Arial" w:hAnsi="Arial"/>
          <w:color w:val="000000"/>
          <w:sz w:val="22"/>
        </w:rPr>
      </w:pPr>
      <w:r>
        <w:rPr>
          <w:rFonts w:ascii="Arial" w:hAnsi="Arial"/>
          <w:color w:val="000000"/>
          <w:sz w:val="22"/>
        </w:rPr>
        <w:t>The Administrator, acting in good faith, is authorized by the Company to modify or delete any part of the Plan for any reason including, without limiting the generality of the foregoing, because he/she deems such part to be inequitable, unsatisfactory or inconsistent with the business objectives of the Company.</w:t>
      </w:r>
    </w:p>
    <w:p>
      <w:pPr>
        <w:pStyle w:val="TextBody"/>
        <w:bidi w:val="0"/>
        <w:jc w:val="left"/>
        <w:rPr>
          <w:rFonts w:ascii="Times New Roman" w:hAnsi="Times New Roman"/>
          <w:sz w:val="20"/>
        </w:rPr>
      </w:pPr>
      <w:r>
        <w:rPr>
          <w:rFonts w:ascii="Arial" w:hAnsi="Arial"/>
          <w:color w:val="000000"/>
          <w:sz w:val="22"/>
        </w:rPr>
        <w:t>Additionally, the Administrator, acting in good faith, is authorized by the Company to modify Plan awards at any time and for any reason at his/her sole discretion.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Unless the Administrator provides otherwise, the performance period is from January 1 to December 31.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r>
        <w:rPr>
          <w:rFonts w:ascii="Times New Roman" w:hAnsi="Times New Roman"/>
          <w:b/>
          <w:color w:val="000000"/>
          <w:sz w:val="24"/>
        </w:rPr>
        <w:t>Exhibit 10.2</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Plan metrics for a performance period are recommended by the Company’s Executive Chairman and CEO (“CEO”) and the VP, Human Resources, and approved by the Compensation, Nominating and Governance Committee (the “Committee”). Metrics for a performance period are included in Appendix B.</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Plan awards (“Awards”) are based upon achievement of metrics identified in Appendix B for the performance period identified in Appendix A.</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The target award amount (“Target”) is calculated as a percentage of base salary at the time the payments are made. Both the target % (“Target Incentive Percent”) and base salary (“Base Salary”) are stored in the Human Resource system of record.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Partial year participation will be pro-rated to include only the time that the participant was participating in the Plan.</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Awards are comprised of one annual payout for the performance period and compares actual performance to full-year target to compute the performance percentage. Performance percentage is then applied to the Target amount to get the final Award amount.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The minimum payout amount is [ ]</w:t>
      </w:r>
      <w:r>
        <w:rPr>
          <w:rFonts w:ascii="Arial" w:hAnsi="Arial"/>
          <w:b/>
          <w:color w:val="000000"/>
          <w:sz w:val="22"/>
        </w:rPr>
        <w:t>%</w:t>
      </w:r>
      <w:r>
        <w:rPr>
          <w:rFonts w:ascii="Times New Roman" w:hAnsi="Times New Roman"/>
          <w:color w:val="000000"/>
          <w:sz w:val="20"/>
        </w:rPr>
        <w:t xml:space="preserve"> </w:t>
      </w:r>
      <w:r>
        <w:rPr>
          <w:rFonts w:ascii="Arial" w:hAnsi="Arial"/>
          <w:color w:val="000000"/>
          <w:sz w:val="22"/>
        </w:rPr>
        <w:t>(due to [ ]% threshold) and the maximum payout amount is [ ]</w:t>
      </w:r>
      <w:r>
        <w:rPr>
          <w:rFonts w:ascii="Arial" w:hAnsi="Arial"/>
          <w:b/>
          <w:color w:val="000000"/>
          <w:sz w:val="22"/>
        </w:rPr>
        <w:t>%</w:t>
      </w:r>
      <w:r>
        <w:rPr>
          <w:rFonts w:ascii="Times New Roman" w:hAnsi="Times New Roman"/>
          <w:color w:val="000000"/>
          <w:sz w:val="20"/>
        </w:rPr>
        <w:t xml:space="preserve"> </w:t>
      </w:r>
      <w:r>
        <w:rPr>
          <w:rFonts w:ascii="Arial" w:hAnsi="Arial"/>
          <w:color w:val="000000"/>
          <w:sz w:val="22"/>
        </w:rPr>
        <w:t>of target.</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The CEO can perform both positive and negative discretion on payout amounts.</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All Awards shall be processed in local currency and are subject to applicable statutory withholding requirements. Payments will be processed as part of the normal payroll cycle.</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Awards will be paid in the calendar year following the performance period as soon as administratively practicable after approval of performance against the applicable metrics for the performance period, but no later than March 15 of such year.</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Awards paid under the Plan are intended to be ”benefits bearing,” meaning any active SIP (401k) elections will apply to Awards when paid and the Award amount will be included in pensionable earnings for Cash Balance contributions under the Kodak Cash Balance Plan (KCBP).</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Except as otherwise provided below, if a participant leaves the Company, either voluntarily or involuntarily, the participant will immediately forfeit their Award under the Plan on the date of separation.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If a participant is involuntarily terminated without cause, the participant will only be entitled to payment of their Award under the Plan on a prorated basis, excluding any applicable garden leave if offered.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If a participant voluntarily resigns or is terminated with cause, the participant will immediately forfeit their Award under the Plan.</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r>
        <w:rPr>
          <w:rFonts w:ascii="Times New Roman" w:hAnsi="Times New Roman"/>
          <w:b/>
          <w:color w:val="000000"/>
          <w:sz w:val="24"/>
        </w:rPr>
        <w:t>Exhibit 10.2</w:t>
      </w:r>
    </w:p>
    <w:p>
      <w:pPr>
        <w:pStyle w:val="TextBody"/>
        <w:bidi w:val="0"/>
        <w:jc w:val="both"/>
        <w:rPr>
          <w:rFonts w:ascii="Arial" w:hAnsi="Arial"/>
          <w:color w:val="000000"/>
          <w:sz w:val="22"/>
        </w:rPr>
      </w:pPr>
      <w:r>
        <w:rPr>
          <w:rFonts w:ascii="Arial" w:hAnsi="Arial"/>
          <w:color w:val="000000"/>
          <w:sz w:val="22"/>
        </w:rPr>
        <w:t>Awards will be determined based on year-end performance results for the performance period, subject to adjustment by the CEO, but Target will be pro-rated based on length of time actively employed by Company.</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Any Award overpayment that results from an administrative error in the calculation of the Award amount shall be collected back from the participant.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In the case where an employee has been overpaid their regular salary due to an administrative error, overpayment can be collected through the Award, if applicable, and to the extent permissible under applicable law.</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In addition, Awards under the Plan shall be subject to any clawback or recoupment policy that the Company may adopt from time to time, including, but not limited to, the Company’s Compensation Recoupment (Clawback) Policy, if applicable.</w:t>
      </w:r>
    </w:p>
    <w:p>
      <w:pPr>
        <w:pStyle w:val="TextBody"/>
        <w:bidi w:val="0"/>
        <w:jc w:val="left"/>
        <w:rPr/>
      </w:pPr>
      <w:r>
        <w:rPr/>
        <w:t>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No Assignability</w:t>
      </w:r>
    </w:p>
    <w:p>
      <w:pPr>
        <w:pStyle w:val="TextBody"/>
        <w:bidi w:val="0"/>
        <w:jc w:val="both"/>
        <w:rPr>
          <w:rFonts w:ascii="Arial" w:hAnsi="Arial"/>
          <w:color w:val="000000"/>
          <w:sz w:val="22"/>
        </w:rPr>
      </w:pPr>
      <w:r>
        <w:rPr>
          <w:rFonts w:ascii="Arial" w:hAnsi="Arial"/>
          <w:color w:val="000000"/>
          <w:sz w:val="22"/>
        </w:rPr>
        <w:t>No Awards under the Plan shall be subject in any manner to alienation, anticipation, sale, transfer (except by will or the laws of descent and distribution), assignment, pledge, or encumbrance, nor shall any Award be payable to anyone other than the participant to whom it was granted.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Amendments to Awards</w:t>
      </w:r>
    </w:p>
    <w:p>
      <w:pPr>
        <w:pStyle w:val="TextBody"/>
        <w:bidi w:val="0"/>
        <w:jc w:val="both"/>
        <w:rPr>
          <w:rFonts w:ascii="Arial" w:hAnsi="Arial"/>
          <w:color w:val="000000"/>
          <w:sz w:val="22"/>
        </w:rPr>
      </w:pPr>
      <w:r>
        <w:rPr>
          <w:rFonts w:ascii="Arial" w:hAnsi="Arial"/>
          <w:color w:val="000000"/>
          <w:sz w:val="22"/>
        </w:rPr>
        <w:t>The Administrator may at any time unilaterally amend any unearned or unpaid Award, including, but not by way of limitation, Awards earned but not yet paid, to the extent it deems appropriate; provided, however, it will exercise this authority in compliance with the requirements of Code Section 409A.</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No Right to Continued Employment or Grants</w:t>
      </w:r>
    </w:p>
    <w:p>
      <w:pPr>
        <w:pStyle w:val="TextBody"/>
        <w:bidi w:val="0"/>
        <w:jc w:val="both"/>
        <w:rPr>
          <w:rFonts w:ascii="Times New Roman" w:hAnsi="Times New Roman"/>
          <w:sz w:val="20"/>
        </w:rPr>
      </w:pPr>
      <w:r>
        <w:rPr>
          <w:rFonts w:ascii="Arial" w:hAnsi="Arial"/>
          <w:color w:val="000000"/>
          <w:sz w:val="22"/>
        </w:rPr>
        <w:t>Participation in the Plan shall not give a participant any right to remain in the employ of the Company. Kodak or, in the case of employment with a subsidiary, the subsidiary, reserves the right to terminate any employee at any time.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Amendment/Termination</w:t>
      </w:r>
    </w:p>
    <w:p>
      <w:pPr>
        <w:pStyle w:val="TextBody"/>
        <w:bidi w:val="0"/>
        <w:jc w:val="both"/>
        <w:rPr>
          <w:rFonts w:ascii="Times New Roman" w:hAnsi="Times New Roman"/>
          <w:sz w:val="20"/>
        </w:rPr>
      </w:pPr>
      <w:r>
        <w:rPr>
          <w:rFonts w:ascii="Arial" w:hAnsi="Arial"/>
          <w:color w:val="000000"/>
          <w:sz w:val="22"/>
        </w:rPr>
        <w:t>The Administrator may suspend or terminate the Plan at any time with or without prior notice. Termination of the Plan will not accelerate payment of awards unless such acceleration is permissible under Section 409A and the Administrator, in his or her sole discretion, authorizes such acceleration. In addition, the Administrator may, from time to time and with or without prior notice, amend the Plan in any manner subject to Section 409A.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Entire Plan</w:t>
      </w:r>
    </w:p>
    <w:p>
      <w:pPr>
        <w:pStyle w:val="TextBody"/>
        <w:bidi w:val="0"/>
        <w:jc w:val="both"/>
        <w:rPr>
          <w:rFonts w:ascii="Arial" w:hAnsi="Arial"/>
          <w:color w:val="000000"/>
          <w:sz w:val="22"/>
        </w:rPr>
      </w:pPr>
      <w:r>
        <w:rPr>
          <w:rFonts w:ascii="Arial" w:hAnsi="Arial"/>
          <w:color w:val="000000"/>
          <w:sz w:val="22"/>
        </w:rPr>
        <w:t>The Plan document contains the full terms and conditions of the Plan for Plan participants. This document specifically supersedes any Plan descriptions described previously in other documents or papers and any prior oral statements made to persons participating in the Plan.</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Governing Law</w:t>
      </w:r>
    </w:p>
    <w:p>
      <w:pPr>
        <w:pStyle w:val="TextBody"/>
        <w:bidi w:val="0"/>
        <w:jc w:val="both"/>
        <w:rPr>
          <w:rFonts w:ascii="Arial" w:hAnsi="Arial"/>
          <w:color w:val="000000"/>
          <w:sz w:val="22"/>
        </w:rPr>
      </w:pPr>
      <w:r>
        <w:rPr>
          <w:rFonts w:ascii="Arial" w:hAnsi="Arial"/>
          <w:color w:val="000000"/>
          <w:sz w:val="22"/>
        </w:rPr>
        <w:t>The Plan shall be governed by and construed in accordance with the laws of the State of New York, except as superseded by other applicable Law, without giving effect to its conflicts of law provisions.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r>
        <w:rPr>
          <w:rFonts w:ascii="Times New Roman" w:hAnsi="Times New Roman"/>
          <w:b/>
          <w:color w:val="000000"/>
          <w:sz w:val="24"/>
        </w:rPr>
        <w:t>Exhibit 10.2</w:t>
      </w:r>
    </w:p>
    <w:p>
      <w:pPr>
        <w:pStyle w:val="TextBody"/>
        <w:bidi w:val="0"/>
        <w:jc w:val="both"/>
        <w:rPr>
          <w:rFonts w:ascii="Arial" w:hAnsi="Arial"/>
          <w:b/>
          <w:color w:val="000000"/>
          <w:sz w:val="22"/>
        </w:rPr>
      </w:pPr>
      <w:r>
        <w:rPr>
          <w:rFonts w:ascii="Arial" w:hAnsi="Arial"/>
          <w:b/>
          <w:color w:val="000000"/>
          <w:sz w:val="22"/>
        </w:rPr>
        <w:t>No Right, Title, or Interest in Company Assets</w:t>
      </w:r>
    </w:p>
    <w:p>
      <w:pPr>
        <w:pStyle w:val="TextBody"/>
        <w:bidi w:val="0"/>
        <w:jc w:val="both"/>
        <w:rPr>
          <w:rFonts w:ascii="Arial" w:hAnsi="Arial"/>
          <w:color w:val="000000"/>
          <w:sz w:val="22"/>
        </w:rPr>
      </w:pPr>
      <w:r>
        <w:rPr>
          <w:rFonts w:ascii="Arial" w:hAnsi="Arial"/>
          <w:color w:val="000000"/>
          <w:sz w:val="22"/>
        </w:rPr>
        <w:t>To the extent any person acquires a right to receive payments from the Company under this Plan, such rights shall be no greater than the rights of an unsecured creditor of the Company and the participant shall not have any rights in or against any specific assets of the Company. All Awards granted under the Plan shall be unfunded.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Section 409A</w:t>
      </w:r>
    </w:p>
    <w:p>
      <w:pPr>
        <w:pStyle w:val="TextBody"/>
        <w:bidi w:val="0"/>
        <w:jc w:val="both"/>
        <w:rPr>
          <w:rFonts w:ascii="Arial" w:hAnsi="Arial"/>
          <w:color w:val="000000"/>
          <w:sz w:val="22"/>
        </w:rPr>
      </w:pPr>
      <w:r>
        <w:rPr>
          <w:rFonts w:ascii="Arial" w:hAnsi="Arial"/>
          <w:color w:val="000000"/>
          <w:sz w:val="22"/>
        </w:rPr>
        <w:t>The Plan is intended to comply with Section 409A of the internal Revenue Code of 1986, as amended, and the Treasury Regulations promulgated and other official guidance issued thereunder (Section 409A), and the terms and conditions of this Plan shall be interpreted and construed accordingly. Notwithstanding the foregoing, the Company makes no representations that the Awards under the Plan are exempt from or comply with Section 409A, and in no event shall the Company or any of its subsidiaries or affiliates be liable for all or any portion of any taxes, penalties, interest or other expenses that may be incurred by a Participant on account of non-compliance with Section 409A. Notwithstanding any other provision in the Plan to the contrary, in no event shall any payment under the Plan be subject to offset by any other amount unless permitted by Section 409A.</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No Guarantee of Tax Consequences</w:t>
      </w:r>
    </w:p>
    <w:p>
      <w:pPr>
        <w:pStyle w:val="TextBody"/>
        <w:bidi w:val="0"/>
        <w:jc w:val="both"/>
        <w:rPr>
          <w:rFonts w:ascii="Arial" w:hAnsi="Arial"/>
          <w:color w:val="000000"/>
          <w:sz w:val="22"/>
        </w:rPr>
      </w:pPr>
      <w:r>
        <w:rPr>
          <w:rFonts w:ascii="Arial" w:hAnsi="Arial"/>
          <w:color w:val="000000"/>
          <w:sz w:val="22"/>
        </w:rPr>
        <w:t>No person connected with the Plan in any capacity, including, but not limited to, Kodak and its Subsidiaries and their directors, officers, agents and employees makes any representation, commitment, or guarantee that any tax treatment, including, but not limited to, Federal, state and local income, estate and gift tax treatment, will be applicable with respect to amounts deferred under the Plan, or paid to or for the benefit of a participant under the Plan, or that such tax treatment will apply to or be available to a participant on account of participation in the Plan.</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r>
        <w:rPr>
          <w:rFonts w:ascii="Times New Roman" w:hAnsi="Times New Roman"/>
          <w:b/>
          <w:color w:val="000000"/>
          <w:sz w:val="24"/>
        </w:rPr>
        <w:t>Exhibit 10.2</w:t>
      </w:r>
    </w:p>
    <w:p>
      <w:pPr>
        <w:pStyle w:val="TextBody"/>
        <w:bidi w:val="0"/>
        <w:jc w:val="center"/>
        <w:rPr>
          <w:rFonts w:ascii="Arial" w:hAnsi="Arial"/>
          <w:b/>
          <w:color w:val="000000"/>
          <w:sz w:val="22"/>
        </w:rPr>
      </w:pPr>
      <w:r>
        <w:rPr>
          <w:rFonts w:ascii="Arial" w:hAnsi="Arial"/>
          <w:b/>
          <w:color w:val="000000"/>
          <w:sz w:val="22"/>
        </w:rPr>
        <w:t>Appendix A</w:t>
      </w:r>
    </w:p>
    <w:p>
      <w:pPr>
        <w:pStyle w:val="TextBody"/>
        <w:bidi w:val="0"/>
        <w:jc w:val="center"/>
        <w:rPr>
          <w:rFonts w:ascii="Times New Roman" w:hAnsi="Times New Roman"/>
          <w:sz w:val="20"/>
        </w:rPr>
      </w:pPr>
      <w:r>
        <w:rPr>
          <w:rFonts w:ascii="Arial" w:hAnsi="Arial"/>
          <w:b/>
          <w:color w:val="000000"/>
          <w:sz w:val="22"/>
        </w:rPr>
        <w:t>Management Bonus Plan – Functional Group</w:t>
      </w:r>
      <w:r>
        <w:rPr>
          <w:rFonts w:ascii="Times New Roman" w:hAnsi="Times New Roman"/>
          <w:color w:val="000000"/>
          <w:sz w:val="20"/>
        </w:rPr>
        <w:t xml:space="preserve"> </w:t>
      </w:r>
    </w:p>
    <w:p>
      <w:pPr>
        <w:pStyle w:val="TextBody"/>
        <w:bidi w:val="0"/>
        <w:jc w:val="center"/>
        <w:rPr>
          <w:rFonts w:ascii="Arial" w:hAnsi="Arial"/>
          <w:b/>
          <w:color w:val="000000"/>
          <w:sz w:val="22"/>
        </w:rPr>
      </w:pPr>
      <w:r>
        <w:rPr>
          <w:rFonts w:ascii="Arial" w:hAnsi="Arial"/>
          <w:b/>
          <w:color w:val="000000"/>
          <w:sz w:val="22"/>
        </w:rPr>
        <w:t>Eligibility</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r>
        <w:rPr>
          <w:rFonts w:ascii="Times New Roman" w:hAnsi="Times New Roman"/>
          <w:b/>
          <w:color w:val="000000"/>
          <w:sz w:val="24"/>
        </w:rPr>
        <w:t>Exhibit 10.2</w:t>
      </w:r>
    </w:p>
    <w:p>
      <w:pPr>
        <w:pStyle w:val="TextBody"/>
        <w:bidi w:val="0"/>
        <w:jc w:val="center"/>
        <w:rPr>
          <w:rFonts w:ascii="Arial" w:hAnsi="Arial"/>
          <w:b/>
          <w:color w:val="000000"/>
          <w:sz w:val="24"/>
        </w:rPr>
      </w:pPr>
      <w:r>
        <w:rPr>
          <w:rFonts w:ascii="Arial" w:hAnsi="Arial"/>
          <w:b/>
          <w:color w:val="000000"/>
          <w:sz w:val="24"/>
        </w:rPr>
        <w:t>Appendix B</w:t>
      </w:r>
    </w:p>
    <w:p>
      <w:pPr>
        <w:pStyle w:val="TextBody"/>
        <w:bidi w:val="0"/>
        <w:jc w:val="center"/>
        <w:rPr>
          <w:rFonts w:ascii="Arial" w:hAnsi="Arial"/>
          <w:b/>
          <w:color w:val="000000"/>
          <w:sz w:val="24"/>
        </w:rPr>
      </w:pPr>
      <w:r>
        <w:rPr>
          <w:rFonts w:ascii="Arial" w:hAnsi="Arial"/>
          <w:b/>
          <w:color w:val="000000"/>
          <w:sz w:val="24"/>
        </w:rPr>
        <w:t>Management Bonus Plan – Functional Group Metrics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19"/>
        </w:rPr>
      </w:pPr>
      <w:bookmarkStart w:id="64" w:name="kodk-ex31_1.htm"/>
      <w:bookmarkStart w:id="65" w:name="kskodkex31_1"/>
      <w:bookmarkEnd w:id="64"/>
      <w:bookmarkEnd w:id="65"/>
      <w:r>
        <w:rPr>
          <w:rFonts w:ascii="sans-serif" w:hAnsi="sans-serif"/>
          <w:b/>
          <w:color w:val="000000"/>
          <w:sz w:val="19"/>
        </w:rPr>
        <w:t>Exhibit (31.1)</w:t>
      </w:r>
      <w:r>
        <w:br w:type="page"/>
      </w:r>
    </w:p>
    <w:p>
      <w:pPr>
        <w:pStyle w:val="TextBody"/>
        <w:bidi w:val="0"/>
        <w:jc w:val="center"/>
        <w:rPr>
          <w:rFonts w:ascii="sans-serif" w:hAnsi="sans-serif"/>
          <w:b/>
          <w:color w:val="000000"/>
          <w:sz w:val="19"/>
        </w:rPr>
      </w:pPr>
      <w:r>
        <w:rPr>
          <w:rFonts w:ascii="sans-serif" w:hAnsi="sans-serif"/>
          <w:b/>
          <w:color w:val="000000"/>
          <w:sz w:val="19"/>
        </w:rPr>
        <w:t>CERTIFICATION</w:t>
      </w:r>
    </w:p>
    <w:p>
      <w:pPr>
        <w:pStyle w:val="TextBody"/>
        <w:bidi w:val="0"/>
        <w:jc w:val="center"/>
        <w:rPr/>
      </w:pPr>
      <w:r>
        <w:rPr/>
        <w:t> </w:t>
      </w:r>
    </w:p>
    <w:p>
      <w:pPr>
        <w:pStyle w:val="TextBody"/>
        <w:bidi w:val="0"/>
        <w:jc w:val="left"/>
        <w:rPr>
          <w:rFonts w:ascii="sans-serif" w:hAnsi="sans-serif"/>
          <w:color w:val="000000"/>
          <w:sz w:val="19"/>
        </w:rPr>
      </w:pPr>
      <w:r>
        <w:rPr>
          <w:rFonts w:ascii="sans-serif" w:hAnsi="sans-serif"/>
          <w:color w:val="000000"/>
          <w:sz w:val="19"/>
        </w:rPr>
        <w:t>I, James V. Continenza, certify that: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1)</w:t>
      </w:r>
    </w:p>
    <w:p>
      <w:pPr>
        <w:pStyle w:val="TextBody"/>
        <w:bidi w:val="0"/>
        <w:jc w:val="left"/>
        <w:rPr>
          <w:rFonts w:ascii="sans-serif" w:hAnsi="sans-serif"/>
          <w:color w:val="000000"/>
          <w:sz w:val="19"/>
        </w:rPr>
      </w:pPr>
      <w:r>
        <w:rPr>
          <w:rFonts w:ascii="sans-serif" w:hAnsi="sans-serif"/>
          <w:color w:val="000000"/>
          <w:sz w:val="19"/>
        </w:rPr>
        <w:t>I have reviewed this Form 10-Q of Eastman Kodak Company;</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2)</w:t>
      </w:r>
    </w:p>
    <w:p>
      <w:pPr>
        <w:pStyle w:val="TextBody"/>
        <w:bidi w:val="0"/>
        <w:jc w:val="left"/>
        <w:rPr>
          <w:rFonts w:ascii="sans-serif" w:hAnsi="sans-serif"/>
          <w:color w:val="000000"/>
          <w:sz w:val="19"/>
        </w:rPr>
      </w:pPr>
      <w:r>
        <w:rPr>
          <w:rFonts w:ascii="sans-serif" w:hAnsi="sans-serif"/>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3)</w:t>
      </w:r>
    </w:p>
    <w:p>
      <w:pPr>
        <w:pStyle w:val="TextBody"/>
        <w:bidi w:val="0"/>
        <w:jc w:val="left"/>
        <w:rPr>
          <w:rFonts w:ascii="sans-serif" w:hAnsi="sans-serif"/>
          <w:color w:val="000000"/>
          <w:sz w:val="19"/>
        </w:rPr>
      </w:pPr>
      <w:r>
        <w:rPr>
          <w:rFonts w:ascii="sans-serif" w:hAnsi="sans-serif"/>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4)</w:t>
      </w:r>
    </w:p>
    <w:p>
      <w:pPr>
        <w:pStyle w:val="TextBody"/>
        <w:bidi w:val="0"/>
        <w:jc w:val="left"/>
        <w:rPr>
          <w:rFonts w:ascii="sans-serif" w:hAnsi="sans-serif"/>
          <w:color w:val="000000"/>
          <w:sz w:val="19"/>
        </w:rPr>
      </w:pPr>
      <w:r>
        <w:rPr>
          <w:rFonts w:ascii="sans-serif" w:hAnsi="sans-serif"/>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5)</w:t>
      </w:r>
    </w:p>
    <w:p>
      <w:pPr>
        <w:pStyle w:val="TextBody"/>
        <w:bidi w:val="0"/>
        <w:jc w:val="left"/>
        <w:rPr>
          <w:rFonts w:ascii="sans-serif" w:hAnsi="sans-serif"/>
          <w:color w:val="000000"/>
          <w:sz w:val="19"/>
        </w:rPr>
      </w:pPr>
      <w:r>
        <w:rPr>
          <w:rFonts w:ascii="sans-serif" w:hAnsi="sans-serif"/>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u w:val="single"/>
        </w:rPr>
      </w:pPr>
      <w:r>
        <w:rPr>
          <w:rFonts w:ascii="sans-serif" w:hAnsi="sans-serif"/>
          <w:color w:val="000000"/>
          <w:sz w:val="19"/>
          <w:u w:val="single"/>
        </w:rPr>
        <w:t>/s/ James V. Continenza</w:t>
      </w:r>
    </w:p>
    <w:p>
      <w:pPr>
        <w:pStyle w:val="TextBody"/>
        <w:bidi w:val="0"/>
        <w:jc w:val="left"/>
        <w:rPr>
          <w:rFonts w:ascii="sans-serif" w:hAnsi="sans-serif"/>
          <w:color w:val="000000"/>
          <w:sz w:val="19"/>
        </w:rPr>
      </w:pPr>
      <w:r>
        <w:rPr>
          <w:rFonts w:ascii="sans-serif" w:hAnsi="sans-serif"/>
          <w:color w:val="000000"/>
          <w:sz w:val="19"/>
        </w:rPr>
        <w:t>James V. Continenza</w:t>
      </w:r>
    </w:p>
    <w:p>
      <w:pPr>
        <w:pStyle w:val="TextBody"/>
        <w:bidi w:val="0"/>
        <w:jc w:val="left"/>
        <w:rPr>
          <w:rFonts w:ascii="sans-serif" w:hAnsi="sans-serif"/>
          <w:color w:val="000000"/>
          <w:sz w:val="19"/>
        </w:rPr>
      </w:pPr>
      <w:r>
        <w:rPr>
          <w:rFonts w:ascii="sans-serif" w:hAnsi="sans-serif"/>
          <w:color w:val="000000"/>
          <w:sz w:val="19"/>
        </w:rPr>
        <w:t>Executive Chairman and</w:t>
      </w:r>
    </w:p>
    <w:p>
      <w:pPr>
        <w:pStyle w:val="TextBody"/>
        <w:bidi w:val="0"/>
        <w:jc w:val="left"/>
        <w:rPr>
          <w:rFonts w:ascii="sans-serif" w:hAnsi="sans-serif"/>
          <w:color w:val="000000"/>
          <w:sz w:val="19"/>
        </w:rPr>
      </w:pPr>
      <w:r>
        <w:rPr>
          <w:rFonts w:ascii="sans-serif" w:hAnsi="sans-serif"/>
          <w:color w:val="000000"/>
          <w:sz w:val="19"/>
        </w:rPr>
        <w:t>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Date: May 7, 2026</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19"/>
        </w:rPr>
      </w:pPr>
      <w:bookmarkStart w:id="66" w:name="kodk-ex31_2.htm"/>
      <w:bookmarkStart w:id="67" w:name="kskodkex31_2"/>
      <w:bookmarkEnd w:id="66"/>
      <w:bookmarkEnd w:id="67"/>
      <w:r>
        <w:rPr>
          <w:rFonts w:ascii="sans-serif" w:hAnsi="sans-serif"/>
          <w:b/>
          <w:color w:val="000000"/>
          <w:sz w:val="19"/>
        </w:rPr>
        <w:t>Exhibit (31.2)</w:t>
      </w:r>
      <w:r>
        <w:br w:type="page"/>
      </w:r>
    </w:p>
    <w:p>
      <w:pPr>
        <w:pStyle w:val="TextBody"/>
        <w:bidi w:val="0"/>
        <w:jc w:val="center"/>
        <w:rPr>
          <w:rFonts w:ascii="sans-serif" w:hAnsi="sans-serif"/>
          <w:b/>
          <w:color w:val="000000"/>
          <w:sz w:val="19"/>
        </w:rPr>
      </w:pPr>
      <w:r>
        <w:rPr>
          <w:rFonts w:ascii="sans-serif" w:hAnsi="sans-serif"/>
          <w:b/>
          <w:color w:val="000000"/>
          <w:sz w:val="19"/>
        </w:rPr>
        <w:t>CERTIFICATION</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I, David E. Bullwinkle, certify that: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1)</w:t>
      </w:r>
    </w:p>
    <w:p>
      <w:pPr>
        <w:pStyle w:val="TextBody"/>
        <w:bidi w:val="0"/>
        <w:jc w:val="left"/>
        <w:rPr>
          <w:rFonts w:ascii="sans-serif" w:hAnsi="sans-serif"/>
          <w:color w:val="000000"/>
          <w:sz w:val="19"/>
        </w:rPr>
      </w:pPr>
      <w:r>
        <w:rPr>
          <w:rFonts w:ascii="sans-serif" w:hAnsi="sans-serif"/>
          <w:color w:val="000000"/>
          <w:sz w:val="19"/>
        </w:rPr>
        <w:t>I have reviewed this Form 10-Q of Eastman Kodak Company;</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2)</w:t>
      </w:r>
    </w:p>
    <w:p>
      <w:pPr>
        <w:pStyle w:val="TextBody"/>
        <w:bidi w:val="0"/>
        <w:jc w:val="left"/>
        <w:rPr>
          <w:rFonts w:ascii="sans-serif" w:hAnsi="sans-serif"/>
          <w:color w:val="000000"/>
          <w:sz w:val="19"/>
        </w:rPr>
      </w:pPr>
      <w:r>
        <w:rPr>
          <w:rFonts w:ascii="sans-serif" w:hAnsi="sans-serif"/>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3)</w:t>
      </w:r>
    </w:p>
    <w:p>
      <w:pPr>
        <w:pStyle w:val="TextBody"/>
        <w:bidi w:val="0"/>
        <w:jc w:val="left"/>
        <w:rPr>
          <w:rFonts w:ascii="sans-serif" w:hAnsi="sans-serif"/>
          <w:color w:val="000000"/>
          <w:sz w:val="19"/>
        </w:rPr>
      </w:pPr>
      <w:r>
        <w:rPr>
          <w:rFonts w:ascii="sans-serif" w:hAnsi="sans-serif"/>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4)</w:t>
      </w:r>
    </w:p>
    <w:p>
      <w:pPr>
        <w:pStyle w:val="TextBody"/>
        <w:bidi w:val="0"/>
        <w:jc w:val="left"/>
        <w:rPr>
          <w:rFonts w:ascii="sans-serif" w:hAnsi="sans-serif"/>
          <w:color w:val="000000"/>
          <w:sz w:val="19"/>
        </w:rPr>
      </w:pPr>
      <w:r>
        <w:rPr>
          <w:rFonts w:ascii="sans-serif" w:hAnsi="sans-serif"/>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Calibri" w:hAnsi="Calibri"/>
          <w:color w:val="000000"/>
          <w:sz w:val="19"/>
        </w:rPr>
      </w:pPr>
      <w:r>
        <w:rPr>
          <w:rFonts w:ascii="Calibri" w:hAnsi="Calibri"/>
          <w:color w:val="000000"/>
          <w:sz w:val="19"/>
        </w:rPr>
        <w:t>5)</w:t>
      </w:r>
    </w:p>
    <w:p>
      <w:pPr>
        <w:pStyle w:val="TextBody"/>
        <w:bidi w:val="0"/>
        <w:jc w:val="left"/>
        <w:rPr>
          <w:rFonts w:ascii="sans-serif" w:hAnsi="sans-serif"/>
          <w:color w:val="000000"/>
          <w:sz w:val="19"/>
        </w:rPr>
      </w:pPr>
      <w:r>
        <w:rPr>
          <w:rFonts w:ascii="sans-serif" w:hAnsi="sans-serif"/>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u w:val="single"/>
        </w:rPr>
      </w:pPr>
      <w:r>
        <w:rPr>
          <w:rFonts w:ascii="sans-serif" w:hAnsi="sans-serif"/>
          <w:color w:val="000000"/>
          <w:sz w:val="19"/>
          <w:u w:val="single"/>
        </w:rPr>
        <w:t>/s/ David E. Bullwinkle</w:t>
      </w:r>
    </w:p>
    <w:p>
      <w:pPr>
        <w:pStyle w:val="TextBody"/>
        <w:bidi w:val="0"/>
        <w:jc w:val="left"/>
        <w:rPr>
          <w:rFonts w:ascii="sans-serif" w:hAnsi="sans-serif"/>
          <w:color w:val="000000"/>
          <w:sz w:val="19"/>
        </w:rPr>
      </w:pPr>
      <w:r>
        <w:rPr>
          <w:rFonts w:ascii="sans-serif" w:hAnsi="sans-serif"/>
          <w:color w:val="000000"/>
          <w:sz w:val="19"/>
        </w:rPr>
        <w:t>David E. Bullwinkle</w:t>
      </w:r>
    </w:p>
    <w:p>
      <w:pPr>
        <w:pStyle w:val="TextBody"/>
        <w:bidi w:val="0"/>
        <w:jc w:val="left"/>
        <w:rPr>
          <w:rFonts w:ascii="Times New Roman" w:hAnsi="Times New Roman"/>
          <w:sz w:val="20"/>
        </w:rPr>
      </w:pPr>
      <w:r>
        <w:rPr>
          <w:rFonts w:ascii="sans-serif" w:hAnsi="sans-serif"/>
          <w:color w:val="000000"/>
          <w:sz w:val="19"/>
        </w:rPr>
        <w:t xml:space="preserve">Chief Financial Officer </w:t>
      </w:r>
      <w:r>
        <w:rPr>
          <w:rFonts w:ascii="sans-serif" w:hAnsi="sans-serif"/>
          <w:color w:val="000000"/>
          <w:sz w:val="20"/>
        </w:rPr>
        <w:t>and</w:t>
      </w:r>
    </w:p>
    <w:p>
      <w:pPr>
        <w:pStyle w:val="TextBody"/>
        <w:bidi w:val="0"/>
        <w:jc w:val="left"/>
        <w:rPr>
          <w:rFonts w:ascii="sans-serif" w:hAnsi="sans-serif"/>
          <w:color w:val="000000"/>
          <w:sz w:val="20"/>
        </w:rPr>
      </w:pPr>
      <w:r>
        <w:rPr>
          <w:rFonts w:ascii="sans-serif" w:hAnsi="sans-serif"/>
          <w:color w:val="000000"/>
          <w:sz w:val="20"/>
        </w:rPr>
        <w:t>Senior Vice President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Date: May 7, 2026</w:t>
      </w:r>
    </w:p>
    <w:p>
      <w:pPr>
        <w:pStyle w:val="HorizontalLine"/>
        <w:pBdr>
          <w:bottom w:val="double" w:sz="2" w:space="0" w:color="808080"/>
        </w:pBdr>
        <w:bidi w:val="0"/>
        <w:spacing w:before="0" w:after="283"/>
        <w:jc w:val="left"/>
        <w:rPr/>
      </w:pPr>
      <w:r>
        <w:rPr/>
      </w:r>
    </w:p>
    <w:p>
      <w:pPr>
        <w:pStyle w:val="TextBody"/>
        <w:bidi w:val="0"/>
        <w:jc w:val="right"/>
        <w:rPr/>
      </w:pPr>
      <w:bookmarkStart w:id="68" w:name="kodk-ex32_1.htm"/>
      <w:bookmarkStart w:id="69" w:name="kskodkex32_1"/>
      <w:bookmarkEnd w:id="68"/>
      <w:bookmarkEnd w:id="69"/>
      <w:r>
        <w:rPr/>
        <w:t> </w:t>
      </w:r>
      <w:r>
        <w:br w:type="page"/>
      </w:r>
    </w:p>
    <w:p>
      <w:pPr>
        <w:pStyle w:val="TextBody"/>
        <w:bidi w:val="0"/>
        <w:jc w:val="right"/>
        <w:rPr>
          <w:rFonts w:ascii="sans-serif" w:hAnsi="sans-serif"/>
          <w:b/>
          <w:color w:val="000000"/>
          <w:sz w:val="20"/>
        </w:rPr>
      </w:pPr>
      <w:r>
        <w:rPr>
          <w:rFonts w:ascii="sans-serif" w:hAnsi="sans-serif"/>
          <w:b/>
          <w:color w:val="000000"/>
          <w:sz w:val="20"/>
        </w:rPr>
        <w:t>Exhibit (32.1)</w:t>
      </w:r>
    </w:p>
    <w:p>
      <w:pPr>
        <w:pStyle w:val="TextBody"/>
        <w:bidi w:val="0"/>
        <w:jc w:val="center"/>
        <w:rPr>
          <w:rFonts w:ascii="Times New Roman" w:hAnsi="Times New Roman"/>
          <w:sz w:val="20"/>
        </w:rPr>
      </w:pPr>
      <w:r>
        <w:rPr>
          <w:rFonts w:ascii="sans-serif" w:hAnsi="sans-serif"/>
          <w:b/>
          <w:color w:val="000000"/>
          <w:sz w:val="20"/>
        </w:rPr>
        <w:t>CERTIFICATION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18 U.S.C. Section 1350,</w:t>
      </w:r>
    </w:p>
    <w:p>
      <w:pPr>
        <w:pStyle w:val="TextBody"/>
        <w:bidi w:val="0"/>
        <w:jc w:val="center"/>
        <w:rPr>
          <w:rFonts w:ascii="Times New Roman" w:hAnsi="Times New Roman"/>
          <w:sz w:val="20"/>
        </w:rPr>
      </w:pPr>
      <w:r>
        <w:rPr>
          <w:rFonts w:ascii="sans-serif" w:hAnsi="sans-serif"/>
          <w:b/>
          <w:color w:val="000000"/>
          <w:sz w:val="20"/>
        </w:rPr>
        <w:t>AS ADOPTED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jc w:val="center"/>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connection with the Quarterly Report of Eastman Kodak Company (the "Company") on Form 10-Q for the period ended March 31, 2026,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u w:val="single"/>
        </w:rPr>
      </w:pPr>
      <w:r>
        <w:rPr>
          <w:rFonts w:ascii="sans-serif" w:hAnsi="sans-serif"/>
          <w:color w:val="000000"/>
          <w:sz w:val="20"/>
          <w:u w:val="single"/>
        </w:rPr>
        <w:t>/s/ James V. Continenza</w:t>
      </w:r>
    </w:p>
    <w:p>
      <w:pPr>
        <w:pStyle w:val="TextBody"/>
        <w:bidi w:val="0"/>
        <w:jc w:val="left"/>
        <w:rPr>
          <w:rFonts w:ascii="sans-serif" w:hAnsi="sans-serif"/>
          <w:color w:val="000000"/>
          <w:sz w:val="20"/>
        </w:rPr>
      </w:pPr>
      <w:r>
        <w:rPr>
          <w:rFonts w:ascii="sans-serif" w:hAnsi="sans-serif"/>
          <w:color w:val="000000"/>
          <w:sz w:val="20"/>
        </w:rPr>
        <w:t>James V. Continenza</w:t>
      </w:r>
    </w:p>
    <w:p>
      <w:pPr>
        <w:pStyle w:val="TextBody"/>
        <w:bidi w:val="0"/>
        <w:jc w:val="left"/>
        <w:rPr>
          <w:rFonts w:ascii="sans-serif" w:hAnsi="sans-serif"/>
          <w:color w:val="000000"/>
          <w:sz w:val="20"/>
        </w:rPr>
      </w:pPr>
      <w:r>
        <w:rPr>
          <w:rFonts w:ascii="sans-serif" w:hAnsi="sans-serif"/>
          <w:color w:val="000000"/>
          <w:sz w:val="20"/>
        </w:rPr>
        <w:t>Executive Chairman and</w:t>
      </w:r>
    </w:p>
    <w:p>
      <w:pPr>
        <w:pStyle w:val="TextBody"/>
        <w:bidi w:val="0"/>
        <w:jc w:val="left"/>
        <w:rPr>
          <w:rFonts w:ascii="sans-serif" w:hAnsi="sans-serif"/>
          <w:color w:val="000000"/>
          <w:sz w:val="20"/>
        </w:rPr>
      </w:pPr>
      <w:r>
        <w:rPr>
          <w:rFonts w:ascii="sans-serif" w:hAnsi="sans-serif"/>
          <w:color w:val="000000"/>
          <w:sz w:val="20"/>
        </w:rPr>
        <w:t>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Date: May 7,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70" w:name="kodk-ex32_2.htm"/>
      <w:bookmarkStart w:id="71" w:name="kskodkex32_2"/>
      <w:bookmarkEnd w:id="70"/>
      <w:bookmarkEnd w:id="71"/>
      <w:r>
        <w:rPr/>
        <w:t> </w:t>
      </w:r>
      <w:r>
        <w:br w:type="page"/>
      </w:r>
    </w:p>
    <w:p>
      <w:pPr>
        <w:pStyle w:val="TextBody"/>
        <w:bidi w:val="0"/>
        <w:jc w:val="right"/>
        <w:rPr>
          <w:rFonts w:ascii="Times New Roman" w:hAnsi="Times New Roman"/>
          <w:sz w:val="20"/>
        </w:rPr>
      </w:pPr>
      <w:r>
        <w:rPr>
          <w:rFonts w:ascii="sans-serif" w:hAnsi="sans-serif"/>
          <w:b/>
          <w:color w:val="000000"/>
          <w:sz w:val="20"/>
        </w:rPr>
        <w:t>Exhibit (32.2)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0"/>
        </w:rPr>
        <w:t>CERTIFICATION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18 U.S.C. Section 1350,</w:t>
      </w:r>
    </w:p>
    <w:p>
      <w:pPr>
        <w:pStyle w:val="TextBody"/>
        <w:bidi w:val="0"/>
        <w:jc w:val="center"/>
        <w:rPr>
          <w:rFonts w:ascii="Times New Roman" w:hAnsi="Times New Roman"/>
          <w:sz w:val="20"/>
        </w:rPr>
      </w:pPr>
      <w:r>
        <w:rPr>
          <w:rFonts w:ascii="sans-serif" w:hAnsi="sans-serif"/>
          <w:b/>
          <w:color w:val="000000"/>
          <w:sz w:val="20"/>
        </w:rPr>
        <w:t>AS ADOPTED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connection with the Quarterly Report of Eastman Kodak Company (the "Company") on Form 10-Q for the period ended March 31, 2026, as filed with the Securities and Exchange Commission on the date hereof (the "Report"), I, David E. Bullwinkle, Chief Financial Officer and Senior Vice President of the Company, certify, pursuant to 18 U.S.C. Section 1350, as adopted pursuant to Section 906 of the Sarbanes-Oxley Act of 2002, that to the best of my knowledge: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u w:val="single"/>
        </w:rPr>
      </w:pPr>
      <w:r>
        <w:rPr>
          <w:rFonts w:ascii="sans-serif" w:hAnsi="sans-serif"/>
          <w:color w:val="000000"/>
          <w:sz w:val="20"/>
          <w:u w:val="single"/>
        </w:rPr>
        <w:t>/s/ David E. Bullwinkle</w:t>
      </w:r>
    </w:p>
    <w:p>
      <w:pPr>
        <w:pStyle w:val="TextBody"/>
        <w:bidi w:val="0"/>
        <w:jc w:val="left"/>
        <w:rPr>
          <w:rFonts w:ascii="sans-serif" w:hAnsi="sans-serif"/>
          <w:color w:val="000000"/>
          <w:sz w:val="20"/>
        </w:rPr>
      </w:pPr>
      <w:r>
        <w:rPr>
          <w:rFonts w:ascii="sans-serif" w:hAnsi="sans-serif"/>
          <w:color w:val="000000"/>
          <w:sz w:val="20"/>
        </w:rPr>
        <w:t>David E. Bullwinkle</w:t>
      </w:r>
    </w:p>
    <w:p>
      <w:pPr>
        <w:pStyle w:val="TextBody"/>
        <w:bidi w:val="0"/>
        <w:jc w:val="left"/>
        <w:rPr>
          <w:rFonts w:ascii="sans-serif" w:hAnsi="sans-serif"/>
          <w:color w:val="000000"/>
          <w:sz w:val="20"/>
        </w:rPr>
      </w:pPr>
      <w:r>
        <w:rPr>
          <w:rFonts w:ascii="sans-serif" w:hAnsi="sans-serif"/>
          <w:color w:val="000000"/>
          <w:sz w:val="20"/>
        </w:rPr>
        <w:t>Chief Financial Officer and</w:t>
      </w:r>
    </w:p>
    <w:p>
      <w:pPr>
        <w:pStyle w:val="TextBody"/>
        <w:bidi w:val="0"/>
        <w:jc w:val="left"/>
        <w:rPr>
          <w:rFonts w:ascii="sans-serif" w:hAnsi="sans-serif"/>
          <w:color w:val="000000"/>
          <w:sz w:val="20"/>
        </w:rPr>
      </w:pPr>
      <w:r>
        <w:rPr>
          <w:rFonts w:ascii="sans-serif" w:hAnsi="sans-serif"/>
          <w:color w:val="000000"/>
          <w:sz w:val="20"/>
        </w:rPr>
        <w:t>Senior Vice President</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Date: May 7,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 w:name="Calibri">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235/000119312513354928/d591063dex41.htm" TargetMode="External"/><Relationship Id="rId3" Type="http://schemas.openxmlformats.org/officeDocument/2006/relationships/hyperlink" Target="https://www.sec.gov/Archives/edgar/data/31235/000156459016029358/kodk-ex31_26.htm" TargetMode="External"/><Relationship Id="rId4" Type="http://schemas.openxmlformats.org/officeDocument/2006/relationships/hyperlink" Target="https://www.sec.gov/Archives/edgar/data/31235/000119312519243935/d803063dex31.htm" TargetMode="External"/><Relationship Id="rId5" Type="http://schemas.openxmlformats.org/officeDocument/2006/relationships/hyperlink" Target="https://www.sec.gov/Archives/edgar/data/31235/000119312519243935/d803063dex32.htm" TargetMode="External"/><Relationship Id="rId6" Type="http://schemas.openxmlformats.org/officeDocument/2006/relationships/hyperlink" Target="https://www.sec.gov/Archives/edgar/data/31235/000156459020058718/kodk-ex31_14.htm" TargetMode="External"/><Relationship Id="rId7" Type="http://schemas.openxmlformats.org/officeDocument/2006/relationships/hyperlink" Target="https://www.sec.gov/Archives/edgar/data/31235/000119312521062328/d468860dex31.htm" TargetMode="External"/><Relationship Id="rId8" Type="http://schemas.openxmlformats.org/officeDocument/2006/relationships/hyperlink" Target="https://www.sec.gov/Archives/edgar/data/31235/000119312521062328/d468860dex32.htm" TargetMode="External"/><Relationship Id="rId9" Type="http://schemas.openxmlformats.org/officeDocument/2006/relationships/hyperlink" Target="https://www.sec.gov/Archives/edgar/data/31235/000119312526104214/kodk-ex3_8.htm" TargetMode="External"/><Relationship Id="rId10" Type="http://schemas.openxmlformats.org/officeDocument/2006/relationships/hyperlink" Target="https://www.sec.gov/Archives/edgar/data/31235/000156459020024666/kodk-ex35_31.htm" TargetMode="External"/><Relationship Id="rId11" Type="http://schemas.openxmlformats.org/officeDocument/2006/relationships/hyperlink" Target="https://www.sec.gov/Archives/edgar/data/31235/000119312526104214/kodk-ex4_5.htm" TargetMode="External"/><Relationship Id="rId12" Type="http://schemas.openxmlformats.org/officeDocument/2006/relationships/hyperlink" Target="https://www.sec.gov/Archives/edgar/data/31235/000119312526104214/kodk-ex4_6.htm" TargetMode="External"/><Relationship Id="rId13" Type="http://schemas.openxmlformats.org/officeDocument/2006/relationships/hyperlink" Target="https://www.sec.gov/Archives/edgar/data/31235/000119312526104214/kodk-ex4_7.htm" TargetMode="External"/><Relationship Id="rId14" Type="http://schemas.openxmlformats.org/officeDocument/2006/relationships/hyperlink" Target="https://www.sec.gov/Archives/edgar/data/31235/000119312526104214/kodk-ex4_7.htm" TargetMode="External"/><Relationship Id="rId15" Type="http://schemas.openxmlformats.org/officeDocument/2006/relationships/hyperlink" Target="https://www.sec.gov/Archives/edgar/data/31235/000119312526104214/kodk-ex4_7.htm" TargetMode="External"/><Relationship Id="rId16" Type="http://schemas.openxmlformats.org/officeDocument/2006/relationships/hyperlink" Target="https://www.sec.gov/Archives/edgar/data/31235/000119312526104214/kodk-ex4_8.htm" TargetMode="External"/><Relationship Id="rId17" Type="http://schemas.openxmlformats.org/officeDocument/2006/relationships/hyperlink" Target="https://www.sec.gov/Archives/edgar/data/31235/000119312526104214/kodk-ex10_23.htm" TargetMode="External"/><Relationship Id="rId18" Type="http://schemas.openxmlformats.org/officeDocument/2006/relationships/hyperlink" Target="https://www.sec.gov/Archives/edgar/data/31235/000119312526104214/kodk-ex10_36.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22528</Words>
  <Characters>122163</Characters>
  <CharactersWithSpaces>146179</CharactersWithSpaces>
  <Paragraphs>6372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