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SILECK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EASTMAN KODAK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 STATE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14650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EASTMAN KODAK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KODK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16,393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144,254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16,393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05/19/2026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12,726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$.01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12,726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12,726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were granted under the Company's 2013 Omnibus Incentive Plan, as amended, in a transaction exempt under Rule 16b-3 and, except as otherwise provided in the award notice, vest on the day immediately preceding the Company's 2027 annual meeting of shareholders.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Roger W. Byrd, Attorney-in-Fact for Michael Sileck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4524" TargetMode="External"/><Relationship Id="rId5" Type="http://schemas.openxmlformats.org/officeDocument/2006/relationships/hyperlink" Target="http://www.sec.gov/cgi-bin/browse-edgar?action=getcompany&amp;CIK=00000312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660</Words>
  <Characters>3570</Characters>
  <CharactersWithSpaces>4151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