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9425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942530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0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40" w:type="dxa"/>
            <w:vAlign w:val="bottom"/>
            <w:gridSpan w:val="5"/>
          </w:tcPr>
          <w:p>
            <w:pPr>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4"/>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Katz Philippe D</w:t>
              </w:r>
            </w:hyperlink>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4"/>
          </w:tcPr>
          <w:p>
            <w:pPr>
              <w:spacing w:after="0" w:line="101" w:lineRule="exact"/>
              <w:rPr>
                <w:rFonts w:ascii="Arial" w:cs="Arial" w:eastAsia="Arial" w:hAnsi="Arial"/>
                <w:sz w:val="11"/>
                <w:szCs w:val="11"/>
                <w:color w:val="0000EE"/>
              </w:rPr>
            </w:pPr>
            <w:hyperlink r:id="rId13">
              <w:r>
                <w:rPr>
                  <w:rFonts w:ascii="Arial" w:cs="Arial" w:eastAsia="Arial" w:hAnsi="Arial"/>
                  <w:sz w:val="11"/>
                  <w:szCs w:val="11"/>
                  <w:color w:val="0000EE"/>
                </w:rPr>
                <w:t xml:space="preserve">EASTMAN KODAK CO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KODK</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spacing w:after="0"/>
              <w:rPr>
                <w:sz w:val="20"/>
                <w:szCs w:val="20"/>
                <w:color w:val="auto"/>
              </w:rPr>
            </w:pPr>
            <w:r>
              <w:rPr>
                <w:rFonts w:ascii="Arial" w:cs="Arial" w:eastAsia="Arial" w:hAnsi="Arial"/>
                <w:sz w:val="13"/>
                <w:szCs w:val="13"/>
                <w:color w:val="auto"/>
                <w:w w:val="99"/>
              </w:rPr>
              <w:t>(Check all applicable)</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0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820" w:type="dxa"/>
            <w:vAlign w:val="bottom"/>
            <w:vMerge w:val="restart"/>
          </w:tcPr>
          <w:p>
            <w:pPr>
              <w:ind w:left="500"/>
              <w:spacing w:after="0"/>
              <w:rPr>
                <w:sz w:val="20"/>
                <w:szCs w:val="20"/>
                <w:color w:val="auto"/>
              </w:rPr>
            </w:pPr>
            <w:r>
              <w:rPr>
                <w:rFonts w:ascii="Arial" w:cs="Arial" w:eastAsia="Arial" w:hAnsi="Arial"/>
                <w:sz w:val="16"/>
                <w:szCs w:val="16"/>
                <w:color w:val="0000FF"/>
              </w:rPr>
              <w:t>X</w:t>
            </w: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940" w:type="dxa"/>
            <w:vAlign w:val="bottom"/>
            <w:gridSpan w:val="2"/>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94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4"/>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560" w:type="dxa"/>
            <w:vAlign w:val="bottom"/>
          </w:tcPr>
          <w:p>
            <w:pPr>
              <w:ind w:left="4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00" w:type="dxa"/>
            <w:vAlign w:val="bottom"/>
            <w:gridSpan w:val="4"/>
            <w:vMerge w:val="continue"/>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ind w:left="380"/>
              <w:spacing w:after="0"/>
              <w:rPr>
                <w:sz w:val="20"/>
                <w:szCs w:val="20"/>
                <w:color w:val="auto"/>
              </w:rPr>
            </w:pPr>
            <w:r>
              <w:rPr>
                <w:rFonts w:ascii="Arial" w:cs="Arial" w:eastAsia="Arial" w:hAnsi="Arial"/>
                <w:sz w:val="13"/>
                <w:szCs w:val="13"/>
                <w:color w:val="auto"/>
              </w:rPr>
              <w:t>below)</w:t>
            </w:r>
          </w:p>
        </w:tc>
        <w:tc>
          <w:tcPr>
            <w:tcW w:w="82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gridSpan w:val="5"/>
            <w:vMerge w:val="restart"/>
          </w:tcPr>
          <w:p>
            <w:pPr>
              <w:ind w:left="20"/>
              <w:spacing w:after="0"/>
              <w:rPr>
                <w:sz w:val="20"/>
                <w:szCs w:val="20"/>
                <w:color w:val="auto"/>
              </w:rPr>
            </w:pPr>
            <w:r>
              <w:rPr>
                <w:rFonts w:ascii="Arial" w:cs="Arial" w:eastAsia="Arial" w:hAnsi="Arial"/>
                <w:sz w:val="16"/>
                <w:szCs w:val="16"/>
                <w:color w:val="0000FF"/>
              </w:rPr>
              <w:t>C/O EASTMAN KODAK COMPANY</w:t>
            </w:r>
          </w:p>
        </w:tc>
        <w:tc>
          <w:tcPr>
            <w:tcW w:w="2120" w:type="dxa"/>
            <w:vAlign w:val="bottom"/>
            <w:gridSpan w:val="5"/>
          </w:tcPr>
          <w:p>
            <w:pPr>
              <w:ind w:left="820"/>
              <w:spacing w:after="0"/>
              <w:rPr>
                <w:sz w:val="20"/>
                <w:szCs w:val="20"/>
                <w:color w:val="auto"/>
              </w:rPr>
            </w:pPr>
            <w:r>
              <w:rPr>
                <w:rFonts w:ascii="Arial" w:cs="Arial" w:eastAsia="Arial" w:hAnsi="Arial"/>
                <w:sz w:val="16"/>
                <w:szCs w:val="16"/>
                <w:color w:val="0000FF"/>
              </w:rPr>
              <w:t>05/18/2021</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4"/>
            <w:vMerge w:val="restart"/>
          </w:tcPr>
          <w:p>
            <w:pPr>
              <w:ind w:left="20"/>
              <w:spacing w:after="0"/>
              <w:rPr>
                <w:sz w:val="20"/>
                <w:szCs w:val="20"/>
                <w:color w:val="auto"/>
              </w:rPr>
            </w:pPr>
            <w:r>
              <w:rPr>
                <w:rFonts w:ascii="Arial" w:cs="Arial" w:eastAsia="Arial" w:hAnsi="Arial"/>
                <w:sz w:val="16"/>
                <w:szCs w:val="16"/>
                <w:color w:val="0000FF"/>
              </w:rPr>
              <w:t>343 STATE STREET</w:t>
            </w: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40" w:type="dxa"/>
            <w:vAlign w:val="bottom"/>
            <w:gridSpan w:val="5"/>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340" w:type="dxa"/>
            <w:vAlign w:val="bottom"/>
            <w:gridSpan w:val="5"/>
            <w:vMerge w:val="continue"/>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4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4"/>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color w:val="0000FF"/>
              </w:rPr>
              <w:t>ROCHESTER</w:t>
            </w:r>
          </w:p>
        </w:tc>
        <w:tc>
          <w:tcPr>
            <w:tcW w:w="1320" w:type="dxa"/>
            <w:vAlign w:val="bottom"/>
            <w:gridSpan w:val="2"/>
          </w:tcPr>
          <w:p>
            <w:pPr>
              <w:ind w:left="140"/>
              <w:spacing w:after="0"/>
              <w:rPr>
                <w:sz w:val="20"/>
                <w:szCs w:val="20"/>
                <w:color w:val="auto"/>
              </w:rPr>
            </w:pPr>
            <w:r>
              <w:rPr>
                <w:rFonts w:ascii="Arial" w:cs="Arial" w:eastAsia="Arial" w:hAnsi="Arial"/>
                <w:sz w:val="16"/>
                <w:szCs w:val="16"/>
                <w:color w:val="0000FF"/>
              </w:rPr>
              <w:t>NY</w:t>
            </w:r>
          </w:p>
        </w:tc>
        <w:tc>
          <w:tcPr>
            <w:tcW w:w="560" w:type="dxa"/>
            <w:vAlign w:val="bottom"/>
          </w:tcPr>
          <w:p>
            <w:pPr>
              <w:ind w:left="40"/>
              <w:spacing w:after="0"/>
              <w:rPr>
                <w:sz w:val="20"/>
                <w:szCs w:val="20"/>
                <w:color w:val="auto"/>
              </w:rPr>
            </w:pPr>
            <w:r>
              <w:rPr>
                <w:rFonts w:ascii="Arial" w:cs="Arial" w:eastAsia="Arial" w:hAnsi="Arial"/>
                <w:sz w:val="16"/>
                <w:szCs w:val="16"/>
                <w:color w:val="0000FF"/>
              </w:rPr>
              <w:t>14650</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00" w:type="dxa"/>
            <w:vAlign w:val="bottom"/>
            <w:gridSpan w:val="4"/>
          </w:tcPr>
          <w:p>
            <w:pPr>
              <w:ind w:left="38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ind w:left="380"/>
              <w:spacing w:after="0" w:line="127" w:lineRule="exact"/>
              <w:rPr>
                <w:sz w:val="20"/>
                <w:szCs w:val="20"/>
                <w:color w:val="auto"/>
              </w:rPr>
            </w:pPr>
            <w:r>
              <w:rPr>
                <w:rFonts w:ascii="Arial" w:cs="Arial" w:eastAsia="Arial" w:hAnsi="Arial"/>
                <w:sz w:val="13"/>
                <w:szCs w:val="13"/>
                <w:color w:val="auto"/>
              </w:rPr>
              <w:t>Person</w:t>
            </w: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560" w:type="dxa"/>
            <w:vAlign w:val="bottom"/>
          </w:tcPr>
          <w:p>
            <w:pPr>
              <w:ind w:left="4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7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7580" w:type="dxa"/>
            <w:vAlign w:val="bottom"/>
            <w:tcBorders>
              <w:top w:val="single" w:sz="8" w:color="2C2C2C"/>
            </w:tcBorders>
            <w:gridSpan w:val="14"/>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2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74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4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1160" w:type="dxa"/>
            <w:vAlign w:val="bottom"/>
            <w:gridSpan w:val="2"/>
          </w:tcPr>
          <w:p>
            <w:pPr>
              <w:ind w:left="16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3000" w:type="dxa"/>
            <w:vAlign w:val="bottom"/>
            <w:gridSpan w:val="6"/>
          </w:tcPr>
          <w:p>
            <w:pPr>
              <w:ind w:left="20"/>
              <w:spacing w:after="0" w:line="123" w:lineRule="exact"/>
              <w:rPr>
                <w:sz w:val="20"/>
                <w:szCs w:val="20"/>
                <w:color w:val="auto"/>
              </w:rPr>
            </w:pPr>
            <w:r>
              <w:rPr>
                <w:rFonts w:ascii="Arial" w:cs="Arial" w:eastAsia="Arial" w:hAnsi="Arial"/>
                <w:sz w:val="11"/>
                <w:szCs w:val="11"/>
                <w:b w:val="1"/>
                <w:bCs w:val="1"/>
                <w:color w:val="auto"/>
              </w:rPr>
              <w:t>Disposed Of (D) (Instr. 3, 4 and 5)  Securities</w:t>
            </w:r>
          </w:p>
        </w:tc>
        <w:tc>
          <w:tcPr>
            <w:tcW w:w="8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 Direct</w:t>
            </w:r>
          </w:p>
        </w:tc>
        <w:tc>
          <w:tcPr>
            <w:tcW w:w="1160" w:type="dxa"/>
            <w:vAlign w:val="bottom"/>
            <w:gridSpan w:val="2"/>
          </w:tcPr>
          <w:p>
            <w:pPr>
              <w:ind w:left="160"/>
              <w:spacing w:after="0" w:line="123"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1160" w:type="dxa"/>
            <w:vAlign w:val="bottom"/>
            <w:gridSpan w:val="2"/>
          </w:tcPr>
          <w:p>
            <w:pPr>
              <w:ind w:left="16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1160" w:type="dxa"/>
            <w:vAlign w:val="bottom"/>
            <w:gridSpan w:val="2"/>
          </w:tcPr>
          <w:p>
            <w:pPr>
              <w:ind w:left="16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20" w:type="dxa"/>
            <w:vAlign w:val="bottom"/>
          </w:tcPr>
          <w:p>
            <w:pPr>
              <w:spacing w:after="0"/>
              <w:rPr>
                <w:sz w:val="6"/>
                <w:szCs w:val="6"/>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5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5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Common Stock, par value $.01</w:t>
            </w:r>
          </w:p>
        </w:tc>
        <w:tc>
          <w:tcPr>
            <w:tcW w:w="5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jc w:val="right"/>
              <w:ind w:right="79"/>
              <w:spacing w:after="0"/>
              <w:rPr>
                <w:sz w:val="20"/>
                <w:szCs w:val="20"/>
                <w:color w:val="auto"/>
              </w:rPr>
            </w:pPr>
            <w:r>
              <w:rPr>
                <w:rFonts w:ascii="Arial" w:cs="Arial" w:eastAsia="Arial" w:hAnsi="Arial"/>
                <w:sz w:val="16"/>
                <w:szCs w:val="16"/>
                <w:color w:val="0000FF"/>
              </w:rPr>
              <w:t>05/18/2021</w:t>
            </w:r>
          </w:p>
        </w:tc>
        <w:tc>
          <w:tcPr>
            <w:tcW w:w="10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Borders>
              <w:bottom w:val="single" w:sz="8" w:color="2C2C2C"/>
            </w:tcBorders>
          </w:tcPr>
          <w:p>
            <w:pPr>
              <w:jc w:val="right"/>
              <w:ind w:right="173"/>
              <w:spacing w:after="0"/>
              <w:rPr>
                <w:sz w:val="20"/>
                <w:szCs w:val="20"/>
                <w:color w:val="auto"/>
              </w:rPr>
            </w:pPr>
            <w:r>
              <w:rPr>
                <w:rFonts w:ascii="Arial" w:cs="Arial" w:eastAsia="Arial" w:hAnsi="Arial"/>
                <w:sz w:val="16"/>
                <w:szCs w:val="16"/>
                <w:color w:val="0000FF"/>
              </w:rPr>
              <w:t>4,128</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A</w:t>
            </w:r>
          </w:p>
        </w:tc>
        <w:tc>
          <w:tcPr>
            <w:tcW w:w="500" w:type="dxa"/>
            <w:vAlign w:val="bottom"/>
            <w:tcBorders>
              <w:bottom w:val="single" w:sz="8" w:color="2C2C2C"/>
            </w:tcBorders>
            <w:gridSpan w:val="2"/>
          </w:tcPr>
          <w:p>
            <w:pPr>
              <w:jc w:val="center"/>
              <w:spacing w:after="0" w:line="303" w:lineRule="exact"/>
              <w:rPr>
                <w:sz w:val="20"/>
                <w:szCs w:val="20"/>
                <w:color w:val="auto"/>
              </w:rPr>
            </w:pPr>
            <w:r>
              <w:rPr>
                <w:rFonts w:ascii="Arial" w:cs="Arial" w:eastAsia="Arial" w:hAnsi="Arial"/>
                <w:sz w:val="32"/>
                <w:szCs w:val="32"/>
                <w:color w:val="000000"/>
                <w:vertAlign w:val="subscript"/>
              </w:rPr>
              <w:t>$</w:t>
            </w:r>
            <w:r>
              <w:rPr>
                <w:rFonts w:ascii="Arial" w:cs="Arial" w:eastAsia="Arial" w:hAnsi="Arial"/>
                <w:sz w:val="32"/>
                <w:szCs w:val="32"/>
                <w:color w:val="0000FF"/>
                <w:vertAlign w:val="subscript"/>
              </w:rPr>
              <w:t>0</w:t>
            </w:r>
            <w:r>
              <w:rPr>
                <w:rFonts w:ascii="Arial" w:cs="Arial" w:eastAsia="Arial" w:hAnsi="Arial"/>
                <w:sz w:val="10"/>
                <w:szCs w:val="10"/>
                <w:color w:val="008000"/>
              </w:rPr>
              <w:t>(1)</w:t>
            </w:r>
          </w:p>
        </w:tc>
        <w:tc>
          <w:tcPr>
            <w:tcW w:w="1260" w:type="dxa"/>
            <w:vAlign w:val="bottom"/>
            <w:tcBorders>
              <w:bottom w:val="single" w:sz="8" w:color="2C2C2C"/>
            </w:tcBorders>
            <w:gridSpan w:val="2"/>
          </w:tcPr>
          <w:p>
            <w:pPr>
              <w:jc w:val="center"/>
              <w:ind w:left="65"/>
              <w:spacing w:after="0"/>
              <w:rPr>
                <w:sz w:val="20"/>
                <w:szCs w:val="20"/>
                <w:color w:val="auto"/>
              </w:rPr>
            </w:pPr>
            <w:r>
              <w:rPr>
                <w:rFonts w:ascii="Arial" w:cs="Arial" w:eastAsia="Arial" w:hAnsi="Arial"/>
                <w:sz w:val="16"/>
                <w:szCs w:val="16"/>
                <w:color w:val="0000FF"/>
                <w:w w:val="89"/>
              </w:rPr>
              <w:t>120,496</w:t>
            </w:r>
          </w:p>
        </w:tc>
        <w:tc>
          <w:tcPr>
            <w:tcW w:w="820" w:type="dxa"/>
            <w:vAlign w:val="bottom"/>
            <w:tcBorders>
              <w:bottom w:val="single" w:sz="8" w:color="2C2C2C"/>
            </w:tcBorders>
          </w:tcPr>
          <w:p>
            <w:pPr>
              <w:jc w:val="center"/>
              <w:ind w:left="26"/>
              <w:spacing w:after="0"/>
              <w:rPr>
                <w:sz w:val="20"/>
                <w:szCs w:val="20"/>
                <w:color w:val="auto"/>
              </w:rPr>
            </w:pPr>
            <w:r>
              <w:rPr>
                <w:rFonts w:ascii="Arial" w:cs="Arial" w:eastAsia="Arial" w:hAnsi="Arial"/>
                <w:sz w:val="16"/>
                <w:szCs w:val="16"/>
                <w:color w:val="0000FF"/>
              </w:rPr>
              <w:t>D</w:t>
            </w:r>
          </w:p>
        </w:tc>
        <w:tc>
          <w:tcPr>
            <w:tcW w:w="11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Common Stock, par value $.01</w:t>
            </w:r>
          </w:p>
        </w:tc>
        <w:tc>
          <w:tcPr>
            <w:tcW w:w="5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jc w:val="right"/>
              <w:ind w:right="79"/>
              <w:spacing w:after="0"/>
              <w:rPr>
                <w:sz w:val="20"/>
                <w:szCs w:val="20"/>
                <w:color w:val="auto"/>
              </w:rPr>
            </w:pPr>
            <w:r>
              <w:rPr>
                <w:rFonts w:ascii="Arial" w:cs="Arial" w:eastAsia="Arial" w:hAnsi="Arial"/>
                <w:sz w:val="16"/>
                <w:szCs w:val="16"/>
                <w:color w:val="0000FF"/>
              </w:rPr>
              <w:t>05/19/2021</w:t>
            </w:r>
          </w:p>
        </w:tc>
        <w:tc>
          <w:tcPr>
            <w:tcW w:w="10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0"/>
                <w:szCs w:val="10"/>
                <w:color w:val="008000"/>
              </w:rPr>
              <w:t>(2)</w:t>
            </w:r>
          </w:p>
        </w:tc>
        <w:tc>
          <w:tcPr>
            <w:tcW w:w="800" w:type="dxa"/>
            <w:vAlign w:val="bottom"/>
            <w:tcBorders>
              <w:bottom w:val="single" w:sz="8" w:color="2C2C2C"/>
            </w:tcBorders>
          </w:tcPr>
          <w:p>
            <w:pPr>
              <w:jc w:val="center"/>
              <w:ind w:right="53"/>
              <w:spacing w:after="0"/>
              <w:rPr>
                <w:sz w:val="20"/>
                <w:szCs w:val="20"/>
                <w:color w:val="auto"/>
              </w:rPr>
            </w:pPr>
            <w:r>
              <w:rPr>
                <w:rFonts w:ascii="Arial" w:cs="Arial" w:eastAsia="Arial" w:hAnsi="Arial"/>
                <w:sz w:val="16"/>
                <w:szCs w:val="16"/>
                <w:color w:val="0000FF"/>
                <w:w w:val="98"/>
              </w:rPr>
              <w:t>11,000</w:t>
            </w:r>
            <w:r>
              <w:rPr>
                <w:rFonts w:ascii="Arial" w:cs="Arial" w:eastAsia="Arial" w:hAnsi="Arial"/>
                <w:sz w:val="20"/>
                <w:szCs w:val="20"/>
                <w:color w:val="008000"/>
                <w:w w:val="98"/>
                <w:vertAlign w:val="superscript"/>
              </w:rPr>
              <w:t>(2)</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A</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left="65"/>
              <w:spacing w:after="0"/>
              <w:rPr>
                <w:sz w:val="20"/>
                <w:szCs w:val="20"/>
                <w:color w:val="auto"/>
              </w:rPr>
            </w:pPr>
            <w:r>
              <w:rPr>
                <w:rFonts w:ascii="Arial" w:cs="Arial" w:eastAsia="Arial" w:hAnsi="Arial"/>
                <w:sz w:val="16"/>
                <w:szCs w:val="16"/>
                <w:color w:val="0000FF"/>
                <w:w w:val="89"/>
              </w:rPr>
              <w:t>131,496</w:t>
            </w:r>
          </w:p>
        </w:tc>
        <w:tc>
          <w:tcPr>
            <w:tcW w:w="820" w:type="dxa"/>
            <w:vAlign w:val="bottom"/>
            <w:tcBorders>
              <w:bottom w:val="single" w:sz="8" w:color="2C2C2C"/>
            </w:tcBorders>
          </w:tcPr>
          <w:p>
            <w:pPr>
              <w:jc w:val="center"/>
              <w:ind w:left="26"/>
              <w:spacing w:after="0"/>
              <w:rPr>
                <w:sz w:val="20"/>
                <w:szCs w:val="20"/>
                <w:color w:val="auto"/>
              </w:rPr>
            </w:pPr>
            <w:r>
              <w:rPr>
                <w:rFonts w:ascii="Arial" w:cs="Arial" w:eastAsia="Arial" w:hAnsi="Arial"/>
                <w:sz w:val="16"/>
                <w:szCs w:val="16"/>
                <w:color w:val="0000FF"/>
              </w:rPr>
              <w:t>D</w:t>
            </w:r>
          </w:p>
        </w:tc>
        <w:tc>
          <w:tcPr>
            <w:tcW w:w="11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color w:val="0000FF"/>
              </w:rPr>
              <w:t>Owned 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Arial" w:cs="Arial" w:eastAsia="Arial" w:hAnsi="Arial"/>
                <w:sz w:val="16"/>
                <w:szCs w:val="16"/>
                <w:color w:val="0000FF"/>
              </w:rPr>
              <w:t>Common Stock, par value $.01</w:t>
            </w: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jc w:val="center"/>
              <w:ind w:left="65"/>
              <w:spacing w:after="0"/>
              <w:rPr>
                <w:sz w:val="20"/>
                <w:szCs w:val="20"/>
                <w:color w:val="auto"/>
              </w:rPr>
            </w:pPr>
            <w:r>
              <w:rPr>
                <w:rFonts w:ascii="Arial" w:cs="Arial" w:eastAsia="Arial" w:hAnsi="Arial"/>
                <w:sz w:val="16"/>
                <w:szCs w:val="16"/>
                <w:color w:val="0000FF"/>
                <w:w w:val="89"/>
              </w:rPr>
              <w:t>2,522,011</w:t>
            </w:r>
          </w:p>
        </w:tc>
        <w:tc>
          <w:tcPr>
            <w:tcW w:w="820" w:type="dxa"/>
            <w:vAlign w:val="bottom"/>
          </w:tcPr>
          <w:p>
            <w:pPr>
              <w:jc w:val="center"/>
              <w:ind w:left="26"/>
              <w:spacing w:after="0"/>
              <w:rPr>
                <w:sz w:val="20"/>
                <w:szCs w:val="20"/>
                <w:color w:val="auto"/>
              </w:rPr>
            </w:pPr>
            <w:r>
              <w:rPr>
                <w:rFonts w:ascii="Arial" w:cs="Arial" w:eastAsia="Arial" w:hAnsi="Arial"/>
                <w:sz w:val="16"/>
                <w:szCs w:val="16"/>
                <w:color w:val="0000FF"/>
                <w:w w:val="88"/>
              </w:rPr>
              <w:t>I</w:t>
            </w:r>
          </w:p>
        </w:tc>
        <w:tc>
          <w:tcPr>
            <w:tcW w:w="1160" w:type="dxa"/>
            <w:vAlign w:val="bottom"/>
            <w:gridSpan w:val="2"/>
          </w:tcPr>
          <w:p>
            <w:pPr>
              <w:ind w:left="160"/>
              <w:spacing w:after="0"/>
              <w:rPr>
                <w:sz w:val="20"/>
                <w:szCs w:val="20"/>
                <w:color w:val="auto"/>
              </w:rPr>
            </w:pPr>
            <w:r>
              <w:rPr>
                <w:rFonts w:ascii="Arial" w:cs="Arial" w:eastAsia="Arial" w:hAnsi="Arial"/>
                <w:sz w:val="16"/>
                <w:szCs w:val="16"/>
                <w:color w:val="0000FF"/>
              </w:rPr>
              <w:t>KF Investors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160"/>
              <w:spacing w:after="0" w:line="261" w:lineRule="exact"/>
              <w:rPr>
                <w:sz w:val="20"/>
                <w:szCs w:val="20"/>
                <w:color w:val="auto"/>
              </w:rPr>
            </w:pPr>
            <w:r>
              <w:rPr>
                <w:rFonts w:ascii="Arial" w:cs="Arial" w:eastAsia="Arial" w:hAnsi="Arial"/>
                <w:sz w:val="30"/>
                <w:szCs w:val="30"/>
                <w:color w:val="0000FF"/>
                <w:vertAlign w:val="subscript"/>
              </w:rPr>
              <w:t>LLC</w:t>
            </w:r>
            <w:r>
              <w:rPr>
                <w:rFonts w:ascii="Arial" w:cs="Arial" w:eastAsia="Arial" w:hAnsi="Arial"/>
                <w:sz w:val="10"/>
                <w:szCs w:val="10"/>
                <w:color w:val="008000"/>
              </w:rPr>
              <w:t>(3)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color w:val="0000FF"/>
              </w:rPr>
              <w:t>Owned 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Arial" w:cs="Arial" w:eastAsia="Arial" w:hAnsi="Arial"/>
                <w:sz w:val="16"/>
                <w:szCs w:val="16"/>
                <w:color w:val="0000FF"/>
              </w:rPr>
              <w:t>Common Stock, par value $.01</w:t>
            </w: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jc w:val="center"/>
              <w:ind w:left="65"/>
              <w:spacing w:after="0"/>
              <w:rPr>
                <w:sz w:val="20"/>
                <w:szCs w:val="20"/>
                <w:color w:val="auto"/>
              </w:rPr>
            </w:pPr>
            <w:r>
              <w:rPr>
                <w:rFonts w:ascii="Arial" w:cs="Arial" w:eastAsia="Arial" w:hAnsi="Arial"/>
                <w:sz w:val="16"/>
                <w:szCs w:val="16"/>
                <w:color w:val="0000FF"/>
                <w:w w:val="89"/>
              </w:rPr>
              <w:t>1,569,870</w:t>
            </w:r>
          </w:p>
        </w:tc>
        <w:tc>
          <w:tcPr>
            <w:tcW w:w="820" w:type="dxa"/>
            <w:vAlign w:val="bottom"/>
          </w:tcPr>
          <w:p>
            <w:pPr>
              <w:jc w:val="center"/>
              <w:ind w:left="26"/>
              <w:spacing w:after="0"/>
              <w:rPr>
                <w:sz w:val="20"/>
                <w:szCs w:val="20"/>
                <w:color w:val="auto"/>
              </w:rPr>
            </w:pPr>
            <w:r>
              <w:rPr>
                <w:rFonts w:ascii="Arial" w:cs="Arial" w:eastAsia="Arial" w:hAnsi="Arial"/>
                <w:sz w:val="16"/>
                <w:szCs w:val="16"/>
                <w:color w:val="0000FF"/>
                <w:w w:val="88"/>
              </w:rPr>
              <w:t>I</w:t>
            </w:r>
          </w:p>
        </w:tc>
        <w:tc>
          <w:tcPr>
            <w:tcW w:w="1160" w:type="dxa"/>
            <w:vAlign w:val="bottom"/>
            <w:gridSpan w:val="2"/>
          </w:tcPr>
          <w:p>
            <w:pPr>
              <w:ind w:left="160"/>
              <w:spacing w:after="0"/>
              <w:rPr>
                <w:sz w:val="20"/>
                <w:szCs w:val="20"/>
                <w:color w:val="auto"/>
              </w:rPr>
            </w:pPr>
            <w:r>
              <w:rPr>
                <w:rFonts w:ascii="Arial" w:cs="Arial" w:eastAsia="Arial" w:hAnsi="Arial"/>
                <w:sz w:val="16"/>
                <w:szCs w:val="16"/>
                <w:color w:val="0000FF"/>
              </w:rPr>
              <w:t>Momar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w w:val="96"/>
              </w:rPr>
              <w:t>Corporation</w:t>
            </w:r>
            <w:r>
              <w:rPr>
                <w:rFonts w:ascii="Arial" w:cs="Arial" w:eastAsia="Arial" w:hAnsi="Arial"/>
                <w:sz w:val="20"/>
                <w:szCs w:val="20"/>
                <w:color w:val="008000"/>
                <w:w w:val="96"/>
                <w:vertAlign w:val="superscript"/>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color w:val="0000FF"/>
              </w:rPr>
              <w:t>Owned 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color w:val="0000FF"/>
              </w:rPr>
              <w:t>United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Arial" w:cs="Arial" w:eastAsia="Arial" w:hAnsi="Arial"/>
                <w:sz w:val="16"/>
                <w:szCs w:val="16"/>
                <w:color w:val="0000FF"/>
              </w:rPr>
              <w:t>Common Stock, par value $.01</w:t>
            </w: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jc w:val="center"/>
              <w:ind w:left="65"/>
              <w:spacing w:after="0"/>
              <w:rPr>
                <w:sz w:val="20"/>
                <w:szCs w:val="20"/>
                <w:color w:val="auto"/>
              </w:rPr>
            </w:pPr>
            <w:r>
              <w:rPr>
                <w:rFonts w:ascii="Arial" w:cs="Arial" w:eastAsia="Arial" w:hAnsi="Arial"/>
                <w:sz w:val="16"/>
                <w:szCs w:val="16"/>
                <w:color w:val="0000FF"/>
                <w:w w:val="89"/>
              </w:rPr>
              <w:t>7,598</w:t>
            </w:r>
          </w:p>
        </w:tc>
        <w:tc>
          <w:tcPr>
            <w:tcW w:w="820" w:type="dxa"/>
            <w:vAlign w:val="bottom"/>
          </w:tcPr>
          <w:p>
            <w:pPr>
              <w:jc w:val="center"/>
              <w:ind w:left="26"/>
              <w:spacing w:after="0"/>
              <w:rPr>
                <w:sz w:val="20"/>
                <w:szCs w:val="20"/>
                <w:color w:val="auto"/>
              </w:rPr>
            </w:pPr>
            <w:r>
              <w:rPr>
                <w:rFonts w:ascii="Arial" w:cs="Arial" w:eastAsia="Arial" w:hAnsi="Arial"/>
                <w:sz w:val="16"/>
                <w:szCs w:val="16"/>
                <w:color w:val="0000FF"/>
                <w:w w:val="88"/>
              </w:rPr>
              <w:t>I</w:t>
            </w:r>
          </w:p>
        </w:tc>
        <w:tc>
          <w:tcPr>
            <w:tcW w:w="1160" w:type="dxa"/>
            <w:vAlign w:val="bottom"/>
            <w:gridSpan w:val="2"/>
          </w:tcPr>
          <w:p>
            <w:pPr>
              <w:ind w:left="160"/>
              <w:spacing w:after="0"/>
              <w:rPr>
                <w:sz w:val="20"/>
                <w:szCs w:val="20"/>
                <w:color w:val="auto"/>
              </w:rPr>
            </w:pPr>
            <w:r>
              <w:rPr>
                <w:rFonts w:ascii="Arial" w:cs="Arial" w:eastAsia="Arial" w:hAnsi="Arial"/>
                <w:sz w:val="16"/>
                <w:szCs w:val="16"/>
                <w:color w:val="0000FF"/>
              </w:rPr>
              <w:t>Equities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color w:val="0000FF"/>
              </w:rPr>
              <w:t>Commodities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Company</w:t>
            </w:r>
            <w:r>
              <w:rPr>
                <w:rFonts w:ascii="Arial" w:cs="Arial" w:eastAsia="Arial" w:hAnsi="Arial"/>
                <w:sz w:val="20"/>
                <w:szCs w:val="20"/>
                <w:color w:val="008000"/>
                <w:vertAlign w:val="superscript"/>
              </w:rPr>
              <w:t>(5)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color w:val="0000FF"/>
              </w:rPr>
              <w:t>Owned 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 par value $.01</w:t>
            </w: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vMerge w:val="restart"/>
          </w:tcPr>
          <w:p>
            <w:pPr>
              <w:jc w:val="center"/>
              <w:ind w:left="65"/>
              <w:spacing w:after="0"/>
              <w:rPr>
                <w:sz w:val="20"/>
                <w:szCs w:val="20"/>
                <w:color w:val="auto"/>
              </w:rPr>
            </w:pPr>
            <w:r>
              <w:rPr>
                <w:rFonts w:ascii="Arial" w:cs="Arial" w:eastAsia="Arial" w:hAnsi="Arial"/>
                <w:sz w:val="16"/>
                <w:szCs w:val="16"/>
                <w:color w:val="0000FF"/>
                <w:w w:val="89"/>
              </w:rPr>
              <w:t>87,720</w:t>
            </w:r>
          </w:p>
        </w:tc>
        <w:tc>
          <w:tcPr>
            <w:tcW w:w="820" w:type="dxa"/>
            <w:vAlign w:val="bottom"/>
            <w:vMerge w:val="restart"/>
          </w:tcPr>
          <w:p>
            <w:pPr>
              <w:jc w:val="center"/>
              <w:ind w:left="26"/>
              <w:spacing w:after="0"/>
              <w:rPr>
                <w:sz w:val="20"/>
                <w:szCs w:val="20"/>
                <w:color w:val="auto"/>
              </w:rPr>
            </w:pPr>
            <w:r>
              <w:rPr>
                <w:rFonts w:ascii="Arial" w:cs="Arial" w:eastAsia="Arial" w:hAnsi="Arial"/>
                <w:sz w:val="16"/>
                <w:szCs w:val="16"/>
                <w:color w:val="0000FF"/>
                <w:w w:val="88"/>
              </w:rPr>
              <w:t>I</w:t>
            </w:r>
          </w:p>
        </w:tc>
        <w:tc>
          <w:tcPr>
            <w:tcW w:w="1160" w:type="dxa"/>
            <w:vAlign w:val="bottom"/>
            <w:gridSpan w:val="2"/>
          </w:tcPr>
          <w:p>
            <w:pPr>
              <w:ind w:left="160"/>
              <w:spacing w:after="0"/>
              <w:rPr>
                <w:sz w:val="20"/>
                <w:szCs w:val="20"/>
                <w:color w:val="auto"/>
              </w:rPr>
            </w:pPr>
            <w:r>
              <w:rPr>
                <w:rFonts w:ascii="Arial" w:cs="Arial" w:eastAsia="Arial" w:hAnsi="Arial"/>
                <w:sz w:val="16"/>
                <w:szCs w:val="16"/>
                <w:color w:val="0000FF"/>
              </w:rPr>
              <w:t>Marneu</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6"/>
                <w:szCs w:val="16"/>
                <w:color w:val="0000FF"/>
              </w:rPr>
              <w:t>Holding</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Company</w:t>
            </w:r>
            <w:r>
              <w:rPr>
                <w:rFonts w:ascii="Arial" w:cs="Arial" w:eastAsia="Arial" w:hAnsi="Arial"/>
                <w:sz w:val="20"/>
                <w:szCs w:val="20"/>
                <w:color w:val="008000"/>
                <w:vertAlign w:val="superscript"/>
              </w:rPr>
              <w:t>(6)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color w:val="0000FF"/>
              </w:rPr>
              <w:t>Owned 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 par value $.01</w:t>
            </w: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vMerge w:val="restart"/>
          </w:tcPr>
          <w:p>
            <w:pPr>
              <w:jc w:val="center"/>
              <w:ind w:left="65"/>
              <w:spacing w:after="0"/>
              <w:rPr>
                <w:sz w:val="20"/>
                <w:szCs w:val="20"/>
                <w:color w:val="auto"/>
              </w:rPr>
            </w:pPr>
            <w:r>
              <w:rPr>
                <w:rFonts w:ascii="Arial" w:cs="Arial" w:eastAsia="Arial" w:hAnsi="Arial"/>
                <w:sz w:val="16"/>
                <w:szCs w:val="16"/>
                <w:color w:val="0000FF"/>
                <w:w w:val="89"/>
              </w:rPr>
              <w:t>48,875</w:t>
            </w:r>
          </w:p>
        </w:tc>
        <w:tc>
          <w:tcPr>
            <w:tcW w:w="820" w:type="dxa"/>
            <w:vAlign w:val="bottom"/>
            <w:vMerge w:val="restart"/>
          </w:tcPr>
          <w:p>
            <w:pPr>
              <w:jc w:val="center"/>
              <w:ind w:left="26"/>
              <w:spacing w:after="0"/>
              <w:rPr>
                <w:sz w:val="20"/>
                <w:szCs w:val="20"/>
                <w:color w:val="auto"/>
              </w:rPr>
            </w:pPr>
            <w:r>
              <w:rPr>
                <w:rFonts w:ascii="Arial" w:cs="Arial" w:eastAsia="Arial" w:hAnsi="Arial"/>
                <w:sz w:val="16"/>
                <w:szCs w:val="16"/>
                <w:color w:val="0000FF"/>
                <w:w w:val="88"/>
              </w:rPr>
              <w:t>I</w:t>
            </w:r>
          </w:p>
        </w:tc>
        <w:tc>
          <w:tcPr>
            <w:tcW w:w="1160" w:type="dxa"/>
            <w:vAlign w:val="bottom"/>
            <w:gridSpan w:val="2"/>
          </w:tcPr>
          <w:p>
            <w:pPr>
              <w:ind w:left="160"/>
              <w:spacing w:after="0"/>
              <w:rPr>
                <w:sz w:val="20"/>
                <w:szCs w:val="20"/>
                <w:color w:val="auto"/>
              </w:rPr>
            </w:pPr>
            <w:r>
              <w:rPr>
                <w:rFonts w:ascii="Arial" w:cs="Arial" w:eastAsia="Arial" w:hAnsi="Arial"/>
                <w:sz w:val="16"/>
                <w:szCs w:val="16"/>
                <w:color w:val="0000FF"/>
              </w:rPr>
              <w:t>111 John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500" w:type="dxa"/>
            <w:vAlign w:val="bottom"/>
            <w:gridSpan w:val="5"/>
            <w:vMerge w:val="continue"/>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6"/>
                <w:szCs w:val="16"/>
                <w:color w:val="0000FF"/>
              </w:rPr>
              <w:t>Realty Corp.</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160"/>
              <w:spacing w:after="0"/>
              <w:rPr>
                <w:sz w:val="20"/>
                <w:szCs w:val="20"/>
                <w:color w:val="auto"/>
              </w:rPr>
            </w:pPr>
            <w:r>
              <w:rPr>
                <w:rFonts w:ascii="Arial" w:cs="Arial" w:eastAsia="Arial" w:hAnsi="Arial"/>
                <w:sz w:val="10"/>
                <w:szCs w:val="10"/>
                <w:color w:val="008000"/>
              </w:rPr>
              <w:t>(7)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restart"/>
          </w:tcPr>
          <w:p>
            <w:pPr>
              <w:jc w:val="center"/>
              <w:spacing w:after="0" w:line="186" w:lineRule="exact"/>
              <w:rPr>
                <w:sz w:val="20"/>
                <w:szCs w:val="20"/>
                <w:color w:val="auto"/>
              </w:rPr>
            </w:pPr>
            <w:r>
              <w:rPr>
                <w:rFonts w:ascii="Arial" w:cs="Arial" w:eastAsia="Arial" w:hAnsi="Arial"/>
                <w:sz w:val="19"/>
                <w:szCs w:val="19"/>
                <w:color w:val="000000"/>
                <w:w w:val="95"/>
                <w:vertAlign w:val="subscript"/>
              </w:rPr>
              <w:t>$</w:t>
            </w:r>
            <w:r>
              <w:rPr>
                <w:rFonts w:ascii="Arial" w:cs="Arial" w:eastAsia="Arial" w:hAnsi="Arial"/>
                <w:sz w:val="21"/>
                <w:szCs w:val="21"/>
                <w:color w:val="0000FF"/>
                <w:w w:val="95"/>
                <w:vertAlign w:val="subscript"/>
              </w:rPr>
              <w:t>0</w:t>
            </w:r>
            <w:r>
              <w:rPr>
                <w:rFonts w:ascii="Arial" w:cs="Arial" w:eastAsia="Arial" w:hAnsi="Arial"/>
                <w:sz w:val="10"/>
                <w:szCs w:val="10"/>
                <w:color w:val="008000"/>
                <w:w w:val="95"/>
              </w:rPr>
              <w:t>(1)</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4,128</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3"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jc w:val="center"/>
              <w:spacing w:after="0" w:line="123" w:lineRule="exact"/>
              <w:rPr>
                <w:sz w:val="20"/>
                <w:szCs w:val="20"/>
                <w:color w:val="auto"/>
              </w:rPr>
            </w:pPr>
            <w:r>
              <w:rPr>
                <w:rFonts w:ascii="Arial" w:cs="Arial" w:eastAsia="Arial" w:hAnsi="Arial"/>
                <w:sz w:val="13"/>
                <w:szCs w:val="13"/>
                <w:color w:val="0000FF"/>
                <w:w w:val="86"/>
              </w:rPr>
              <w:t>05/18/2021</w:t>
            </w:r>
          </w:p>
        </w:tc>
        <w:tc>
          <w:tcPr>
            <w:tcW w:w="1060" w:type="dxa"/>
            <w:vAlign w:val="bottom"/>
          </w:tcPr>
          <w:p>
            <w:pPr>
              <w:spacing w:after="0"/>
              <w:rPr>
                <w:sz w:val="10"/>
                <w:szCs w:val="10"/>
                <w:color w:val="auto"/>
              </w:rPr>
            </w:pPr>
          </w:p>
        </w:tc>
        <w:tc>
          <w:tcPr>
            <w:tcW w:w="780" w:type="dxa"/>
            <w:vAlign w:val="bottom"/>
          </w:tcPr>
          <w:p>
            <w:pPr>
              <w:ind w:left="160"/>
              <w:spacing w:after="0" w:line="123"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0"/>
                <w:szCs w:val="10"/>
                <w:color w:val="auto"/>
              </w:rPr>
            </w:pPr>
          </w:p>
        </w:tc>
        <w:tc>
          <w:tcPr>
            <w:tcW w:w="540" w:type="dxa"/>
            <w:vAlign w:val="bottom"/>
          </w:tcPr>
          <w:p>
            <w:pPr>
              <w:jc w:val="right"/>
              <w:ind w:right="59"/>
              <w:spacing w:after="0" w:line="123" w:lineRule="exact"/>
              <w:rPr>
                <w:sz w:val="20"/>
                <w:szCs w:val="20"/>
                <w:color w:val="auto"/>
              </w:rPr>
            </w:pPr>
            <w:r>
              <w:rPr>
                <w:rFonts w:ascii="Arial" w:cs="Arial" w:eastAsia="Arial" w:hAnsi="Arial"/>
                <w:sz w:val="13"/>
                <w:szCs w:val="13"/>
                <w:color w:val="0000FF"/>
              </w:rPr>
              <w:t>4,128</w:t>
            </w:r>
          </w:p>
        </w:tc>
        <w:tc>
          <w:tcPr>
            <w:tcW w:w="760" w:type="dxa"/>
            <w:vAlign w:val="bottom"/>
          </w:tcPr>
          <w:p>
            <w:pPr>
              <w:jc w:val="center"/>
              <w:spacing w:after="0" w:line="123" w:lineRule="exact"/>
              <w:rPr>
                <w:sz w:val="20"/>
                <w:szCs w:val="20"/>
                <w:color w:val="auto"/>
              </w:rPr>
            </w:pPr>
            <w:r>
              <w:rPr>
                <w:rFonts w:ascii="Arial" w:cs="Arial" w:eastAsia="Arial" w:hAnsi="Arial"/>
                <w:sz w:val="13"/>
                <w:szCs w:val="13"/>
                <w:color w:val="0000FF"/>
                <w:w w:val="89"/>
              </w:rPr>
              <w:t>05/18/2021</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0000FF"/>
                <w:w w:val="89"/>
              </w:rPr>
              <w:t>05/18/2021</w:t>
            </w: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23" w:lineRule="exact"/>
              <w:rPr>
                <w:sz w:val="20"/>
                <w:szCs w:val="20"/>
                <w:color w:val="auto"/>
              </w:rPr>
            </w:pPr>
            <w:r>
              <w:rPr>
                <w:rFonts w:ascii="Arial" w:cs="Arial" w:eastAsia="Arial" w:hAnsi="Arial"/>
                <w:sz w:val="13"/>
                <w:szCs w:val="13"/>
                <w:color w:val="0000FF"/>
                <w:w w:val="85"/>
              </w:rPr>
              <w:t>3,781</w:t>
            </w:r>
          </w:p>
        </w:tc>
        <w:tc>
          <w:tcPr>
            <w:tcW w:w="72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spacing w:after="0" w:line="92" w:lineRule="exact"/>
              <w:rPr>
                <w:sz w:val="20"/>
                <w:szCs w:val="20"/>
                <w:color w:val="auto"/>
              </w:rPr>
            </w:pPr>
            <w:r>
              <w:rPr>
                <w:rFonts w:ascii="Arial" w:cs="Arial" w:eastAsia="Arial" w:hAnsi="Arial"/>
                <w:sz w:val="9"/>
                <w:szCs w:val="9"/>
                <w:color w:val="0000FF"/>
              </w:rPr>
              <w:t>par value</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4"/>
              </w:rPr>
              <w:t>$.01</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restart"/>
          </w:tcPr>
          <w:p>
            <w:pPr>
              <w:jc w:val="center"/>
              <w:spacing w:after="0" w:line="186" w:lineRule="exact"/>
              <w:rPr>
                <w:sz w:val="20"/>
                <w:szCs w:val="20"/>
                <w:color w:val="auto"/>
              </w:rPr>
            </w:pPr>
            <w:r>
              <w:rPr>
                <w:rFonts w:ascii="Arial" w:cs="Arial" w:eastAsia="Arial" w:hAnsi="Arial"/>
                <w:sz w:val="19"/>
                <w:szCs w:val="19"/>
                <w:color w:val="000000"/>
                <w:w w:val="95"/>
                <w:vertAlign w:val="subscript"/>
              </w:rPr>
              <w:t>$</w:t>
            </w:r>
            <w:r>
              <w:rPr>
                <w:rFonts w:ascii="Arial" w:cs="Arial" w:eastAsia="Arial" w:hAnsi="Arial"/>
                <w:sz w:val="21"/>
                <w:szCs w:val="21"/>
                <w:color w:val="0000FF"/>
                <w:w w:val="95"/>
                <w:vertAlign w:val="subscript"/>
              </w:rPr>
              <w:t>0</w:t>
            </w:r>
            <w:r>
              <w:rPr>
                <w:rFonts w:ascii="Arial" w:cs="Arial" w:eastAsia="Arial" w:hAnsi="Arial"/>
                <w:sz w:val="10"/>
                <w:szCs w:val="10"/>
                <w:color w:val="008000"/>
                <w:w w:val="95"/>
              </w:rPr>
              <w:t>(1)</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vMerge w:val="restart"/>
          </w:tcPr>
          <w:p>
            <w:pPr>
              <w:jc w:val="center"/>
              <w:spacing w:after="0" w:line="185" w:lineRule="exact"/>
              <w:rPr>
                <w:sz w:val="20"/>
                <w:szCs w:val="20"/>
                <w:color w:val="auto"/>
              </w:rPr>
            </w:pPr>
            <w:r>
              <w:rPr>
                <w:rFonts w:ascii="Arial" w:cs="Arial" w:eastAsia="Arial" w:hAnsi="Arial"/>
                <w:sz w:val="13"/>
                <w:szCs w:val="13"/>
                <w:color w:val="0000FF"/>
                <w:w w:val="94"/>
              </w:rPr>
              <w:t>3,781</w:t>
            </w:r>
            <w:r>
              <w:rPr>
                <w:rFonts w:ascii="Arial" w:cs="Arial" w:eastAsia="Arial" w:hAnsi="Arial"/>
                <w:sz w:val="20"/>
                <w:szCs w:val="20"/>
                <w:color w:val="008000"/>
                <w:w w:val="94"/>
                <w:vertAlign w:val="superscript"/>
              </w:rPr>
              <w:t>(8)</w:t>
            </w: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3,781</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3"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jc w:val="center"/>
              <w:spacing w:after="0" w:line="123" w:lineRule="exact"/>
              <w:rPr>
                <w:sz w:val="20"/>
                <w:szCs w:val="20"/>
                <w:color w:val="auto"/>
              </w:rPr>
            </w:pPr>
            <w:r>
              <w:rPr>
                <w:rFonts w:ascii="Arial" w:cs="Arial" w:eastAsia="Arial" w:hAnsi="Arial"/>
                <w:sz w:val="13"/>
                <w:szCs w:val="13"/>
                <w:color w:val="0000FF"/>
                <w:w w:val="86"/>
              </w:rPr>
              <w:t>05/18/2021</w:t>
            </w:r>
          </w:p>
        </w:tc>
        <w:tc>
          <w:tcPr>
            <w:tcW w:w="1060" w:type="dxa"/>
            <w:vAlign w:val="bottom"/>
          </w:tcPr>
          <w:p>
            <w:pPr>
              <w:spacing w:after="0"/>
              <w:rPr>
                <w:sz w:val="10"/>
                <w:szCs w:val="10"/>
                <w:color w:val="auto"/>
              </w:rPr>
            </w:pPr>
          </w:p>
        </w:tc>
        <w:tc>
          <w:tcPr>
            <w:tcW w:w="780" w:type="dxa"/>
            <w:vAlign w:val="bottom"/>
          </w:tcPr>
          <w:p>
            <w:pPr>
              <w:ind w:left="180"/>
              <w:spacing w:after="0" w:line="123" w:lineRule="exact"/>
              <w:rPr>
                <w:sz w:val="20"/>
                <w:szCs w:val="20"/>
                <w:color w:val="auto"/>
              </w:rPr>
            </w:pPr>
            <w:r>
              <w:rPr>
                <w:rFonts w:ascii="Arial" w:cs="Arial" w:eastAsia="Arial" w:hAnsi="Arial"/>
                <w:sz w:val="13"/>
                <w:szCs w:val="13"/>
                <w:color w:val="0000FF"/>
              </w:rPr>
              <w:t>D</w:t>
            </w:r>
          </w:p>
        </w:tc>
        <w:tc>
          <w:tcPr>
            <w:tcW w:w="5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3"/>
                <w:szCs w:val="13"/>
                <w:color w:val="0000FF"/>
                <w:w w:val="89"/>
              </w:rPr>
              <w:t>05/18/2021</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0000FF"/>
                <w:w w:val="89"/>
              </w:rPr>
              <w:t>05/18/2021</w:t>
            </w: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23" w:lineRule="exact"/>
              <w:rPr>
                <w:sz w:val="20"/>
                <w:szCs w:val="20"/>
                <w:color w:val="auto"/>
              </w:rPr>
            </w:pPr>
            <w:r>
              <w:rPr>
                <w:rFonts w:ascii="Arial" w:cs="Arial" w:eastAsia="Arial" w:hAnsi="Arial"/>
                <w:sz w:val="13"/>
                <w:szCs w:val="13"/>
                <w:color w:val="0000FF"/>
                <w:w w:val="82"/>
              </w:rPr>
              <w:t>0</w:t>
            </w:r>
          </w:p>
        </w:tc>
        <w:tc>
          <w:tcPr>
            <w:tcW w:w="72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spacing w:after="0" w:line="92" w:lineRule="exact"/>
              <w:rPr>
                <w:sz w:val="20"/>
                <w:szCs w:val="20"/>
                <w:color w:val="auto"/>
              </w:rPr>
            </w:pPr>
            <w:r>
              <w:rPr>
                <w:rFonts w:ascii="Arial" w:cs="Arial" w:eastAsia="Arial" w:hAnsi="Arial"/>
                <w:sz w:val="9"/>
                <w:szCs w:val="9"/>
                <w:color w:val="0000FF"/>
              </w:rPr>
              <w:t>par value</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4"/>
              </w:rPr>
              <w:t>$.01</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Phantom</w:t>
            </w:r>
          </w:p>
        </w:tc>
        <w:tc>
          <w:tcPr>
            <w:tcW w:w="760" w:type="dxa"/>
            <w:vAlign w:val="bottom"/>
            <w:vMerge w:val="restart"/>
          </w:tcPr>
          <w:p>
            <w:pPr>
              <w:jc w:val="center"/>
              <w:spacing w:after="0" w:line="260" w:lineRule="exact"/>
              <w:rPr>
                <w:sz w:val="20"/>
                <w:szCs w:val="20"/>
                <w:color w:val="auto"/>
              </w:rPr>
            </w:pPr>
            <w:r>
              <w:rPr>
                <w:rFonts w:ascii="Arial" w:cs="Arial" w:eastAsia="Arial" w:hAnsi="Arial"/>
                <w:sz w:val="22"/>
                <w:szCs w:val="22"/>
                <w:color w:val="000000"/>
                <w:w w:val="87"/>
                <w:vertAlign w:val="subscript"/>
              </w:rPr>
              <w:t>$</w:t>
            </w:r>
            <w:r>
              <w:rPr>
                <w:rFonts w:ascii="Arial" w:cs="Arial" w:eastAsia="Arial" w:hAnsi="Arial"/>
                <w:sz w:val="25"/>
                <w:szCs w:val="25"/>
                <w:color w:val="0000FF"/>
                <w:w w:val="87"/>
                <w:vertAlign w:val="subscript"/>
              </w:rPr>
              <w:t>0</w:t>
            </w:r>
            <w:r>
              <w:rPr>
                <w:rFonts w:ascii="Arial" w:cs="Arial" w:eastAsia="Arial" w:hAnsi="Arial"/>
                <w:sz w:val="10"/>
                <w:szCs w:val="10"/>
                <w:color w:val="008000"/>
                <w:w w:val="87"/>
              </w:rPr>
              <w:t>(9)</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6"/>
              </w:rPr>
              <w:t>05/18/2021</w:t>
            </w:r>
          </w:p>
        </w:tc>
        <w:tc>
          <w:tcPr>
            <w:tcW w:w="106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jc w:val="right"/>
              <w:ind w:right="42"/>
              <w:spacing w:after="0"/>
              <w:rPr>
                <w:sz w:val="20"/>
                <w:szCs w:val="20"/>
                <w:color w:val="auto"/>
              </w:rPr>
            </w:pPr>
            <w:r>
              <w:rPr>
                <w:rFonts w:ascii="Arial" w:cs="Arial" w:eastAsia="Arial" w:hAnsi="Arial"/>
                <w:sz w:val="13"/>
                <w:szCs w:val="13"/>
                <w:color w:val="0000FF"/>
              </w:rPr>
              <w:t>3,781</w:t>
            </w:r>
          </w:p>
        </w:tc>
        <w:tc>
          <w:tcPr>
            <w:tcW w:w="5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(9)</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(9)</w:t>
            </w: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3,781</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90"/>
              </w:rPr>
              <w:t>50,510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9"/>
              </w:rPr>
              <w:t>par value</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4"/>
              </w:rPr>
              <w:t>$.01</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restart"/>
          </w:tcPr>
          <w:p>
            <w:pPr>
              <w:jc w:val="center"/>
              <w:spacing w:after="0" w:line="260" w:lineRule="exact"/>
              <w:rPr>
                <w:sz w:val="20"/>
                <w:szCs w:val="20"/>
                <w:color w:val="auto"/>
              </w:rPr>
            </w:pPr>
            <w:r>
              <w:rPr>
                <w:rFonts w:ascii="Arial" w:cs="Arial" w:eastAsia="Arial" w:hAnsi="Arial"/>
                <w:sz w:val="22"/>
                <w:szCs w:val="22"/>
                <w:color w:val="000000"/>
                <w:w w:val="85"/>
                <w:vertAlign w:val="subscript"/>
              </w:rPr>
              <w:t>$</w:t>
            </w:r>
            <w:r>
              <w:rPr>
                <w:rFonts w:ascii="Arial" w:cs="Arial" w:eastAsia="Arial" w:hAnsi="Arial"/>
                <w:sz w:val="25"/>
                <w:szCs w:val="25"/>
                <w:color w:val="0000FF"/>
                <w:w w:val="85"/>
                <w:vertAlign w:val="subscript"/>
              </w:rPr>
              <w:t>0</w:t>
            </w:r>
            <w:r>
              <w:rPr>
                <w:rFonts w:ascii="Arial" w:cs="Arial" w:eastAsia="Arial" w:hAnsi="Arial"/>
                <w:sz w:val="10"/>
                <w:szCs w:val="10"/>
                <w:color w:val="008000"/>
                <w:w w:val="85"/>
              </w:rPr>
              <w:t>(10)</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10,000</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6"/>
                <w:szCs w:val="6"/>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6"/>
              </w:rPr>
              <w:t>05/19/2021</w:t>
            </w:r>
          </w:p>
        </w:tc>
        <w:tc>
          <w:tcPr>
            <w:tcW w:w="1060" w:type="dxa"/>
            <w:vAlign w:val="bottom"/>
          </w:tcPr>
          <w:p>
            <w:pPr>
              <w:spacing w:after="0"/>
              <w:rPr>
                <w:sz w:val="6"/>
                <w:szCs w:val="6"/>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jc w:val="right"/>
              <w:ind w:right="2"/>
              <w:spacing w:after="0"/>
              <w:rPr>
                <w:sz w:val="20"/>
                <w:szCs w:val="20"/>
                <w:color w:val="auto"/>
              </w:rPr>
            </w:pPr>
            <w:r>
              <w:rPr>
                <w:rFonts w:ascii="Arial" w:cs="Arial" w:eastAsia="Arial" w:hAnsi="Arial"/>
                <w:sz w:val="13"/>
                <w:szCs w:val="13"/>
                <w:color w:val="0000FF"/>
              </w:rPr>
              <w:t>10,000</w:t>
            </w:r>
          </w:p>
        </w:tc>
        <w:tc>
          <w:tcPr>
            <w:tcW w:w="5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90"/>
              </w:rPr>
              <w:t>10,000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6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3"/>
                <w:szCs w:val="13"/>
                <w:color w:val="0000FF"/>
                <w:w w:val="89"/>
              </w:rPr>
              <w:t>par value</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4"/>
              </w:rPr>
              <w:t>$.01</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3.03</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008000"/>
              </w:rPr>
              <w:t>(11)</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89"/>
              </w:rPr>
              <w:t>05/19/2027</w:t>
            </w: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25,297</w:t>
            </w:r>
          </w:p>
        </w:tc>
        <w:tc>
          <w:tcPr>
            <w:tcW w:w="68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90"/>
              </w:rPr>
              <w:t>25,297</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9"/>
              </w:rPr>
              <w:t>par value</w:t>
            </w:r>
          </w:p>
        </w:tc>
        <w:tc>
          <w:tcPr>
            <w:tcW w:w="5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4"/>
              </w:rPr>
              <w:t>$.01</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2677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7865" cy="2677795"/>
                    </a:xfrm>
                    <a:prstGeom prst="rect">
                      <a:avLst/>
                    </a:prstGeom>
                    <a:noFill/>
                  </pic:spPr>
                </pic:pic>
              </a:graphicData>
            </a:graphic>
          </wp:anchor>
        </w:drawing>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4.53</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(11)</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w w:val="95"/>
              </w:rPr>
              <w:t>05/19/2027</w:t>
            </w: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ind w:left="40"/>
              <w:spacing w:after="0"/>
              <w:rPr>
                <w:sz w:val="20"/>
                <w:szCs w:val="20"/>
                <w:color w:val="auto"/>
              </w:rPr>
            </w:pPr>
            <w:r>
              <w:rPr>
                <w:rFonts w:ascii="Arial" w:cs="Arial" w:eastAsia="Arial" w:hAnsi="Arial"/>
                <w:sz w:val="16"/>
                <w:szCs w:val="16"/>
                <w:color w:val="0000FF"/>
              </w:rPr>
              <w:t>7,699</w:t>
            </w:r>
          </w:p>
        </w:tc>
        <w:tc>
          <w:tcPr>
            <w:tcW w:w="680" w:type="dxa"/>
            <w:vAlign w:val="bottom"/>
          </w:tcPr>
          <w:p>
            <w:pPr>
              <w:spacing w:after="0"/>
              <w:rPr>
                <w:sz w:val="12"/>
                <w:szCs w:val="12"/>
                <w:color w:val="auto"/>
              </w:rPr>
            </w:pPr>
          </w:p>
        </w:tc>
        <w:tc>
          <w:tcPr>
            <w:tcW w:w="900" w:type="dxa"/>
            <w:vAlign w:val="bottom"/>
            <w:vMerge w:val="restart"/>
          </w:tcPr>
          <w:p>
            <w:pPr>
              <w:ind w:left="320"/>
              <w:spacing w:after="0"/>
              <w:rPr>
                <w:sz w:val="20"/>
                <w:szCs w:val="20"/>
                <w:color w:val="auto"/>
              </w:rPr>
            </w:pPr>
            <w:r>
              <w:rPr>
                <w:rFonts w:ascii="Arial" w:cs="Arial" w:eastAsia="Arial" w:hAnsi="Arial"/>
                <w:sz w:val="13"/>
                <w:szCs w:val="13"/>
                <w:color w:val="0000FF"/>
              </w:rPr>
              <w:t>7,699</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4"/>
              </w:rPr>
              <w:t>$.01</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6.03</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(11)</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w w:val="95"/>
              </w:rPr>
              <w:t>05/19/2027</w:t>
            </w: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ind w:left="40"/>
              <w:spacing w:after="0"/>
              <w:rPr>
                <w:sz w:val="20"/>
                <w:szCs w:val="20"/>
                <w:color w:val="auto"/>
              </w:rPr>
            </w:pPr>
            <w:r>
              <w:rPr>
                <w:rFonts w:ascii="Arial" w:cs="Arial" w:eastAsia="Arial" w:hAnsi="Arial"/>
                <w:sz w:val="16"/>
                <w:szCs w:val="16"/>
                <w:color w:val="0000FF"/>
              </w:rPr>
              <w:t>7,699</w:t>
            </w:r>
          </w:p>
        </w:tc>
        <w:tc>
          <w:tcPr>
            <w:tcW w:w="680" w:type="dxa"/>
            <w:vAlign w:val="bottom"/>
          </w:tcPr>
          <w:p>
            <w:pPr>
              <w:spacing w:after="0"/>
              <w:rPr>
                <w:sz w:val="12"/>
                <w:szCs w:val="12"/>
                <w:color w:val="auto"/>
              </w:rPr>
            </w:pPr>
          </w:p>
        </w:tc>
        <w:tc>
          <w:tcPr>
            <w:tcW w:w="900" w:type="dxa"/>
            <w:vAlign w:val="bottom"/>
            <w:vMerge w:val="restart"/>
          </w:tcPr>
          <w:p>
            <w:pPr>
              <w:ind w:left="320"/>
              <w:spacing w:after="0"/>
              <w:rPr>
                <w:sz w:val="20"/>
                <w:szCs w:val="20"/>
                <w:color w:val="auto"/>
              </w:rPr>
            </w:pPr>
            <w:r>
              <w:rPr>
                <w:rFonts w:ascii="Arial" w:cs="Arial" w:eastAsia="Arial" w:hAnsi="Arial"/>
                <w:sz w:val="13"/>
                <w:szCs w:val="13"/>
                <w:color w:val="0000FF"/>
              </w:rPr>
              <w:t>7,699</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4"/>
              </w:rPr>
              <w:t>$.01</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2"/>
              </w:rPr>
              <w:t>$</w:t>
            </w:r>
            <w:r>
              <w:rPr>
                <w:rFonts w:ascii="Arial" w:cs="Arial" w:eastAsia="Arial" w:hAnsi="Arial"/>
                <w:sz w:val="12"/>
                <w:szCs w:val="12"/>
                <w:color w:val="0000FF"/>
                <w:w w:val="92"/>
              </w:rPr>
              <w:t>12</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(11)</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w w:val="95"/>
              </w:rPr>
              <w:t>05/19/2027</w:t>
            </w: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ind w:left="40"/>
              <w:spacing w:after="0"/>
              <w:rPr>
                <w:sz w:val="20"/>
                <w:szCs w:val="20"/>
                <w:color w:val="auto"/>
              </w:rPr>
            </w:pPr>
            <w:r>
              <w:rPr>
                <w:rFonts w:ascii="Arial" w:cs="Arial" w:eastAsia="Arial" w:hAnsi="Arial"/>
                <w:sz w:val="16"/>
                <w:szCs w:val="16"/>
                <w:color w:val="0000FF"/>
              </w:rPr>
              <w:t>4,400</w:t>
            </w:r>
          </w:p>
        </w:tc>
        <w:tc>
          <w:tcPr>
            <w:tcW w:w="680" w:type="dxa"/>
            <w:vAlign w:val="bottom"/>
          </w:tcPr>
          <w:p>
            <w:pPr>
              <w:spacing w:after="0"/>
              <w:rPr>
                <w:sz w:val="12"/>
                <w:szCs w:val="12"/>
                <w:color w:val="auto"/>
              </w:rPr>
            </w:pPr>
          </w:p>
        </w:tc>
        <w:tc>
          <w:tcPr>
            <w:tcW w:w="900" w:type="dxa"/>
            <w:vAlign w:val="bottom"/>
            <w:vMerge w:val="restart"/>
          </w:tcPr>
          <w:p>
            <w:pPr>
              <w:ind w:left="320"/>
              <w:spacing w:after="0"/>
              <w:rPr>
                <w:sz w:val="20"/>
                <w:szCs w:val="20"/>
                <w:color w:val="auto"/>
              </w:rPr>
            </w:pPr>
            <w:r>
              <w:rPr>
                <w:rFonts w:ascii="Arial" w:cs="Arial" w:eastAsia="Arial" w:hAnsi="Arial"/>
                <w:sz w:val="13"/>
                <w:szCs w:val="13"/>
                <w:color w:val="0000FF"/>
              </w:rPr>
              <w:t>4,400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4"/>
              </w:rPr>
              <w:t>$.01</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restricted stock units convert into common stock on a one-for-one basis.</w:t>
      </w:r>
    </w:p>
    <w:p>
      <w:pPr>
        <w:spacing w:after="0" w:line="39" w:lineRule="exact"/>
        <w:rPr>
          <w:rFonts w:ascii="Arial" w:cs="Arial" w:eastAsia="Arial" w:hAnsi="Arial"/>
          <w:sz w:val="13"/>
          <w:szCs w:val="13"/>
          <w:color w:val="008000"/>
        </w:rPr>
      </w:pPr>
    </w:p>
    <w:p>
      <w:pPr>
        <w:ind w:left="20" w:right="280" w:hanging="1"/>
        <w:spacing w:after="0" w:line="234" w:lineRule="auto"/>
        <w:tabs>
          <w:tab w:leader="none" w:pos="14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restricted stock award was granted under the Company's 2013 Omnibus Incentive Plan, as amended, in a transaction exempt under Rule 16b-3 and, except as otherwise provided in the award notice, vests in four equal installments on August 18, 2021, November 18, 2021, February 18, 2022 and the day immediately preceding the Company's 2022 annual meeting of shareholders, with pro rata vesting upon Mr. Katz's separation from service prior to vesting.</w:t>
      </w:r>
    </w:p>
    <w:p>
      <w:pPr>
        <w:spacing w:after="0" w:line="29"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Katz disclaims beneficial ownership of the securities held by KF Investors LLC, an entity of which Mr. Katz is a managing member, except to the extent of his pecuniary interest therein.</w:t>
      </w:r>
    </w:p>
    <w:p>
      <w:pPr>
        <w:spacing w:after="0" w:line="39"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Mr. Katz disclaims beneficial ownership of the securities held by Momar Corporation, an entity in which Mr. Katz has an ownership interest, except to the extent of his pecuniary interest therein.</w:t>
      </w:r>
    </w:p>
    <w:p>
      <w:pPr>
        <w:spacing w:after="0" w:line="51" w:lineRule="exact"/>
        <w:rPr>
          <w:rFonts w:ascii="Arial" w:cs="Arial" w:eastAsia="Arial" w:hAnsi="Arial"/>
          <w:sz w:val="12"/>
          <w:szCs w:val="12"/>
          <w:color w:val="008000"/>
        </w:rPr>
      </w:pPr>
    </w:p>
    <w:p>
      <w:pPr>
        <w:ind w:left="140" w:hanging="121"/>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Mr. Katz disclaims beneficial ownership of the securities held by United Equities Commodities Company, an entity of which Mr. Katz is a general partner, except to the extent of his pecuniary interest therein.</w:t>
      </w:r>
    </w:p>
    <w:p>
      <w:pPr>
        <w:spacing w:after="0" w:line="51" w:lineRule="exact"/>
        <w:rPr>
          <w:rFonts w:ascii="Arial" w:cs="Arial" w:eastAsia="Arial" w:hAnsi="Arial"/>
          <w:sz w:val="12"/>
          <w:szCs w:val="12"/>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Katz disclaims beneficial ownership of the securities held by Marneu Holding Company, an entity of which Mr. Katz is a partner, except to the extent of his pecuniary interest therein.</w:t>
      </w:r>
    </w:p>
    <w:p>
      <w:pPr>
        <w:spacing w:after="0" w:line="39"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Mr. Katz disclaims beneficial ownership of the securities held by 111 John Realty Corp., an entity in which Mr. Katz has an ownership interest, except to the extent of his pecuniary interest therein.</w:t>
      </w:r>
    </w:p>
    <w:p>
      <w:pPr>
        <w:spacing w:after="0" w:line="51" w:lineRule="exact"/>
        <w:rPr>
          <w:rFonts w:ascii="Arial" w:cs="Arial" w:eastAsia="Arial" w:hAnsi="Arial"/>
          <w:sz w:val="12"/>
          <w:szCs w:val="12"/>
          <w:color w:val="008000"/>
        </w:rPr>
      </w:pPr>
    </w:p>
    <w:p>
      <w:pPr>
        <w:ind w:left="20" w:right="420" w:hanging="1"/>
        <w:spacing w:after="0" w:line="310"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Upon vesting on 5/18/2021, Mr. Katz deferred the receipt of 3,781 shares of common stock and received instead 3,781 shares of phantom stock pursuant to the terms of the Eastman Kodak Company Deferred Compensation Plan for Directors (the "Plan"). As a result, Mr. Katz is reporting the disposition of 3,781 shares of common stock in exchange for an equal number of shares of phantom stock under the Plan.</w:t>
      </w:r>
    </w:p>
    <w:p>
      <w:pPr>
        <w:ind w:left="20" w:right="300" w:hanging="1"/>
        <w:spacing w:after="0" w:line="239" w:lineRule="auto"/>
        <w:tabs>
          <w:tab w:leader="none" w:pos="14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phantom stock represents a right to receive one share of common stock and becomes payable at the election of Mr. Katz in the year following the year of his separation from service as a director in either a single lump sum payment or in a maximum of ten annual installments.</w:t>
      </w:r>
    </w:p>
    <w:p>
      <w:pPr>
        <w:spacing w:after="0" w:line="29" w:lineRule="exact"/>
        <w:rPr>
          <w:rFonts w:ascii="Arial" w:cs="Arial" w:eastAsia="Arial" w:hAnsi="Arial"/>
          <w:sz w:val="13"/>
          <w:szCs w:val="13"/>
          <w:color w:val="008000"/>
        </w:rPr>
      </w:pPr>
    </w:p>
    <w:p>
      <w:pPr>
        <w:ind w:left="20" w:right="120" w:hanging="1"/>
        <w:spacing w:after="0" w:line="239" w:lineRule="auto"/>
        <w:tabs>
          <w:tab w:leader="none" w:pos="20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restricted stock units, which convert into common stock on a one-for-one basis, were granted under the Company's 2013 Omnibus Incentive Plan, as amended, in a transaction exempt under Rule 16b-3 and, except as otherwise provided in the award notice, vest on the day immediately preceding the Company's 2022 annual meeting of shareholders.</w:t>
      </w:r>
    </w:p>
    <w:p>
      <w:pPr>
        <w:sectPr>
          <w:pgSz w:w="11900" w:h="16838" w:orient="portrait"/>
          <w:cols w:equalWidth="0" w:num="1">
            <w:col w:w="11040"/>
          </w:cols>
          <w:pgMar w:left="480" w:top="185" w:right="37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11. This option has fully vested as of the date of this report.</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9"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Roger W. Byrd,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0</wp:posOffset>
            </wp:positionV>
            <wp:extent cx="13252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fact for Philippe D.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1025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5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1360" w:hanging="1"/>
        <w:spacing w:after="0" w:line="325"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0000FF"/>
        </w:rPr>
        <w:t>05/20/2021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3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0" w:lineRule="exact"/>
        <w:rPr>
          <w:sz w:val="20"/>
          <w:szCs w:val="20"/>
          <w:color w:val="auto"/>
        </w:rPr>
      </w:pPr>
    </w:p>
    <w:p>
      <w:pPr>
        <w:sectPr>
          <w:pgSz w:w="11900" w:h="16838" w:orient="portrait"/>
          <w:cols w:equalWidth="0" w:num="2">
            <w:col w:w="8660" w:space="120"/>
            <w:col w:w="2260"/>
          </w:cols>
          <w:pgMar w:left="480" w:top="185" w:right="37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79836" TargetMode="External"/><Relationship Id="rId13" Type="http://schemas.openxmlformats.org/officeDocument/2006/relationships/hyperlink" Target="http://www.sec.gov/cgi-bin/browse-edgar?action=getcompany&amp;CIK=0000031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2021-05-20T18:06:36Z</dcterms:created>
  <dcterms:modified xsi:type="dcterms:W3CDTF">2021-05-20T18:06:36Z</dcterms:modified>
</cp:coreProperties>
</file>