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309245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325755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102870</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6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122555</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306"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20" w:hanging="513"/>
        <w:spacing w:after="0"/>
        <w:tabs>
          <w:tab w:leader="none" w:pos="5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54" w:lineRule="exact"/>
        <w:rPr>
          <w:sz w:val="24"/>
          <w:szCs w:val="24"/>
          <w:color w:val="auto"/>
        </w:rPr>
      </w:pPr>
    </w:p>
    <w:p>
      <w:pPr>
        <w:ind w:left="39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3971925</wp:posOffset>
            </wp:positionH>
            <wp:positionV relativeFrom="paragraph">
              <wp:posOffset>-8890</wp:posOffset>
            </wp:positionV>
            <wp:extent cx="770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117475</wp:posOffset>
            </wp:positionV>
            <wp:extent cx="145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8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EASTMAN KODAK COMPANY</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104775</wp:posOffset>
            </wp:positionV>
            <wp:extent cx="1456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86" w:lineRule="exact"/>
        <w:rPr>
          <w:sz w:val="24"/>
          <w:szCs w:val="24"/>
          <w:color w:val="auto"/>
        </w:rPr>
      </w:pPr>
    </w:p>
    <w:tbl>
      <w:tblPr>
        <w:tblLayout w:type="fixed"/>
        <w:tblInd w:w="920" w:type="dxa"/>
        <w:tblCellMar>
          <w:top w:w="0" w:type="dxa"/>
          <w:left w:w="0" w:type="dxa"/>
          <w:bottom w:w="0" w:type="dxa"/>
          <w:right w:w="0" w:type="dxa"/>
        </w:tblCellMar>
      </w:tblPr>
      <w:tr>
        <w:trPr>
          <w:trHeight w:val="230"/>
        </w:trPr>
        <w:tc>
          <w:tcPr>
            <w:tcW w:w="5520" w:type="dxa"/>
            <w:vAlign w:val="bottom"/>
          </w:tcPr>
          <w:p>
            <w:pPr>
              <w:jc w:val="center"/>
              <w:ind w:right="1540"/>
              <w:spacing w:after="0"/>
              <w:rPr>
                <w:sz w:val="20"/>
                <w:szCs w:val="20"/>
                <w:color w:val="auto"/>
              </w:rPr>
            </w:pPr>
            <w:r>
              <w:rPr>
                <w:rFonts w:ascii="Arial" w:cs="Arial" w:eastAsia="Arial" w:hAnsi="Arial"/>
                <w:sz w:val="18"/>
                <w:szCs w:val="18"/>
                <w:b w:val="1"/>
                <w:bCs w:val="1"/>
                <w:color w:val="auto"/>
                <w:w w:val="96"/>
              </w:rPr>
              <w:t>NEW JERSEY</w:t>
            </w:r>
          </w:p>
        </w:tc>
        <w:tc>
          <w:tcPr>
            <w:tcW w:w="2740" w:type="dxa"/>
            <w:vAlign w:val="bottom"/>
          </w:tcPr>
          <w:p>
            <w:pPr>
              <w:jc w:val="right"/>
              <w:ind w:right="42"/>
              <w:spacing w:after="0"/>
              <w:rPr>
                <w:sz w:val="20"/>
                <w:szCs w:val="20"/>
                <w:color w:val="auto"/>
              </w:rPr>
            </w:pPr>
            <w:r>
              <w:rPr>
                <w:rFonts w:ascii="Arial" w:cs="Arial" w:eastAsia="Arial" w:hAnsi="Arial"/>
                <w:sz w:val="18"/>
                <w:szCs w:val="18"/>
                <w:b w:val="1"/>
                <w:bCs w:val="1"/>
                <w:color w:val="auto"/>
              </w:rPr>
              <w:t>16-0417150</w:t>
            </w:r>
          </w:p>
        </w:tc>
      </w:tr>
      <w:tr>
        <w:trPr>
          <w:trHeight w:val="152"/>
        </w:trPr>
        <w:tc>
          <w:tcPr>
            <w:tcW w:w="5520" w:type="dxa"/>
            <w:vAlign w:val="bottom"/>
          </w:tcPr>
          <w:p>
            <w:pPr>
              <w:jc w:val="center"/>
              <w:ind w:right="1540"/>
              <w:spacing w:after="0" w:line="152" w:lineRule="exact"/>
              <w:rPr>
                <w:sz w:val="20"/>
                <w:szCs w:val="20"/>
                <w:color w:val="auto"/>
              </w:rPr>
            </w:pPr>
            <w:r>
              <w:rPr>
                <w:rFonts w:ascii="Arial" w:cs="Arial" w:eastAsia="Arial" w:hAnsi="Arial"/>
                <w:sz w:val="14"/>
                <w:szCs w:val="14"/>
                <w:b w:val="1"/>
                <w:bCs w:val="1"/>
                <w:color w:val="auto"/>
                <w:w w:val="91"/>
              </w:rPr>
              <w:t>(State of incorporation)</w:t>
            </w:r>
          </w:p>
        </w:tc>
        <w:tc>
          <w:tcPr>
            <w:tcW w:w="2740" w:type="dxa"/>
            <w:vAlign w:val="bottom"/>
          </w:tcPr>
          <w:p>
            <w:pPr>
              <w:jc w:val="center"/>
              <w:ind w:left="1542"/>
              <w:spacing w:after="0" w:line="152" w:lineRule="exact"/>
              <w:rPr>
                <w:sz w:val="20"/>
                <w:szCs w:val="20"/>
                <w:color w:val="auto"/>
              </w:rPr>
            </w:pPr>
            <w:r>
              <w:rPr>
                <w:rFonts w:ascii="Arial" w:cs="Arial" w:eastAsia="Arial" w:hAnsi="Arial"/>
                <w:sz w:val="14"/>
                <w:szCs w:val="14"/>
                <w:b w:val="1"/>
                <w:bCs w:val="1"/>
                <w:color w:val="auto"/>
                <w:w w:val="96"/>
              </w:rPr>
              <w:t>(IRS Employer</w:t>
            </w:r>
          </w:p>
        </w:tc>
      </w:tr>
      <w:tr>
        <w:trPr>
          <w:trHeight w:val="185"/>
        </w:trPr>
        <w:tc>
          <w:tcPr>
            <w:tcW w:w="5520" w:type="dxa"/>
            <w:vAlign w:val="bottom"/>
          </w:tcPr>
          <w:p>
            <w:pPr>
              <w:spacing w:after="0"/>
              <w:rPr>
                <w:sz w:val="16"/>
                <w:szCs w:val="16"/>
                <w:color w:val="auto"/>
              </w:rPr>
            </w:pPr>
          </w:p>
        </w:tc>
        <w:tc>
          <w:tcPr>
            <w:tcW w:w="2740" w:type="dxa"/>
            <w:vAlign w:val="bottom"/>
          </w:tcPr>
          <w:p>
            <w:pPr>
              <w:jc w:val="center"/>
              <w:ind w:left="1562"/>
              <w:spacing w:after="0"/>
              <w:rPr>
                <w:sz w:val="20"/>
                <w:szCs w:val="20"/>
                <w:color w:val="auto"/>
              </w:rPr>
            </w:pPr>
            <w:r>
              <w:rPr>
                <w:rFonts w:ascii="Arial" w:cs="Arial" w:eastAsia="Arial" w:hAnsi="Arial"/>
                <w:sz w:val="14"/>
                <w:szCs w:val="14"/>
                <w:b w:val="1"/>
                <w:bCs w:val="1"/>
                <w:color w:val="auto"/>
                <w:w w:val="92"/>
              </w:rPr>
              <w:t>Identification No.)</w:t>
            </w:r>
          </w:p>
        </w:tc>
      </w:tr>
      <w:tr>
        <w:trPr>
          <w:trHeight w:val="317"/>
        </w:trPr>
        <w:tc>
          <w:tcPr>
            <w:tcW w:w="5520" w:type="dxa"/>
            <w:vAlign w:val="bottom"/>
          </w:tcPr>
          <w:p>
            <w:pPr>
              <w:jc w:val="center"/>
              <w:ind w:right="1540"/>
              <w:spacing w:after="0"/>
              <w:rPr>
                <w:sz w:val="20"/>
                <w:szCs w:val="20"/>
                <w:color w:val="auto"/>
              </w:rPr>
            </w:pPr>
            <w:r>
              <w:rPr>
                <w:rFonts w:ascii="Arial" w:cs="Arial" w:eastAsia="Arial" w:hAnsi="Arial"/>
                <w:sz w:val="18"/>
                <w:szCs w:val="18"/>
                <w:b w:val="1"/>
                <w:bCs w:val="1"/>
                <w:color w:val="auto"/>
                <w:w w:val="96"/>
              </w:rPr>
              <w:t>343 STATE STREET, ROCHESTER, NEW YORK</w:t>
            </w:r>
          </w:p>
        </w:tc>
        <w:tc>
          <w:tcPr>
            <w:tcW w:w="2740" w:type="dxa"/>
            <w:vAlign w:val="bottom"/>
          </w:tcPr>
          <w:p>
            <w:pPr>
              <w:jc w:val="right"/>
              <w:ind w:right="262"/>
              <w:spacing w:after="0"/>
              <w:rPr>
                <w:sz w:val="20"/>
                <w:szCs w:val="20"/>
                <w:color w:val="auto"/>
              </w:rPr>
            </w:pPr>
            <w:r>
              <w:rPr>
                <w:rFonts w:ascii="Arial" w:cs="Arial" w:eastAsia="Arial" w:hAnsi="Arial"/>
                <w:sz w:val="18"/>
                <w:szCs w:val="18"/>
                <w:b w:val="1"/>
                <w:bCs w:val="1"/>
                <w:color w:val="auto"/>
              </w:rPr>
              <w:t>14650</w:t>
            </w:r>
          </w:p>
        </w:tc>
      </w:tr>
      <w:tr>
        <w:trPr>
          <w:trHeight w:val="190"/>
        </w:trPr>
        <w:tc>
          <w:tcPr>
            <w:tcW w:w="5520" w:type="dxa"/>
            <w:vAlign w:val="bottom"/>
          </w:tcPr>
          <w:p>
            <w:pPr>
              <w:jc w:val="center"/>
              <w:ind w:right="1540"/>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2740" w:type="dxa"/>
            <w:vAlign w:val="bottom"/>
          </w:tcPr>
          <w:p>
            <w:pPr>
              <w:jc w:val="center"/>
              <w:ind w:left="1562"/>
              <w:spacing w:after="0"/>
              <w:rPr>
                <w:sz w:val="20"/>
                <w:szCs w:val="20"/>
                <w:color w:val="auto"/>
              </w:rPr>
            </w:pPr>
            <w:r>
              <w:rPr>
                <w:rFonts w:ascii="Arial" w:cs="Arial" w:eastAsia="Arial" w:hAnsi="Arial"/>
                <w:sz w:val="14"/>
                <w:szCs w:val="14"/>
                <w:b w:val="1"/>
                <w:bCs w:val="1"/>
                <w:color w:val="auto"/>
                <w:w w:val="95"/>
              </w:rPr>
              <w:t>(Zip Code)</w:t>
            </w:r>
          </w:p>
        </w:tc>
      </w:tr>
    </w:tbl>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117475</wp:posOffset>
            </wp:positionV>
            <wp:extent cx="1456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312"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right="4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right="600"/>
        <w:spacing w:after="0" w:line="29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40"/>
          </w:cols>
          <w:pgMar w:left="240" w:top="565" w:right="219" w:bottom="1440" w:gutter="0" w:footer="0" w:header="0"/>
        </w:sectPr>
      </w:pP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8" w:lineRule="exact"/>
        <w:rPr>
          <w:sz w:val="24"/>
          <w:szCs w:val="24"/>
          <w:color w:val="auto"/>
        </w:rPr>
      </w:pPr>
    </w:p>
    <w:p>
      <w:pPr>
        <w:sectPr>
          <w:pgSz w:w="11900" w:h="16838" w:orient="portrait"/>
          <w:cols w:equalWidth="0" w:num="4">
            <w:col w:w="1860" w:space="720"/>
            <w:col w:w="5280" w:space="720"/>
            <w:col w:w="1800" w:space="720"/>
            <w:col w:w="340"/>
          </w:cols>
          <w:pgMar w:left="240" w:top="565" w:right="21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64" w:lineRule="exact"/>
        <w:rPr>
          <w:sz w:val="24"/>
          <w:szCs w:val="24"/>
          <w:color w:val="auto"/>
        </w:rPr>
      </w:pPr>
    </w:p>
    <w:p>
      <w:pPr>
        <w:sectPr>
          <w:pgSz w:w="11900" w:h="16838" w:orient="portrait"/>
          <w:cols w:equalWidth="0" w:num="4">
            <w:col w:w="1860" w:space="720"/>
            <w:col w:w="5280" w:space="720"/>
            <w:col w:w="1940" w:space="620"/>
            <w:col w:w="300"/>
          </w:cols>
          <w:pgMar w:left="240" w:top="565" w:right="219" w:bottom="1440" w:gutter="0" w:footer="0" w:header="0"/>
          <w:type w:val="continuous"/>
        </w:sectPr>
      </w:pP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Yes o</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3">
            <w:col w:w="8080" w:space="180"/>
            <w:col w:w="420" w:space="140"/>
            <w:col w:w="2620"/>
          </w:cols>
          <w:pgMar w:left="240" w:top="565" w:right="21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140" w:type="dxa"/>
            <w:vAlign w:val="bottom"/>
            <w:gridSpan w:val="2"/>
            <w:vMerge w:val="restart"/>
          </w:tcPr>
          <w:p>
            <w:pPr>
              <w:jc w:val="center"/>
              <w:ind w:right="2280"/>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 Outstanding at</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5140" w:type="dxa"/>
            <w:vAlign w:val="bottom"/>
            <w:gridSpan w:val="2"/>
            <w:vMerge w:val="continue"/>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1"/>
              </w:rPr>
              <w:t>August 8, 2016</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w:t>
            </w:r>
          </w:p>
        </w:tc>
        <w:tc>
          <w:tcPr>
            <w:tcW w:w="2280" w:type="dxa"/>
            <w:vAlign w:val="bottom"/>
          </w:tcPr>
          <w:p>
            <w:pPr>
              <w:spacing w:after="0"/>
              <w:rPr>
                <w:sz w:val="18"/>
                <w:szCs w:val="18"/>
                <w:color w:val="auto"/>
              </w:rPr>
            </w:pPr>
          </w:p>
        </w:tc>
        <w:tc>
          <w:tcPr>
            <w:tcW w:w="2860" w:type="dxa"/>
            <w:vAlign w:val="bottom"/>
            <w:tcBorders>
              <w:top w:val="single" w:sz="8" w:color="auto"/>
            </w:tcBorders>
          </w:tcPr>
          <w:p>
            <w:pPr>
              <w:jc w:val="right"/>
              <w:ind w:right="883"/>
              <w:spacing w:after="0"/>
              <w:rPr>
                <w:sz w:val="20"/>
                <w:szCs w:val="20"/>
                <w:color w:val="auto"/>
              </w:rPr>
            </w:pPr>
            <w:r>
              <w:rPr>
                <w:rFonts w:ascii="Arial" w:cs="Arial" w:eastAsia="Arial" w:hAnsi="Arial"/>
                <w:sz w:val="18"/>
                <w:szCs w:val="18"/>
                <w:color w:val="auto"/>
              </w:rPr>
              <w:t>42,247,470</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7"/>
        </w:trPr>
        <w:tc>
          <w:tcPr>
            <w:tcW w:w="17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65"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2016</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gridSpan w:val="5"/>
            <w:vMerge w:val="restart"/>
          </w:tcPr>
          <w:p>
            <w:pPr>
              <w:jc w:val="center"/>
              <w:ind w:right="2100"/>
              <w:spacing w:after="0"/>
              <w:rPr>
                <w:sz w:val="20"/>
                <w:szCs w:val="20"/>
                <w:color w:val="auto"/>
              </w:rPr>
            </w:pPr>
            <w:r>
              <w:rPr>
                <w:rFonts w:ascii="Arial" w:cs="Arial" w:eastAsia="Arial" w:hAnsi="Arial"/>
                <w:sz w:val="18"/>
                <w:szCs w:val="18"/>
                <w:b w:val="1"/>
                <w:bCs w:val="1"/>
                <w:color w:val="auto"/>
                <w:w w:val="94"/>
              </w:rPr>
              <w:t>Part I.—Financial Information</w:t>
            </w:r>
          </w:p>
        </w:tc>
        <w:tc>
          <w:tcPr>
            <w:tcW w:w="2400" w:type="dxa"/>
            <w:vAlign w:val="bottom"/>
          </w:tcPr>
          <w:p>
            <w:pPr>
              <w:jc w:val="right"/>
              <w:ind w:right="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gridSpan w:val="5"/>
            <w:vMerge w:val="continue"/>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820" w:type="dxa"/>
            <w:vAlign w:val="bottom"/>
            <w:gridSpan w:val="1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36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 of Operations (Unaudited)</w:t>
              </w:r>
            </w:hyperlink>
          </w:p>
        </w:tc>
        <w:tc>
          <w:tcPr>
            <w:tcW w:w="4700" w:type="dxa"/>
            <w:vAlign w:val="bottom"/>
            <w:gridSpan w:val="7"/>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50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 of Comprehensive (Loss) Income (Unaudited)</w:t>
              </w:r>
            </w:hyperlink>
          </w:p>
        </w:tc>
        <w:tc>
          <w:tcPr>
            <w:tcW w:w="3280" w:type="dxa"/>
            <w:vAlign w:val="bottom"/>
            <w:gridSpan w:val="2"/>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83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Financial Position (Unaudited)</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36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 of Cash Flows (Unaudited)</w:t>
              </w:r>
            </w:hyperlink>
          </w:p>
        </w:tc>
        <w:tc>
          <w:tcPr>
            <w:tcW w:w="440" w:type="dxa"/>
            <w:vAlign w:val="bottom"/>
            <w:tcBorders>
              <w:top w:val="single" w:sz="8" w:color="0000EE"/>
            </w:tcBorders>
            <w:gridSpan w:val="2"/>
          </w:tcPr>
          <w:p>
            <w:pPr>
              <w:spacing w:after="0"/>
              <w:rPr>
                <w:sz w:val="19"/>
                <w:szCs w:val="19"/>
                <w:color w:val="auto"/>
              </w:rPr>
            </w:pPr>
          </w:p>
        </w:tc>
        <w:tc>
          <w:tcPr>
            <w:tcW w:w="4200" w:type="dxa"/>
            <w:vAlign w:val="bottom"/>
            <w:gridSpan w:val="4"/>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72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30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Financial Statements (Unaudited)</w:t>
              </w:r>
            </w:hyperlink>
          </w:p>
        </w:tc>
        <w:tc>
          <w:tcPr>
            <w:tcW w:w="5280" w:type="dxa"/>
            <w:vAlign w:val="bottom"/>
            <w:gridSpan w:val="8"/>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0"/>
        </w:trPr>
        <w:tc>
          <w:tcPr>
            <w:tcW w:w="720" w:type="dxa"/>
            <w:vAlign w:val="bottom"/>
            <w:vMerge w:val="continue"/>
          </w:tcPr>
          <w:p>
            <w:pPr>
              <w:spacing w:after="0"/>
              <w:rPr>
                <w:sz w:val="19"/>
                <w:szCs w:val="19"/>
                <w:color w:val="auto"/>
              </w:rPr>
            </w:pPr>
          </w:p>
        </w:tc>
        <w:tc>
          <w:tcPr>
            <w:tcW w:w="832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0"/>
        </w:trPr>
        <w:tc>
          <w:tcPr>
            <w:tcW w:w="72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6380" w:type="dxa"/>
            <w:vAlign w:val="bottom"/>
            <w:tcBorders>
              <w:top w:val="single" w:sz="8" w:color="0000EE"/>
            </w:tcBorders>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Liquidity and Capital Resources</w:t>
              </w:r>
            </w:hyperlink>
          </w:p>
        </w:tc>
        <w:tc>
          <w:tcPr>
            <w:tcW w:w="19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vMerge w:val="continue"/>
          </w:tcPr>
          <w:p>
            <w:pPr>
              <w:spacing w:after="0"/>
              <w:rPr>
                <w:sz w:val="19"/>
                <w:szCs w:val="19"/>
                <w:color w:val="auto"/>
              </w:rPr>
            </w:pPr>
          </w:p>
        </w:tc>
        <w:tc>
          <w:tcPr>
            <w:tcW w:w="43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Quantitative and Qualitative Disclosures About Market Risk</w:t>
              </w:r>
            </w:hyperlink>
          </w:p>
        </w:tc>
        <w:tc>
          <w:tcPr>
            <w:tcW w:w="4000" w:type="dxa"/>
            <w:vAlign w:val="bottom"/>
            <w:gridSpan w:val="3"/>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52"/>
        </w:trPr>
        <w:tc>
          <w:tcPr>
            <w:tcW w:w="7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5"/>
          </w:tcPr>
          <w:p>
            <w:pPr>
              <w:jc w:val="center"/>
              <w:ind w:right="2120"/>
              <w:spacing w:after="0"/>
              <w:rPr>
                <w:sz w:val="20"/>
                <w:szCs w:val="20"/>
                <w:color w:val="auto"/>
              </w:rPr>
            </w:pPr>
            <w:r>
              <w:rPr>
                <w:rFonts w:ascii="Arial" w:cs="Arial" w:eastAsia="Arial" w:hAnsi="Arial"/>
                <w:sz w:val="18"/>
                <w:szCs w:val="18"/>
                <w:b w:val="1"/>
                <w:bCs w:val="1"/>
                <w:color w:val="auto"/>
                <w:w w:val="96"/>
              </w:rPr>
              <w:t>Part II. —Other Information</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vMerge w:val="continue"/>
          </w:tcPr>
          <w:p>
            <w:pPr>
              <w:spacing w:after="0"/>
              <w:rPr>
                <w:sz w:val="19"/>
                <w:szCs w:val="19"/>
                <w:color w:val="auto"/>
              </w:rPr>
            </w:pPr>
          </w:p>
        </w:tc>
        <w:tc>
          <w:tcPr>
            <w:tcW w:w="832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Securities and Use of Proceeds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20"/>
                <w:szCs w:val="20"/>
                <w:color w:val="auto"/>
              </w:rPr>
            </w:pPr>
            <w:r>
              <w:rPr>
                <w:rFonts w:ascii="Arial" w:cs="Arial" w:eastAsia="Arial" w:hAnsi="Arial"/>
                <w:sz w:val="18"/>
                <w:szCs w:val="18"/>
                <w:color w:val="auto"/>
              </w:rPr>
              <w:t>Item 5.</w:t>
            </w:r>
          </w:p>
        </w:tc>
        <w:tc>
          <w:tcPr>
            <w:tcW w:w="3780" w:type="dxa"/>
            <w:vAlign w:val="bottom"/>
            <w:tcBorders>
              <w:top w:val="single" w:sz="8" w:color="0000EE"/>
            </w:tcBorders>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4540" w:type="dxa"/>
            <w:vAlign w:val="bottom"/>
            <w:gridSpan w:val="5"/>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720" w:type="dxa"/>
            <w:vAlign w:val="bottom"/>
            <w:tcBorders>
              <w:top w:val="single" w:sz="8" w:color="0000EE"/>
            </w:tcBorders>
            <w:gridSpan w:val="3"/>
          </w:tcPr>
          <w:p>
            <w:pPr>
              <w:spacing w:after="0"/>
              <w:rPr>
                <w:sz w:val="19"/>
                <w:szCs w:val="19"/>
                <w:color w:val="auto"/>
              </w:rPr>
            </w:pPr>
          </w:p>
        </w:tc>
        <w:tc>
          <w:tcPr>
            <w:tcW w:w="7000" w:type="dxa"/>
            <w:vAlign w:val="bottom"/>
            <w:gridSpan w:val="12"/>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60"/>
        </w:trPr>
        <w:tc>
          <w:tcPr>
            <w:tcW w:w="72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tcPr>
          <w:p>
            <w:pPr>
              <w:spacing w:after="0"/>
              <w:rPr>
                <w:sz w:val="19"/>
                <w:szCs w:val="19"/>
                <w:color w:val="auto"/>
              </w:rPr>
            </w:pPr>
          </w:p>
        </w:tc>
        <w:tc>
          <w:tcPr>
            <w:tcW w:w="12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Index to Exhibits</w:t>
              </w:r>
            </w:hyperlink>
          </w:p>
        </w:tc>
        <w:tc>
          <w:tcPr>
            <w:tcW w:w="7080" w:type="dxa"/>
            <w:vAlign w:val="bottom"/>
            <w:gridSpan w:val="13"/>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925"/>
        </w:trPr>
        <w:tc>
          <w:tcPr>
            <w:tcW w:w="720" w:type="dxa"/>
            <w:vAlign w:val="bottom"/>
          </w:tcPr>
          <w:p>
            <w:pPr>
              <w:spacing w:after="0"/>
              <w:rPr>
                <w:sz w:val="24"/>
                <w:szCs w:val="24"/>
                <w:color w:val="auto"/>
              </w:rPr>
            </w:pPr>
          </w:p>
        </w:tc>
        <w:tc>
          <w:tcPr>
            <w:tcW w:w="6380" w:type="dxa"/>
            <w:vAlign w:val="bottom"/>
            <w:gridSpan w:val="15"/>
          </w:tcPr>
          <w:p>
            <w:pPr>
              <w:jc w:val="center"/>
              <w:ind w:left="3531"/>
              <w:spacing w:after="0"/>
              <w:rPr>
                <w:sz w:val="20"/>
                <w:szCs w:val="20"/>
                <w:color w:val="auto"/>
              </w:rPr>
            </w:pPr>
            <w:r>
              <w:rPr>
                <w:rFonts w:ascii="Arial" w:cs="Arial" w:eastAsia="Arial" w:hAnsi="Arial"/>
                <w:sz w:val="18"/>
                <w:szCs w:val="18"/>
                <w:color w:val="auto"/>
                <w:w w:val="99"/>
              </w:rPr>
              <w:t>[2]</w:t>
            </w:r>
          </w:p>
        </w:tc>
        <w:tc>
          <w:tcPr>
            <w:tcW w:w="1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0"/>
              <w:spacing w:after="0" w:line="153"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500"/>
              <w:spacing w:after="0"/>
              <w:rPr>
                <w:sz w:val="20"/>
                <w:szCs w:val="20"/>
                <w:color w:val="auto"/>
              </w:rPr>
            </w:pPr>
            <w:r>
              <w:rPr>
                <w:rFonts w:ascii="Arial" w:cs="Arial" w:eastAsia="Arial" w:hAnsi="Arial"/>
                <w:sz w:val="18"/>
                <w:szCs w:val="18"/>
                <w:color w:val="auto"/>
              </w:rPr>
              <w:t>Sales</w:t>
            </w:r>
          </w:p>
        </w:tc>
        <w:tc>
          <w:tcPr>
            <w:tcW w:w="84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50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60" w:type="dxa"/>
            <w:vAlign w:val="bottom"/>
          </w:tcPr>
          <w:p>
            <w:pPr>
              <w:spacing w:after="0"/>
              <w:rPr>
                <w:sz w:val="20"/>
                <w:szCs w:val="20"/>
                <w:color w:val="auto"/>
              </w:rPr>
            </w:pPr>
            <w:r>
              <w:rPr>
                <w:rFonts w:ascii="Arial" w:cs="Arial" w:eastAsia="Arial" w:hAnsi="Arial"/>
                <w:sz w:val="18"/>
                <w:szCs w:val="18"/>
                <w:color w:val="auto"/>
              </w:rPr>
              <w:t>Income from continuing operations before interest expense,</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Pr>
          <w:p>
            <w:pPr>
              <w:ind w:left="140"/>
              <w:spacing w:after="0"/>
              <w:rPr>
                <w:sz w:val="20"/>
                <w:szCs w:val="20"/>
                <w:color w:val="auto"/>
              </w:rPr>
            </w:pPr>
            <w:r>
              <w:rPr>
                <w:rFonts w:ascii="Arial" w:cs="Arial" w:eastAsia="Arial" w:hAnsi="Arial"/>
                <w:sz w:val="18"/>
                <w:szCs w:val="18"/>
                <w:color w:val="auto"/>
              </w:rPr>
              <w:t>other charges, net, reorganization items, net and income taxes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spacing w:after="0"/>
              <w:rPr>
                <w:sz w:val="20"/>
                <w:szCs w:val="20"/>
                <w:color w:val="auto"/>
              </w:rPr>
            </w:pPr>
            <w:r>
              <w:rPr>
                <w:rFonts w:ascii="Arial" w:cs="Arial" w:eastAsia="Arial" w:hAnsi="Arial"/>
                <w:sz w:val="18"/>
                <w:szCs w:val="18"/>
                <w:color w:val="auto"/>
              </w:rPr>
              <w:t>Other charges, net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Reorganization items, net</w:t>
            </w: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6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Net earnings (loss)</w:t>
            </w: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60" w:type="dxa"/>
            <w:vAlign w:val="bottom"/>
          </w:tcPr>
          <w:p>
            <w:pPr>
              <w:spacing w:after="0"/>
              <w:rPr>
                <w:sz w:val="20"/>
                <w:szCs w:val="20"/>
                <w:color w:val="auto"/>
              </w:rPr>
            </w:pPr>
            <w:r>
              <w:rPr>
                <w:rFonts w:ascii="Arial" w:cs="Arial" w:eastAsia="Arial" w:hAnsi="Arial"/>
                <w:sz w:val="18"/>
                <w:szCs w:val="18"/>
                <w:color w:val="auto"/>
              </w:rPr>
              <w:t>NET EARNINGS (LOSS) ATTRIBUTABLE TO EASTMAN KODAK</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860" w:type="dxa"/>
            <w:vAlign w:val="bottom"/>
          </w:tcPr>
          <w:p>
            <w:pPr>
              <w:ind w:left="140"/>
              <w:spacing w:after="0"/>
              <w:rPr>
                <w:sz w:val="20"/>
                <w:szCs w:val="20"/>
                <w:color w:val="auto"/>
              </w:rPr>
            </w:pPr>
            <w:r>
              <w:rPr>
                <w:rFonts w:ascii="Arial" w:cs="Arial" w:eastAsia="Arial" w:hAnsi="Arial"/>
                <w:sz w:val="18"/>
                <w:szCs w:val="18"/>
                <w:color w:val="auto"/>
              </w:rPr>
              <w:t>COMPANY</w:t>
            </w:r>
          </w:p>
        </w:tc>
        <w:tc>
          <w:tcPr>
            <w:tcW w:w="84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3"/>
                <w:szCs w:val="23"/>
                <w:color w:val="auto"/>
              </w:rPr>
            </w:pPr>
          </w:p>
        </w:tc>
        <w:tc>
          <w:tcPr>
            <w:tcW w:w="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5"/>
        </w:trPr>
        <w:tc>
          <w:tcPr>
            <w:tcW w:w="58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w w:val="96"/>
              </w:rPr>
              <w:t>Basic net earnings (loss) per share attributable to Eastman Kodak Company</w:t>
            </w:r>
          </w:p>
        </w:tc>
        <w:tc>
          <w:tcPr>
            <w:tcW w:w="10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common shareholders: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84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9"/>
                <w:szCs w:val="19"/>
                <w:color w:val="auto"/>
              </w:rPr>
            </w:pPr>
          </w:p>
        </w:tc>
        <w:tc>
          <w:tcPr>
            <w:tcW w:w="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(0.38)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3"/>
              </w:rPr>
              <w:t>(0.19)</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(0.19)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60" w:type="dxa"/>
            <w:vAlign w:val="bottom"/>
            <w:vMerge w:val="continue"/>
          </w:tcPr>
          <w:p>
            <w:pPr>
              <w:spacing w:after="0"/>
              <w:rPr>
                <w:sz w:val="22"/>
                <w:szCs w:val="22"/>
                <w:color w:val="auto"/>
              </w:rPr>
            </w:pPr>
          </w:p>
        </w:tc>
        <w:tc>
          <w:tcPr>
            <w:tcW w:w="84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2"/>
                <w:szCs w:val="22"/>
                <w:color w:val="auto"/>
              </w:rPr>
            </w:pPr>
          </w:p>
        </w:tc>
        <w:tc>
          <w:tcPr>
            <w:tcW w:w="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(0.57)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5"/>
        </w:trPr>
        <w:tc>
          <w:tcPr>
            <w:tcW w:w="58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w w:val="94"/>
              </w:rPr>
              <w:t>Diluted net earnings (loss) per share attributable to Eastman Kodak Company</w:t>
            </w:r>
          </w:p>
        </w:tc>
        <w:tc>
          <w:tcPr>
            <w:tcW w:w="10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common shareholders: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84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19"/>
                <w:szCs w:val="19"/>
                <w:color w:val="auto"/>
              </w:rPr>
            </w:pPr>
          </w:p>
        </w:tc>
        <w:tc>
          <w:tcPr>
            <w:tcW w:w="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(0.38)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3"/>
              </w:rPr>
              <w:t>(0.19)</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(0.19)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60" w:type="dxa"/>
            <w:vAlign w:val="bottom"/>
            <w:vMerge w:val="continue"/>
          </w:tcPr>
          <w:p>
            <w:pPr>
              <w:spacing w:after="0"/>
              <w:rPr>
                <w:sz w:val="22"/>
                <w:szCs w:val="22"/>
                <w:color w:val="auto"/>
              </w:rPr>
            </w:pPr>
          </w:p>
        </w:tc>
        <w:tc>
          <w:tcPr>
            <w:tcW w:w="84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2"/>
                <w:szCs w:val="22"/>
                <w:color w:val="auto"/>
              </w:rPr>
            </w:pPr>
          </w:p>
        </w:tc>
        <w:tc>
          <w:tcPr>
            <w:tcW w:w="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(0.57)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7"/>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Number of common shares used in basic and diluted net earnings (loss) per share</w:t>
            </w:r>
          </w:p>
        </w:tc>
        <w:tc>
          <w:tcPr>
            <w:tcW w:w="1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6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jc w:val="right"/>
              <w:ind w:right="22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9"/>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57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3"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0"/>
        </w:trPr>
        <w:tc>
          <w:tcPr>
            <w:tcW w:w="576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NET INCOME (LOSS)</w:t>
            </w:r>
          </w:p>
        </w:tc>
        <w:tc>
          <w:tcPr>
            <w:tcW w:w="104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r>
      <w:tr>
        <w:trPr>
          <w:trHeight w:val="226"/>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9"/>
                <w:szCs w:val="19"/>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Eastman Kodak Company</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r>
      <w:tr>
        <w:trPr>
          <w:trHeight w:val="226"/>
        </w:trPr>
        <w:tc>
          <w:tcPr>
            <w:tcW w:w="57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14"/>
        </w:trPr>
        <w:tc>
          <w:tcPr>
            <w:tcW w:w="5760" w:type="dxa"/>
            <w:vAlign w:val="bottom"/>
          </w:tcPr>
          <w:p>
            <w:pPr>
              <w:spacing w:after="0"/>
              <w:rPr>
                <w:sz w:val="20"/>
                <w:szCs w:val="20"/>
                <w:color w:val="auto"/>
              </w:rPr>
            </w:pPr>
            <w:r>
              <w:rPr>
                <w:rFonts w:ascii="Arial" w:cs="Arial" w:eastAsia="Arial" w:hAnsi="Arial"/>
                <w:sz w:val="18"/>
                <w:szCs w:val="18"/>
                <w:color w:val="auto"/>
              </w:rPr>
              <w:t>Unrealized losses on available-for-sale securities,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76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5"/>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08"/>
        </w:trPr>
        <w:tc>
          <w:tcPr>
            <w:tcW w:w="5760" w:type="dxa"/>
            <w:vAlign w:val="bottom"/>
          </w:tcPr>
          <w:p>
            <w:pPr>
              <w:spacing w:after="0"/>
              <w:rPr>
                <w:sz w:val="20"/>
                <w:szCs w:val="20"/>
                <w:color w:val="auto"/>
              </w:rPr>
            </w:pPr>
            <w:r>
              <w:rPr>
                <w:rFonts w:ascii="Arial" w:cs="Arial" w:eastAsia="Arial" w:hAnsi="Arial"/>
                <w:sz w:val="18"/>
                <w:szCs w:val="18"/>
                <w:color w:val="auto"/>
              </w:rPr>
              <w:t>Other comprehensive loss, net of tax attributable to Eastman</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760" w:type="dxa"/>
            <w:vAlign w:val="bottom"/>
          </w:tcPr>
          <w:p>
            <w:pPr>
              <w:ind w:left="140"/>
              <w:spacing w:after="0"/>
              <w:rPr>
                <w:sz w:val="20"/>
                <w:szCs w:val="20"/>
                <w:color w:val="auto"/>
              </w:rPr>
            </w:pPr>
            <w:r>
              <w:rPr>
                <w:rFonts w:ascii="Arial" w:cs="Arial" w:eastAsia="Arial" w:hAnsi="Arial"/>
                <w:sz w:val="18"/>
                <w:szCs w:val="18"/>
                <w:color w:val="auto"/>
              </w:rPr>
              <w:t>Kodak Company</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8"/>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COMPREHENSIVE INCOME (LOSS), NET OF TAX ATTRIBUTABLE TO</w:t>
            </w: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5"/>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EASTMAN KODAK COMPANY</w:t>
            </w:r>
          </w:p>
        </w:tc>
        <w:tc>
          <w:tcPr>
            <w:tcW w:w="104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FF0FC"/>
            </w:tcBorders>
            <w:vMerge w:val="continue"/>
          </w:tcPr>
          <w:p>
            <w:pPr>
              <w:spacing w:after="0"/>
              <w:rPr>
                <w:sz w:val="14"/>
                <w:szCs w:val="1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Inventories, net</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Other current assets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 held for sale</w:t>
            </w: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1,303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of accumulated depreciation of $347 and $314,</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Restricted cash</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Long-term assets held for sale</w:t>
            </w: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2,042</w:t>
            </w:r>
          </w:p>
        </w:tc>
        <w:tc>
          <w:tcPr>
            <w:tcW w:w="3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LIABILITIES AND EQUITY</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Accounts payable, trade</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long-term debt</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 held for sale</w:t>
            </w: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Pension and other postretirement liabilities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liabilities held for sale</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2,081</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(Deficit)</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 in capital</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1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Eastman Kodak Company shareholders’ (deficit) equity</w:t>
            </w: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(deficit) equity</w:t>
            </w:r>
          </w:p>
        </w:tc>
        <w:tc>
          <w:tcPr>
            <w:tcW w:w="11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60" w:type="dxa"/>
            <w:vAlign w:val="bottom"/>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110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2,042</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3"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Six Months Ended</w:t>
      </w:r>
    </w:p>
    <w:p>
      <w:pPr>
        <w:jc w:val="center"/>
        <w:ind w:left="772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3"/>
        </w:trPr>
        <w:tc>
          <w:tcPr>
            <w:tcW w:w="78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3"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and other postretirement income</w:t>
            </w: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Net gain on sales of businesses/assets</w:t>
            </w: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restructuring costs, asset impairments and other charges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Stock based compensation</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claims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Provision for deferred income taxes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receivables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liabilities excluding borrowings</w:t>
            </w: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Other items, net</w:t>
            </w: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adjustments</w:t>
            </w: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1"/>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Additions to properties</w:t>
            </w: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of businesses/assets, net</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Use (funding) of restricted cash</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9"/>
        </w:trPr>
        <w:tc>
          <w:tcPr>
            <w:tcW w:w="78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emergence credit facilities</w:t>
            </w: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Payment of contingent consideration related to the sale of a business</w:t>
            </w: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repayment of VIE credit facility</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Equity transactions of noncontrolling interests</w:t>
            </w: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purchases</w:t>
            </w: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Cash and cash equivalents, beginning of period </w:t>
            </w:r>
            <w:r>
              <w:rPr>
                <w:rFonts w:ascii="Arial" w:cs="Arial" w:eastAsia="Arial" w:hAnsi="Arial"/>
                <w:sz w:val="15"/>
                <w:szCs w:val="15"/>
                <w:color w:val="auto"/>
              </w:rPr>
              <w:t>(1)</w:t>
            </w: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20"/>
                <w:szCs w:val="20"/>
                <w:color w:val="auto"/>
              </w:rPr>
            </w:pPr>
            <w:r>
              <w:rPr>
                <w:rFonts w:ascii="Arial" w:cs="Arial" w:eastAsia="Arial" w:hAnsi="Arial"/>
                <w:sz w:val="18"/>
                <w:szCs w:val="18"/>
                <w:color w:val="auto"/>
              </w:rPr>
              <w:t xml:space="preserve">Cash and cash equivalents, end of period </w:t>
            </w:r>
            <w:r>
              <w:rPr>
                <w:rFonts w:ascii="Arial" w:cs="Arial" w:eastAsia="Arial" w:hAnsi="Arial"/>
                <w:sz w:val="15"/>
                <w:szCs w:val="15"/>
                <w:color w:val="auto"/>
              </w:rPr>
              <w:t>(1)</w:t>
            </w:r>
          </w:p>
        </w:tc>
        <w:tc>
          <w:tcPr>
            <w:tcW w:w="11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520" w:right="300" w:hanging="513"/>
        <w:spacing w:after="0" w:line="254" w:lineRule="auto"/>
        <w:tabs>
          <w:tab w:leader="none" w:pos="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Cash and cash equivalents, beginning of period for the six months ended June 30, 2016 includes $546 million of cash reported in the Statement of Financial Position and $1 million of cash reported in Current assets held for sale. Cash and cash equivalents, end of period for the six months ended June 30, 2016 includes $513 million of cash reported in the Statement of Financial Position and $2 million of cash reported in Current assets held for sale.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to present fairly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financial statements should be read in conjunction with the Company’s Annual Report on Form 10-K for the year ended December 31, 2015.</w:t>
      </w:r>
    </w:p>
    <w:p>
      <w:pPr>
        <w:spacing w:after="0" w:line="22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Kodak is the primary beneficiary of a utilities variable interest entity, RED – Rochester, LLC (“RED”). Therefore, Kodak consolidates RED’s assets, liabilities and results of operations. Consolidated assets and liabilities of RED are $65 million and $14 million, respectively, as of June 30, 2016 and $69 million and $13 million, respectively, as of December 31, 2015. RED’s equity in those net assets as of June 30, 2016 and December 31, 2015 is $28 million and $25 million, respectively. RED’s results of operations are reflected in net income attributable to noncontrolling interests in the accompanying Consolidated Statement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the presentation of discontinued operations, assets held for sale and for a change in the segment measure of profitability. Refer to Note 17, “Segment Information” and Note 18, “Discontinued Operations” for additional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April 2015, the Financial Accounting Standards Board (“FASB”) issued Accounting Standards Update (“ASU”) 2015-03, Imputation of Interest (Sub-Topic 835.30): Simplifying the Presentation of Debt Issuance Costs. ASU 2015-03 requires debt issuance costs related to a recognized debt liability to be presented in the balance sheet as a direct deduction from the carrying amount of that debt liability, consistent with debt discounts. In August 2015, the FASB issued ASU 2015-15 clarifying the application of this guidance to line of credit arrangements. The amendments in the ASUs are effective retrospectively for fiscal years, and for interim periods within those fiscal years, beginning after December 15, 2015 (January 1, 2016 for Kodak). The adoption of this guidance did not have a material impact on Kodak’s Consolidated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2020 (January 1, 2021 for Kodak). Early adoption is permitted beginning December 15, 2018 (January 1, 2019 for Kodak). Kodak is currently evaluating the impact of this ASU.</w:t>
      </w:r>
    </w:p>
    <w:p>
      <w:pPr>
        <w:spacing w:after="0" w:line="22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March 2016, the FASB issued ASU 2016-09, Stock Compensation (Topic 718): Improvements to Employee Share-Based Payment Accounting. ASU 2016-09 simplifies several aspects of the accounting for employee share-based payment transactions, including the accounting for income taxes, forfeitures, and statutory tax withholding requirements, as well as classification in the statement of cash flows. The new standard is effective for fiscal years, and for interim periods within those fiscal years, beginning after December 15, 2016 (January 1, 2017 for Kodak). Early adoption is permitted. Kodak does not expect the adoption of this guidance to have a material impact on its Consolidated Financial Statements.</w:t>
      </w:r>
    </w:p>
    <w:p>
      <w:pPr>
        <w:spacing w:after="0" w:line="18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is currently evaluating the impact of this ASU.</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 w:name="page8"/>
    <w:bookmarkEnd w:id="7"/>
    <w:p>
      <w:pPr>
        <w:ind w:right="40"/>
        <w:spacing w:after="0" w:line="267" w:lineRule="auto"/>
        <w:rPr>
          <w:sz w:val="20"/>
          <w:szCs w:val="20"/>
          <w:color w:val="auto"/>
        </w:rPr>
      </w:pPr>
      <w:r>
        <w:rPr>
          <w:rFonts w:ascii="Arial" w:cs="Arial" w:eastAsia="Arial" w:hAnsi="Arial"/>
          <w:sz w:val="17"/>
          <w:szCs w:val="17"/>
          <w:color w:val="auto"/>
        </w:rPr>
        <w:t>In January 2016, the FASB issued ASU 2016-01, Financial Instruments–Overall: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will be effective for Kodak beginning January 1, 2018, including interim periods within those fiscal years. Kodak does not expect the adoption of this guidance to have a material impact on its Consolidated Financial Statements.</w:t>
      </w:r>
    </w:p>
    <w:p>
      <w:pPr>
        <w:spacing w:after="0" w:line="18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ASU 2015-17 amends the accounting for income taxes and requires all deferred tax assets and liabilities to be classified as non-current on the consolidated balance sheet. ASU 2015-17 is effective for fiscal years and interim reporting periods within those years beginning after December 15, 2016 (January 1, 2017 for Kodak), with early adoption permitted in any annual or interim period. ASU 2015-17 may be adopted either prospectively or retrospectively. Kodak is currently evaluating the method of adoption and expects ASU 2015-17 will have an impact on the consolidated balance sheet. The current deferred tax assets in excess of valuation allowance were $19 million as of June 30, 2016.</w:t>
      </w:r>
    </w:p>
    <w:p>
      <w:pPr>
        <w:spacing w:after="0" w:line="19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July 2015, the FASB deferred the effective date of ASU 2014-09. In 2016 the FASB issued ASU 2016-08 and ASUs 2016-10 through 12 clarifying guidance regarding principle vs agent considerations, identification of performance obligations and analysis of licensing transactions. The new revenue standards are collectively effective for fiscal years, and interim periods within those years, beginning after December 15, 2017 (January 1, 2018 for Kodak) and allow either a full retrospective adoption to all periods presented or a modified retrospective adoption approach with the cumulative effect of initial application recognized at the date of initial application. Kodak is currently evaluating the adoption alternatives and impact of these ASUs.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RECEIVABLES, NET</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740" w:type="dxa"/>
            <w:vAlign w:val="bottom"/>
            <w:tcBorders>
              <w:bottom w:val="single" w:sz="8" w:color="CFF0FC"/>
            </w:tcBorders>
            <w:vMerge w:val="continue"/>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w:t>
            </w:r>
          </w:p>
        </w:tc>
        <w:tc>
          <w:tcPr>
            <w:tcW w:w="156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268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 receivables</w:t>
            </w:r>
          </w:p>
        </w:tc>
        <w:tc>
          <w:tcPr>
            <w:tcW w:w="7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(net of allowances of $10 as of both June 30, 2016</w:t>
            </w:r>
          </w:p>
        </w:tc>
        <w:tc>
          <w:tcPr>
            <w:tcW w:w="7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December 31, 2015)</w:t>
            </w:r>
          </w:p>
        </w:tc>
        <w:tc>
          <w:tcPr>
            <w:tcW w:w="156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318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Approximately $23 million and $28 million of the total trade receivable amounts as of June 30, 2016 and December 31, 2015,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NET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14"/>
                <w:szCs w:val="14"/>
                <w:color w:val="auto"/>
              </w:rPr>
            </w:pPr>
          </w:p>
        </w:tc>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9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20" w:type="dxa"/>
            <w:vAlign w:val="bottom"/>
            <w:vMerge w:val="continue"/>
          </w:tcPr>
          <w:p>
            <w:pPr>
              <w:spacing w:after="0"/>
              <w:rPr>
                <w:sz w:val="14"/>
                <w:szCs w:val="14"/>
                <w:color w:val="auto"/>
              </w:rPr>
            </w:pPr>
          </w:p>
        </w:tc>
        <w:tc>
          <w:tcPr>
            <w:tcW w:w="2520" w:type="dxa"/>
            <w:vAlign w:val="bottom"/>
            <w:tcBorders>
              <w:bottom w:val="single" w:sz="8" w:color="CFF0FC"/>
            </w:tcBorders>
            <w:vMerge w:val="continue"/>
          </w:tcPr>
          <w:p>
            <w:pPr>
              <w:spacing w:after="0"/>
              <w:rPr>
                <w:sz w:val="14"/>
                <w:szCs w:val="14"/>
                <w:color w:val="auto"/>
              </w:rPr>
            </w:pPr>
          </w:p>
        </w:tc>
        <w:tc>
          <w:tcPr>
            <w:tcW w:w="296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78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157</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gridSpan w:val="2"/>
          </w:tcPr>
          <w:p>
            <w:pPr>
              <w:ind w:left="1720"/>
              <w:spacing w:after="0"/>
              <w:rPr>
                <w:sz w:val="20"/>
                <w:szCs w:val="20"/>
                <w:color w:val="auto"/>
              </w:rPr>
            </w:pPr>
            <w:r>
              <w:rPr>
                <w:rFonts w:ascii="Arial" w:cs="Arial" w:eastAsia="Arial" w:hAnsi="Arial"/>
                <w:sz w:val="18"/>
                <w:szCs w:val="18"/>
                <w:color w:val="auto"/>
              </w:rPr>
              <w:t>Work in process</w:t>
            </w:r>
          </w:p>
        </w:tc>
        <w:tc>
          <w:tcPr>
            <w:tcW w:w="2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9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20" w:type="dxa"/>
            <w:vAlign w:val="bottom"/>
          </w:tcPr>
          <w:p>
            <w:pPr>
              <w:spacing w:after="0"/>
              <w:rPr>
                <w:sz w:val="19"/>
                <w:szCs w:val="19"/>
                <w:color w:val="auto"/>
              </w:rPr>
            </w:pPr>
          </w:p>
        </w:tc>
        <w:tc>
          <w:tcPr>
            <w:tcW w:w="2520" w:type="dxa"/>
            <w:vAlign w:val="bottom"/>
          </w:tcPr>
          <w:p>
            <w:pPr>
              <w:ind w:left="240"/>
              <w:spacing w:after="0"/>
              <w:rPr>
                <w:sz w:val="20"/>
                <w:szCs w:val="20"/>
                <w:color w:val="auto"/>
              </w:rPr>
            </w:pPr>
            <w:r>
              <w:rPr>
                <w:rFonts w:ascii="Arial" w:cs="Arial" w:eastAsia="Arial" w:hAnsi="Arial"/>
                <w:sz w:val="18"/>
                <w:szCs w:val="18"/>
                <w:color w:val="auto"/>
              </w:rPr>
              <w:t>Total</w:t>
            </w:r>
          </w:p>
        </w:tc>
        <w:tc>
          <w:tcPr>
            <w:tcW w:w="3780" w:type="dxa"/>
            <w:vAlign w:val="bottom"/>
            <w:gridSpan w:val="2"/>
          </w:tcPr>
          <w:p>
            <w:pPr>
              <w:jc w:val="right"/>
              <w:ind w:right="66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286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960" w:type="dxa"/>
            <w:vAlign w:val="bottom"/>
            <w:vMerge w:val="restart"/>
          </w:tcPr>
          <w:p>
            <w:pPr>
              <w:jc w:val="right"/>
              <w:ind w:right="1291"/>
              <w:spacing w:after="0"/>
              <w:rPr>
                <w:sz w:val="20"/>
                <w:szCs w:val="20"/>
                <w:color w:val="auto"/>
              </w:rPr>
            </w:pPr>
            <w:r>
              <w:rPr>
                <w:rFonts w:ascii="Arial" w:cs="Arial" w:eastAsia="Arial" w:hAnsi="Arial"/>
                <w:sz w:val="18"/>
                <w:szCs w:val="18"/>
                <w:color w:val="auto"/>
              </w:rPr>
              <w:t>[8]</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1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by major intangible asset category as of June 30, 2016 and December 31, 2015 were as follows: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June 30, 2016</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140" w:type="dxa"/>
            <w:vAlign w:val="bottom"/>
          </w:tcPr>
          <w:p>
            <w:pPr>
              <w:jc w:val="center"/>
              <w:ind w:right="36"/>
              <w:spacing w:after="0" w:line="131" w:lineRule="exact"/>
              <w:rPr>
                <w:sz w:val="20"/>
                <w:szCs w:val="20"/>
                <w:color w:val="auto"/>
              </w:rPr>
            </w:pPr>
            <w:r>
              <w:rPr>
                <w:rFonts w:ascii="Arial" w:cs="Arial" w:eastAsia="Arial" w:hAnsi="Arial"/>
                <w:sz w:val="14"/>
                <w:szCs w:val="14"/>
                <w:b w:val="1"/>
                <w:bCs w:val="1"/>
                <w:color w:val="auto"/>
                <w:w w:val="92"/>
              </w:rPr>
              <w:t>Gross 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18"/>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69"/>
        </w:trPr>
        <w:tc>
          <w:tcPr>
            <w:tcW w:w="48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2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26"/>
        </w:trPr>
        <w:tc>
          <w:tcPr>
            <w:tcW w:w="4860" w:type="dxa"/>
            <w:vAlign w:val="bottom"/>
          </w:tcPr>
          <w:p>
            <w:pPr>
              <w:spacing w:after="0"/>
              <w:rPr>
                <w:sz w:val="20"/>
                <w:szCs w:val="20"/>
                <w:color w:val="auto"/>
              </w:rPr>
            </w:pPr>
            <w:r>
              <w:rPr>
                <w:rFonts w:ascii="Arial" w:cs="Arial" w:eastAsia="Arial" w:hAnsi="Arial"/>
                <w:sz w:val="18"/>
                <w:szCs w:val="18"/>
                <w:color w:val="auto"/>
              </w:rPr>
              <w:t>Kodak trade name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c>
          <w:tcPr>
            <w:tcW w:w="0" w:type="dxa"/>
            <w:vAlign w:val="bottom"/>
          </w:tcPr>
          <w:p>
            <w:pPr>
              <w:spacing w:after="0"/>
              <w:rPr>
                <w:sz w:val="1"/>
                <w:szCs w:val="1"/>
                <w:color w:val="auto"/>
              </w:rPr>
            </w:pPr>
          </w:p>
        </w:tc>
      </w:tr>
      <w:tr>
        <w:trPr>
          <w:trHeight w:val="227"/>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6 years</w:t>
            </w:r>
          </w:p>
        </w:tc>
        <w:tc>
          <w:tcPr>
            <w:tcW w:w="0" w:type="dxa"/>
            <w:vAlign w:val="bottom"/>
          </w:tcPr>
          <w:p>
            <w:pPr>
              <w:spacing w:after="0"/>
              <w:rPr>
                <w:sz w:val="1"/>
                <w:szCs w:val="1"/>
                <w:color w:val="auto"/>
              </w:rPr>
            </w:pPr>
          </w:p>
        </w:tc>
      </w:tr>
      <w:tr>
        <w:trPr>
          <w:trHeight w:val="226"/>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20 years</w:t>
            </w:r>
          </w:p>
        </w:tc>
        <w:tc>
          <w:tcPr>
            <w:tcW w:w="0" w:type="dxa"/>
            <w:vAlign w:val="bottom"/>
          </w:tcPr>
          <w:p>
            <w:pPr>
              <w:spacing w:after="0"/>
              <w:rPr>
                <w:sz w:val="1"/>
                <w:szCs w:val="1"/>
                <w:color w:val="auto"/>
              </w:rPr>
            </w:pPr>
          </w:p>
        </w:tc>
      </w:tr>
      <w:tr>
        <w:trPr>
          <w:trHeight w:val="22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140" w:type="dxa"/>
            <w:vAlign w:val="bottom"/>
          </w:tcPr>
          <w:p>
            <w:pPr>
              <w:jc w:val="center"/>
              <w:ind w:right="36"/>
              <w:spacing w:after="0" w:line="131" w:lineRule="exact"/>
              <w:rPr>
                <w:sz w:val="20"/>
                <w:szCs w:val="20"/>
                <w:color w:val="auto"/>
              </w:rPr>
            </w:pPr>
            <w:r>
              <w:rPr>
                <w:rFonts w:ascii="Arial" w:cs="Arial" w:eastAsia="Arial" w:hAnsi="Arial"/>
                <w:sz w:val="14"/>
                <w:szCs w:val="14"/>
                <w:b w:val="1"/>
                <w:bCs w:val="1"/>
                <w:color w:val="auto"/>
                <w:w w:val="92"/>
              </w:rPr>
              <w:t>Gross 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18"/>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69"/>
        </w:trPr>
        <w:tc>
          <w:tcPr>
            <w:tcW w:w="48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2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90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26"/>
        </w:trPr>
        <w:tc>
          <w:tcPr>
            <w:tcW w:w="4860" w:type="dxa"/>
            <w:vAlign w:val="bottom"/>
          </w:tcPr>
          <w:p>
            <w:pPr>
              <w:spacing w:after="0"/>
              <w:rPr>
                <w:sz w:val="20"/>
                <w:szCs w:val="20"/>
                <w:color w:val="auto"/>
              </w:rPr>
            </w:pPr>
            <w:r>
              <w:rPr>
                <w:rFonts w:ascii="Arial" w:cs="Arial" w:eastAsia="Arial" w:hAnsi="Arial"/>
                <w:sz w:val="18"/>
                <w:szCs w:val="18"/>
                <w:color w:val="auto"/>
              </w:rPr>
              <w:t>Kodak trade name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c>
          <w:tcPr>
            <w:tcW w:w="0" w:type="dxa"/>
            <w:vAlign w:val="bottom"/>
          </w:tcPr>
          <w:p>
            <w:pPr>
              <w:spacing w:after="0"/>
              <w:rPr>
                <w:sz w:val="1"/>
                <w:szCs w:val="1"/>
                <w:color w:val="auto"/>
              </w:rPr>
            </w:pPr>
          </w:p>
        </w:tc>
      </w:tr>
      <w:tr>
        <w:trPr>
          <w:trHeight w:val="227"/>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7 years</w:t>
            </w:r>
          </w:p>
        </w:tc>
        <w:tc>
          <w:tcPr>
            <w:tcW w:w="0" w:type="dxa"/>
            <w:vAlign w:val="bottom"/>
          </w:tcPr>
          <w:p>
            <w:pPr>
              <w:spacing w:after="0"/>
              <w:rPr>
                <w:sz w:val="1"/>
                <w:szCs w:val="1"/>
                <w:color w:val="auto"/>
              </w:rPr>
            </w:pPr>
          </w:p>
        </w:tc>
      </w:tr>
      <w:tr>
        <w:trPr>
          <w:trHeight w:val="226"/>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21 years</w:t>
            </w:r>
          </w:p>
        </w:tc>
        <w:tc>
          <w:tcPr>
            <w:tcW w:w="0" w:type="dxa"/>
            <w:vAlign w:val="bottom"/>
          </w:tcPr>
          <w:p>
            <w:pPr>
              <w:spacing w:after="0"/>
              <w:rPr>
                <w:sz w:val="1"/>
                <w:szCs w:val="1"/>
                <w:color w:val="auto"/>
              </w:rPr>
            </w:pPr>
          </w:p>
        </w:tc>
      </w:tr>
      <w:tr>
        <w:trPr>
          <w:trHeight w:val="22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90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119</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first quarter of 2016, Kodak updated its impairment analysis of the Kodak trade name due to the increased probability of selling its Prosper business. Based on the results of Kodak’s March 31, 2016 analysis, the carrying value of the Kodak trade name exceeded its fair value. The pre-tax trade name impairment charge of $5 million is included in Other operating (income) expense, net in the Consolidated Statement of Operations.</w:t>
      </w:r>
    </w:p>
    <w:p>
      <w:pPr>
        <w:spacing w:after="0" w:line="172"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Due to the exit of its position in silver metal mesh touch screen development in the first quarter of 2016, Kodak concluded that the carrying value of intangible assets associated with those operations exceeded their fair value and recorded a pre-tax impairment charge of $8 million, which is included in Other operating (income) expense, net in the Consolidated Statement of Operations.</w:t>
      </w:r>
    </w:p>
    <w:p>
      <w:pPr>
        <w:spacing w:after="0" w:line="188"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color w:val="auto"/>
        </w:rPr>
        <w:t>Amortization expense related to intangible assets was $5 million for both the three months ended June 30, 2016 and 2015 and $10 million for both the six months ended June 30, 2016 and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intangible assets that are currently being amortized as of June 30, 2016 was as follows:</w:t>
      </w:r>
    </w:p>
    <w:p>
      <w:pPr>
        <w:spacing w:after="0" w:line="289" w:lineRule="exact"/>
        <w:rPr>
          <w:sz w:val="20"/>
          <w:szCs w:val="20"/>
          <w:color w:val="auto"/>
        </w:rPr>
      </w:pPr>
    </w:p>
    <w:tbl>
      <w:tblPr>
        <w:tblLayout w:type="fixed"/>
        <w:tblInd w:w="2300" w:type="dxa"/>
        <w:tblCellMar>
          <w:top w:w="0" w:type="dxa"/>
          <w:left w:w="0" w:type="dxa"/>
          <w:bottom w:w="0" w:type="dxa"/>
          <w:right w:w="0" w:type="dxa"/>
        </w:tblCellMar>
      </w:tblPr>
      <w:tr>
        <w:trPr>
          <w:trHeight w:val="169"/>
        </w:trPr>
        <w:tc>
          <w:tcPr>
            <w:tcW w:w="34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7"/>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Q3 - Q4 2016</w:t>
            </w:r>
          </w:p>
        </w:tc>
        <w:tc>
          <w:tcPr>
            <w:tcW w:w="26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r>
      <w:tr>
        <w:trPr>
          <w:trHeight w:val="226"/>
        </w:trPr>
        <w:tc>
          <w:tcPr>
            <w:tcW w:w="3480" w:type="dxa"/>
            <w:vAlign w:val="bottom"/>
          </w:tcPr>
          <w:p>
            <w:pPr>
              <w:spacing w:after="0"/>
              <w:rPr>
                <w:sz w:val="20"/>
                <w:szCs w:val="20"/>
                <w:color w:val="auto"/>
              </w:rPr>
            </w:pPr>
            <w:r>
              <w:rPr>
                <w:rFonts w:ascii="Arial" w:cs="Arial" w:eastAsia="Arial" w:hAnsi="Arial"/>
                <w:sz w:val="18"/>
                <w:szCs w:val="18"/>
                <w:color w:val="auto"/>
              </w:rPr>
              <w:t>2017</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27"/>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r>
      <w:tr>
        <w:trPr>
          <w:trHeight w:val="226"/>
        </w:trPr>
        <w:tc>
          <w:tcPr>
            <w:tcW w:w="3480" w:type="dxa"/>
            <w:vAlign w:val="bottom"/>
          </w:tcPr>
          <w:p>
            <w:pPr>
              <w:spacing w:after="0"/>
              <w:rPr>
                <w:sz w:val="20"/>
                <w:szCs w:val="20"/>
                <w:color w:val="auto"/>
              </w:rPr>
            </w:pPr>
            <w:r>
              <w:rPr>
                <w:rFonts w:ascii="Arial" w:cs="Arial" w:eastAsia="Arial" w:hAnsi="Arial"/>
                <w:sz w:val="18"/>
                <w:szCs w:val="18"/>
                <w:color w:val="auto"/>
              </w:rPr>
              <w:t>2019</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27"/>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r>
      <w:tr>
        <w:trPr>
          <w:trHeight w:val="226"/>
        </w:trPr>
        <w:tc>
          <w:tcPr>
            <w:tcW w:w="3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 and thereafter</w:t>
            </w:r>
          </w:p>
        </w:tc>
        <w:tc>
          <w:tcPr>
            <w:tcW w:w="2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FF0FC"/>
          </w:tcPr>
          <w:p>
            <w:pPr>
              <w:spacing w:after="0"/>
              <w:rPr>
                <w:sz w:val="19"/>
                <w:szCs w:val="19"/>
                <w:color w:val="auto"/>
              </w:rPr>
            </w:pPr>
          </w:p>
        </w:tc>
      </w:tr>
      <w:tr>
        <w:trPr>
          <w:trHeight w:val="20"/>
        </w:trPr>
        <w:tc>
          <w:tcPr>
            <w:tcW w:w="348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May 26, 2016, the Company and certain of its domestic subsidiaries (the “Subsidiary Guarantors”) entered into an Amended and Restated Credit Agreement (the “Amended Credit Agreement or ABL Credit Agreement”) with the lenders party thereto (the “Lenders”), Bank of America, N.A., as administrative and collateral agent, and Bank of America, N.A. and JPMorgan Chase Bank, N.A., as joint lead arrangers and joint bookrunners, which amended and restated the existing Asset Based Revolving Credit Agreement, dated as of September 3, 2013 (the “Prior Credit Agreement”). Each of the capitalized but undefined terms in this Form 10-Q has the meanings ascribed to such terms in the Amended Credit Agreement.</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Amended Credit Agreement decreased the aggregate amount of commitments from $200 million to $150 million and extended the maturity date to the earlier of May 26, 2021 or the date that is 90 days prior to the earliest scheduled maturity date of any of the Company’s outstanding term loans or refinancings thereof, of which the earliest maturity date is currently September 3, 2019. The Amended Credit Agreement, among other things, lowered reserve requirements by eliminating the Availability Block and removed the ability to use Qualified Cash to support Excess Availability.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 w:name="page10"/>
    <w:bookmarkEnd w:id="9"/>
    <w:p>
      <w:pPr>
        <w:spacing w:after="0" w:line="288" w:lineRule="auto"/>
        <w:rPr>
          <w:sz w:val="20"/>
          <w:szCs w:val="20"/>
          <w:color w:val="auto"/>
        </w:rPr>
      </w:pPr>
      <w:r>
        <w:rPr>
          <w:rFonts w:ascii="Arial" w:cs="Arial" w:eastAsia="Arial" w:hAnsi="Arial"/>
          <w:sz w:val="16"/>
          <w:szCs w:val="16"/>
          <w:color w:val="auto"/>
        </w:rPr>
        <w:t>The Amended Credit Agreement limits, among other things, the Company’s and the Subsidiary Guarantors’ ability to (i) incur indebtedness, (ii) incur or create liens, (iii) dispose of assets, (iv) make restricted payments and (v) make investments. In addition to other customary affirmative covenants, the Amended Credit Agreement provides for a periodic delivery by the Company of its various financial statements as set forth in the Amended Credit Agreement. Events of default under the Amended Credit Agreement include, among others, failure to pay any loan, interest or other amounts when due, the occurrence of breach of covenants and a change of control of the Company. Upon an event of default, the applicable lenders may declare the outstanding obligations under the Amended Credit Agreement to be immediately due and payable and exercise other rights and remedies provided for in the Amended Credit Agreement.</w:t>
      </w:r>
    </w:p>
    <w:p>
      <w:pPr>
        <w:spacing w:after="0" w:line="19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Each existing direct or indirect U.S. subsidiary of the Company (other than immaterial subsidiaries, unrestricted subsidiaries and certain other subsidiaries) has reaffirmed its unconditional guarantee (and any such future subsidiaries must provide an unconditional guarantee) of the obligations of the Company under the Amended Credit Agreement. Obligations under the Amended Credit Agreement are secured by: (i) a first priority lien on cash, accounts receivable, inventory, machinery and equipment (the “ABL Priority Collateral”) and (ii) a third priority lien on all assets of the Company and the Subsidiary Guarantors, other than the ABL Priority Collateral, including respectively, on 100% of the stock of material U.S. subsidiaries and 65% of the stock of material foreign subsidiaries.</w:t>
      </w:r>
    </w:p>
    <w:p>
      <w:pPr>
        <w:spacing w:after="0" w:line="19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The Lenders will make available asset-based revolving loans (the “ABL Loans”) and letters of credit in an aggregate amount of up to $150 million, subject to the Borrowing Base. The Company has issued approximately $117 million of letters of credit under the Amended Credit Agreement as of June 30,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2016. Under the Amended Credit Agreement’s borrowing base calculation, the Company had approximately $30 million of Excess Availability as of June 30,</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2016. Availability is subject to the borrowing base calculation, reserves and other limitations.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2.25%-2.75% per annum or Base Rate plus 1.25%-1.75% per annum based on Excess Availability.</w:t>
      </w:r>
    </w:p>
    <w:p>
      <w:pPr>
        <w:spacing w:after="0" w:line="26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Excess Availability is equal to the sum of (i) 85% of the amount of the Eligible Receivables less a Dilution Reserve, (ii) the lesser of 85% of Net Orderly Liquidation Value or 75% of the Eligible Inventory (iii) the lesser of $20 million or 75% of Net Orderly Liquidation Value of Eligible Equipment (iv) Eligible Cash less (a) Rent and Charges Reserves, (b) Principal Outstanding and (c) Outstanding Letters of Credit (each item as defined in the Amended Credit Agreement).</w:t>
      </w:r>
    </w:p>
    <w:p>
      <w:pPr>
        <w:spacing w:after="0" w:line="21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Under the Amended Credit Agreement, Kodak is required to maintain a minimum Fixed Charge Coverage Ratio of 1.00 to 1.00 when Excess Availability is less than 12.5% of lender commitments (springing covenant). If Excess Availability falls below 12.5% of lender commitments ($18.75 million as of June 30, 2016), Kodak may, in addition to the requirement to be in compliance with the minimum Fixed Charge Coverage Ratio, become subject to cash dominion control.</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June 30, 2016, Kodak had funded $23 million to the Eligible Cash account, held with the Amended Credit Agreement administrative agent, which is classified as Restricted Cash in the Consolidated Statement of Financial Position supporting the Excess Availability amount. Since Excess Availability was greater than 12.5% of lender commitments at June 30, 2016, Kodak is not required to have a minimum Fixed Charge Coverage Ratio of 1.0 to 1.0. As of June 30, 2016 Kodak was in compliance with all the covenants under the Amended Credit Agreement.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1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of June 30, 2016, the Company had outstanding letters of credit of $117 million issued under the Amended Credit Agreement, as well as bank guarantees and letters of credit of $5 million, surety bonds in the amount of $18 million, and restricted cash and deposits of $53 million, primarily to support compliance with the Excess Availability threshold under the Amended Credit Agreement, to ensure the payment of possible casualty and workers’ compensation claims, environmental liabilities, legal contingencies, rental payments and to support various customs, tax and trade activities. The restricted cash and deposits are reflected in Restricted cash, Other current assets and Other long-term assets in the Consolidated Statement of Financial Position.</w:t>
      </w:r>
    </w:p>
    <w:p>
      <w:pPr>
        <w:spacing w:after="0" w:line="16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June 30, 2016, the unreserved portion of these contingencies, inclusive of any related interest and penalties, for which there was at least a reasonable possibility that a loss may be incurred, amounted to approximately $57 million.</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June 30, 2016, Kodak has posted security composed of $6 million of pledged cash reported within Restricted cash in the Consolidated Statement of Financial Position and liens on certain Brazilian assets with a net book value of approximately $72 million. Generally, any encumbrances on the Brazilian assets would be removed to the extent the matter is resolved in Kodak's favor.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0" w:name="page11"/>
    <w:bookmarkEnd w:id="10"/>
    <w:p>
      <w:pPr>
        <w:spacing w:after="0" w:line="266" w:lineRule="auto"/>
        <w:rPr>
          <w:sz w:val="20"/>
          <w:szCs w:val="20"/>
          <w:color w:val="auto"/>
        </w:rPr>
      </w:pPr>
      <w:r>
        <w:rPr>
          <w:rFonts w:ascii="Arial" w:cs="Arial" w:eastAsia="Arial" w:hAnsi="Arial"/>
          <w:sz w:val="17"/>
          <w:szCs w:val="17"/>
          <w:color w:val="auto"/>
        </w:rPr>
        <w:t>Kodak is involved in various lawsuits, claims, investigations, remediation and proceedings, including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GUARANTEES</w:t>
      </w:r>
    </w:p>
    <w:p>
      <w:pPr>
        <w:spacing w:after="0" w:line="119" w:lineRule="exact"/>
        <w:rPr>
          <w:sz w:val="20"/>
          <w:szCs w:val="20"/>
          <w:color w:val="auto"/>
        </w:rPr>
      </w:pPr>
    </w:p>
    <w:p>
      <w:pPr>
        <w:ind w:right="440"/>
        <w:spacing w:after="0" w:line="26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$17 million and the outstanding amount for those guarantees is $6 million.</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Costs</w:t>
      </w:r>
    </w:p>
    <w:p>
      <w:pPr>
        <w:spacing w:after="0" w:line="11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Kodak offers its customers extended warranty arrangements that are generally one year, but may range from three months to five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2015 to June 30, 2016, which is reflected in Other current liabilities in the accompanying Consolidated Statement of Financial Position,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4760" w:type="dxa"/>
            <w:vAlign w:val="bottom"/>
            <w:gridSpan w:val="2"/>
          </w:tcPr>
          <w:p>
            <w:pPr>
              <w:ind w:left="172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860" w:type="dxa"/>
            <w:vAlign w:val="bottom"/>
            <w:tcBorders>
              <w:right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w w:val="89"/>
              </w:rPr>
              <w:t>Deferred revenue on extended warranties as of December 31, 2015</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6580" w:type="dxa"/>
            <w:vAlign w:val="bottom"/>
            <w:gridSpan w:val="6"/>
          </w:tcPr>
          <w:p>
            <w:pPr>
              <w:ind w:left="1720"/>
              <w:spacing w:after="0"/>
              <w:rPr>
                <w:sz w:val="20"/>
                <w:szCs w:val="20"/>
                <w:color w:val="auto"/>
              </w:rPr>
            </w:pPr>
            <w:r>
              <w:rPr>
                <w:rFonts w:ascii="Arial" w:cs="Arial" w:eastAsia="Arial" w:hAnsi="Arial"/>
                <w:sz w:val="18"/>
                <w:szCs w:val="18"/>
                <w:color w:val="auto"/>
                <w:w w:val="94"/>
              </w:rPr>
              <w:t>New extended warranty and maintenance arrangements in 2016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40" w:type="dxa"/>
            <w:vAlign w:val="bottom"/>
            <w:gridSpan w:val="9"/>
            <w:shd w:val="clear" w:color="auto" w:fill="CFF0FC"/>
          </w:tcPr>
          <w:p>
            <w:pPr>
              <w:spacing w:after="0"/>
              <w:rPr>
                <w:sz w:val="20"/>
                <w:szCs w:val="20"/>
                <w:color w:val="auto"/>
              </w:rPr>
            </w:pPr>
            <w:r>
              <w:rPr>
                <w:rFonts w:ascii="Arial" w:cs="Arial" w:eastAsia="Arial" w:hAnsi="Arial"/>
                <w:sz w:val="18"/>
                <w:szCs w:val="18"/>
                <w:color w:val="auto"/>
              </w:rPr>
              <w:t>Recognition of extended warranty and maintenance arrangement revenue in</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580" w:type="dxa"/>
            <w:vAlign w:val="bottom"/>
            <w:gridSpan w:val="6"/>
            <w:vMerge w:val="restart"/>
          </w:tcPr>
          <w:p>
            <w:pPr>
              <w:ind w:left="1720"/>
              <w:spacing w:after="0"/>
              <w:rPr>
                <w:sz w:val="20"/>
                <w:szCs w:val="20"/>
                <w:color w:val="auto"/>
              </w:rPr>
            </w:pPr>
            <w:r>
              <w:rPr>
                <w:rFonts w:ascii="Arial" w:cs="Arial" w:eastAsia="Arial" w:hAnsi="Arial"/>
                <w:sz w:val="18"/>
                <w:szCs w:val="18"/>
                <w:color w:val="auto"/>
                <w:w w:val="97"/>
              </w:rPr>
              <w:t>Deferred revenue on extended warranties as of June 30, 2016</w:t>
            </w: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0" w:type="dxa"/>
            <w:vAlign w:val="bottom"/>
          </w:tcPr>
          <w:p>
            <w:pPr>
              <w:spacing w:after="0"/>
              <w:rPr>
                <w:sz w:val="19"/>
                <w:szCs w:val="19"/>
                <w:color w:val="auto"/>
              </w:rPr>
            </w:pPr>
          </w:p>
        </w:tc>
        <w:tc>
          <w:tcPr>
            <w:tcW w:w="6580" w:type="dxa"/>
            <w:vAlign w:val="bottom"/>
            <w:gridSpan w:val="6"/>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OTHER OPERATING (INCOME) EXPENSE, NET</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53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34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21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53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304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3"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40"/>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5"/>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expense:</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40" w:type="dxa"/>
            <w:vAlign w:val="bottom"/>
            <w:gridSpan w:val="3"/>
          </w:tcPr>
          <w:p>
            <w:pPr>
              <w:ind w:left="58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5"/>
                <w:szCs w:val="15"/>
                <w:color w:val="auto"/>
              </w:rPr>
              <w:t>(1) (2) (3) (4)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Litigation proceeds </w:t>
            </w:r>
            <w:r>
              <w:rPr>
                <w:rFonts w:ascii="Arial" w:cs="Arial" w:eastAsia="Arial" w:hAnsi="Arial"/>
                <w:sz w:val="15"/>
                <w:szCs w:val="15"/>
                <w:color w:val="auto"/>
              </w:rPr>
              <w:t>(5)</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15"/>
                <w:szCs w:val="15"/>
                <w:color w:val="auto"/>
              </w:rPr>
              <w:t>(6)</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0" w:type="dxa"/>
            <w:vAlign w:val="bottom"/>
          </w:tcPr>
          <w:p>
            <w:pPr>
              <w:spacing w:after="0"/>
              <w:rPr>
                <w:sz w:val="19"/>
                <w:szCs w:val="19"/>
                <w:color w:val="auto"/>
              </w:rPr>
            </w:pPr>
          </w:p>
        </w:tc>
        <w:tc>
          <w:tcPr>
            <w:tcW w:w="4760" w:type="dxa"/>
            <w:vAlign w:val="bottom"/>
            <w:gridSpan w:val="2"/>
            <w:vMerge w:val="continue"/>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30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520" w:right="80" w:hanging="513"/>
        <w:spacing w:after="0" w:line="257"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 the first quarter of 2016, due to the exit of its position in silver metal mesh touch screen development, Kodak concluded that the carrying value of property, plant and equipment associated with those operations exceeded their fair value. Kodak recorded pre-tax impairment charges in the quarter and six months ended June 30, 2016 of $1 million and $12 million, respectively.</w:t>
      </w:r>
    </w:p>
    <w:p>
      <w:pPr>
        <w:spacing w:after="0" w:line="81" w:lineRule="exact"/>
        <w:rPr>
          <w:rFonts w:ascii="Arial" w:cs="Arial" w:eastAsia="Arial" w:hAnsi="Arial"/>
          <w:sz w:val="15"/>
          <w:szCs w:val="15"/>
          <w:color w:val="auto"/>
        </w:rPr>
      </w:pPr>
    </w:p>
    <w:p>
      <w:pPr>
        <w:ind w:left="520" w:right="360" w:hanging="513"/>
        <w:spacing w:after="0" w:line="267"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 the first quarter of 2016, Kodak recorded an impairment charge of $8 million related to silver metal mesh touch screen intangible assets. Refer to Note 4, “Intangible Assets.”</w:t>
      </w:r>
    </w:p>
    <w:p>
      <w:pPr>
        <w:spacing w:after="0" w:line="72" w:lineRule="exact"/>
        <w:rPr>
          <w:rFonts w:ascii="Arial" w:cs="Arial" w:eastAsia="Arial" w:hAnsi="Arial"/>
          <w:sz w:val="15"/>
          <w:szCs w:val="15"/>
          <w:color w:val="auto"/>
        </w:rPr>
      </w:pPr>
    </w:p>
    <w:p>
      <w:pPr>
        <w:ind w:left="520" w:hanging="513"/>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6"/>
          <w:szCs w:val="16"/>
          <w:color w:val="auto"/>
        </w:rPr>
        <w:t>In the first quarter of 2016, Kodak recorded an impairment charge of $5 million related to the Kodak trade name. Refer to Note 4, “Intangible Assets.”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1" w:name="page12"/>
    <w:bookmarkEnd w:id="11"/>
    <w:p>
      <w:pPr>
        <w:ind w:left="520" w:right="240" w:hanging="513"/>
        <w:spacing w:after="0" w:line="257" w:lineRule="auto"/>
        <w:tabs>
          <w:tab w:leader="none" w:pos="52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 the first quarter of 2015, due to the change in Kodak’s reporting units and the delay in commercializing new technologies in the Micro 3D Printing reporting unit, Kodak concluded the carrying value of the Micro 3D Printing reporting unit exceeded its implied fair value and recorded a goodwill impairment charge of $6 million representing the entire amount of goodwill for this reporting unit.</w:t>
      </w:r>
    </w:p>
    <w:p>
      <w:pPr>
        <w:spacing w:after="0" w:line="81" w:lineRule="exact"/>
        <w:rPr>
          <w:rFonts w:ascii="Arial" w:cs="Arial" w:eastAsia="Arial" w:hAnsi="Arial"/>
          <w:sz w:val="15"/>
          <w:szCs w:val="15"/>
          <w:color w:val="auto"/>
        </w:rPr>
      </w:pPr>
    </w:p>
    <w:p>
      <w:pPr>
        <w:ind w:left="520" w:hanging="513"/>
        <w:spacing w:after="0"/>
        <w:tabs>
          <w:tab w:leader="none" w:pos="52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 the first quarter of 2016, Kodak received $10 million representing net litigation proceeds from DuPont.</w:t>
      </w:r>
    </w:p>
    <w:p>
      <w:pPr>
        <w:spacing w:after="0" w:line="113" w:lineRule="exact"/>
        <w:rPr>
          <w:rFonts w:ascii="Arial" w:cs="Arial" w:eastAsia="Arial" w:hAnsi="Arial"/>
          <w:sz w:val="15"/>
          <w:szCs w:val="15"/>
          <w:color w:val="auto"/>
        </w:rPr>
      </w:pPr>
    </w:p>
    <w:p>
      <w:pPr>
        <w:ind w:left="480" w:right="280" w:hanging="473"/>
        <w:spacing w:after="0" w:line="257" w:lineRule="auto"/>
        <w:tabs>
          <w:tab w:leader="none" w:pos="480" w:val="left"/>
        </w:tabs>
        <w:numPr>
          <w:ilvl w:val="0"/>
          <w:numId w:val="5"/>
        </w:numPr>
        <w:rPr>
          <w:rFonts w:ascii="Arial" w:cs="Arial" w:eastAsia="Arial" w:hAnsi="Arial"/>
          <w:sz w:val="15"/>
          <w:szCs w:val="15"/>
          <w:color w:val="auto"/>
        </w:rPr>
      </w:pPr>
      <w:r>
        <w:rPr>
          <w:rFonts w:ascii="Arial" w:cs="Arial" w:eastAsia="Arial" w:hAnsi="Arial"/>
          <w:sz w:val="18"/>
          <w:szCs w:val="18"/>
          <w:color w:val="auto"/>
        </w:rPr>
        <w:t>On June 30, 2016, Kodak sold certain assets of its brand protection business to eApeiron Solutions Inc. in exchange for cash consideration of approximately $6 million and an equity investment of 19.9%. Kodak will account for this investment under the equity method of accounting. Kodak recognized a gain of approximately $7 million on this transaction.</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CHARGES, NET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52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468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3"/>
              <w:spacing w:after="0" w:line="153"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8"/>
              <w:spacing w:after="0" w:line="153"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5"/>
              <w:spacing w:after="0" w:line="153"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Loss on foreign exchange transactions</w:t>
            </w:r>
          </w:p>
        </w:tc>
        <w:tc>
          <w:tcPr>
            <w:tcW w:w="1020" w:type="dxa"/>
            <w:vAlign w:val="bottom"/>
            <w:gridSpan w:val="3"/>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3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gridSpan w:val="3"/>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3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INCOME TAXES</w:t>
            </w: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52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260" w:type="dxa"/>
            <w:vAlign w:val="bottom"/>
            <w:gridSpan w:val="2"/>
          </w:tcPr>
          <w:p>
            <w:pPr>
              <w:spacing w:after="0"/>
              <w:rPr>
                <w:sz w:val="20"/>
                <w:szCs w:val="20"/>
                <w:color w:val="auto"/>
              </w:rPr>
            </w:pPr>
            <w:r>
              <w:rPr>
                <w:rFonts w:ascii="Arial" w:cs="Arial" w:eastAsia="Arial" w:hAnsi="Arial"/>
                <w:sz w:val="18"/>
                <w:szCs w:val="18"/>
                <w:color w:val="auto"/>
                <w:w w:val="97"/>
              </w:rPr>
              <w:t>Kodak’s income tax provision and effective tax rate were as follows: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2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52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468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93"/>
              <w:spacing w:after="0" w:line="153"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8"/>
              <w:spacing w:after="0" w:line="153"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Earnings (loss) from continuing operations before</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66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Effective tax rate</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27.3%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right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Provision (benefit) for income taxes @ 35%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0" w:type="dxa"/>
            <w:vAlign w:val="bottom"/>
          </w:tcPr>
          <w:p>
            <w:pPr>
              <w:spacing w:after="0"/>
              <w:rPr>
                <w:sz w:val="19"/>
                <w:szCs w:val="19"/>
                <w:color w:val="auto"/>
              </w:rPr>
            </w:pPr>
          </w:p>
        </w:tc>
        <w:tc>
          <w:tcPr>
            <w:tcW w:w="46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three and six months ended June 30, 2016, the difference between the Company’s recorded provision and the provision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 (2) the results from operations in jurisdictions outside the U.S., and (3) changes in audit reserves.</w:t>
      </w:r>
    </w:p>
    <w:p>
      <w:pPr>
        <w:spacing w:after="0" w:line="19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difference between the Company’s recorded provision and the benefit that would result from applying the U.S. statutory rate of 35.0% for the three and six month periods ended June 30, 2015 is primarily attributable to: (1) losses generated within the U.S. and certain jurisdictions outside the U.S. for which no benefit was recognized due to management’s conclusion that it was more likely than not that the tax benefits would not be realized (2) the results from operations in jurisdictions outside the U.S., and (3) a provision associated with foreign withholding taxes on undistributed earnings.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 LIABILITIES</w:t>
      </w:r>
    </w:p>
    <w:p>
      <w:pPr>
        <w:spacing w:after="0" w:line="1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half of 2016 were initiated to reduce Kodak’s cost structure as part of its commitment to drive sustainable profitability and included actions associated with the exit of Kodak’s silver metal mesh touch screen development, continued progress toward the Leeds plate manufacturing facility exit, as well as various targeted reductions in manufacturing, service, sales, research and development and other administrative functions.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Leeds Plate Manufacturing Facility Exit</w:t>
      </w:r>
    </w:p>
    <w:p>
      <w:pPr>
        <w:spacing w:after="0" w:line="119"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12" w:name="page13"/>
    <w:bookmarkEnd w:id="12"/>
    <w:p>
      <w:pPr>
        <w:ind w:right="120"/>
        <w:spacing w:after="0" w:line="267" w:lineRule="auto"/>
        <w:rPr>
          <w:sz w:val="20"/>
          <w:szCs w:val="20"/>
          <w:color w:val="auto"/>
        </w:rPr>
      </w:pPr>
      <w:r>
        <w:rPr>
          <w:rFonts w:ascii="Arial" w:cs="Arial" w:eastAsia="Arial" w:hAnsi="Arial"/>
          <w:sz w:val="18"/>
          <w:szCs w:val="18"/>
          <w:color w:val="auto"/>
        </w:rPr>
        <w:t>solutions. Kodak began the exit of the facility in the second quarter of 2014, phased out production at the site in the third quarter of 2015 and has substantially completed the exit of the facility.</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Under this program, on a life-to-date basis as of June 30, 2016, Kodak has recorded severance charges of $10 million, long-lived asset impairment charges of $3 million, accelerated depreciation charges of $10 million, and other exit costs of $2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Reserve Activity</w:t>
      </w:r>
    </w:p>
    <w:p>
      <w:pPr>
        <w:spacing w:after="0" w:line="119"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activity in the accrued balances and the non-cash charges and credits incurred in relation to restructuring activities for the three and six months ended June 30, 2016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center"/>
              <w:ind w:left="89"/>
              <w:spacing w:after="0"/>
              <w:rPr>
                <w:sz w:val="20"/>
                <w:szCs w:val="20"/>
                <w:color w:val="auto"/>
              </w:rPr>
            </w:pPr>
            <w:r>
              <w:rPr>
                <w:rFonts w:ascii="Arial" w:cs="Arial" w:eastAsia="Arial" w:hAnsi="Arial"/>
                <w:sz w:val="14"/>
                <w:szCs w:val="14"/>
                <w:b w:val="1"/>
                <w:bCs w:val="1"/>
                <w:color w:val="auto"/>
              </w:rPr>
              <w:t>Exit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Long-lived Asset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Severance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Impairments and</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Accelerated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89"/>
              <w:spacing w:after="0" w:line="147" w:lineRule="exact"/>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Inventory</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160" w:type="dxa"/>
            <w:vAlign w:val="bottom"/>
            <w:tcBorders>
              <w:bottom w:val="single" w:sz="8" w:color="CFF0FC"/>
            </w:tcBorders>
            <w:gridSpan w:val="2"/>
            <w:vMerge w:val="continue"/>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Reserve </w:t>
            </w:r>
            <w:r>
              <w:rPr>
                <w:rFonts w:ascii="Arial" w:cs="Arial" w:eastAsia="Arial" w:hAnsi="Arial"/>
                <w:sz w:val="12"/>
                <w:szCs w:val="12"/>
                <w:b w:val="1"/>
                <w:bCs w:val="1"/>
                <w:color w:val="auto"/>
              </w:rPr>
              <w:t>(1)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0"/>
              </w:rPr>
              <w:t xml:space="preserve">Reserve </w:t>
            </w:r>
            <w:r>
              <w:rPr>
                <w:rFonts w:ascii="Arial" w:cs="Arial" w:eastAsia="Arial" w:hAnsi="Arial"/>
                <w:sz w:val="12"/>
                <w:szCs w:val="12"/>
                <w:b w:val="1"/>
                <w:bCs w:val="1"/>
                <w:color w:val="auto"/>
                <w:w w:val="90"/>
              </w:rPr>
              <w:t>(1)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xml:space="preserve">Write-downs </w:t>
            </w:r>
            <w:r>
              <w:rPr>
                <w:rFonts w:ascii="Arial" w:cs="Arial" w:eastAsia="Arial" w:hAnsi="Arial"/>
                <w:sz w:val="12"/>
                <w:szCs w:val="12"/>
                <w:b w:val="1"/>
                <w:bCs w:val="1"/>
                <w:color w:val="auto"/>
                <w:w w:val="93"/>
              </w:rPr>
              <w:t>(1)</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 xml:space="preserve">Depreciation </w:t>
            </w:r>
            <w:r>
              <w:rPr>
                <w:rFonts w:ascii="Arial" w:cs="Arial" w:eastAsia="Arial" w:hAnsi="Arial"/>
                <w:sz w:val="12"/>
                <w:szCs w:val="12"/>
                <w:b w:val="1"/>
                <w:bCs w:val="1"/>
                <w:color w:val="auto"/>
                <w:w w:val="90"/>
              </w:rPr>
              <w:t>(1)</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196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20"/>
                <w:szCs w:val="20"/>
                <w:color w:val="auto"/>
              </w:rPr>
            </w:pPr>
            <w:r>
              <w:rPr>
                <w:rFonts w:ascii="Arial" w:cs="Arial" w:eastAsia="Arial" w:hAnsi="Arial"/>
                <w:sz w:val="18"/>
                <w:szCs w:val="18"/>
                <w:color w:val="auto"/>
                <w:w w:val="91"/>
              </w:rPr>
              <w:t>Q1</w:t>
            </w:r>
          </w:p>
        </w:tc>
        <w:tc>
          <w:tcPr>
            <w:tcW w:w="3920" w:type="dxa"/>
            <w:vAlign w:val="bottom"/>
          </w:tcPr>
          <w:p>
            <w:pPr>
              <w:ind w:left="20"/>
              <w:spacing w:after="0"/>
              <w:rPr>
                <w:sz w:val="20"/>
                <w:szCs w:val="20"/>
                <w:color w:val="auto"/>
              </w:rPr>
            </w:pPr>
            <w:r>
              <w:rPr>
                <w:rFonts w:ascii="Arial" w:cs="Arial" w:eastAsia="Arial" w:hAnsi="Arial"/>
                <w:sz w:val="18"/>
                <w:szCs w:val="18"/>
                <w:color w:val="auto"/>
              </w:rPr>
              <w:t>2016 charges</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(5)</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240" w:type="dxa"/>
            <w:vAlign w:val="bottom"/>
          </w:tcPr>
          <w:p>
            <w:pPr>
              <w:spacing w:after="0"/>
              <w:rPr>
                <w:sz w:val="20"/>
                <w:szCs w:val="20"/>
                <w:color w:val="auto"/>
              </w:rPr>
            </w:pPr>
            <w:r>
              <w:rPr>
                <w:rFonts w:ascii="Arial" w:cs="Arial" w:eastAsia="Arial" w:hAnsi="Arial"/>
                <w:sz w:val="18"/>
                <w:szCs w:val="18"/>
                <w:color w:val="auto"/>
                <w:w w:val="91"/>
              </w:rPr>
              <w:t>Q1</w:t>
            </w:r>
          </w:p>
        </w:tc>
        <w:tc>
          <w:tcPr>
            <w:tcW w:w="3920" w:type="dxa"/>
            <w:vAlign w:val="bottom"/>
          </w:tcPr>
          <w:p>
            <w:pPr>
              <w:ind w:left="20"/>
              <w:spacing w:after="0"/>
              <w:rPr>
                <w:sz w:val="20"/>
                <w:szCs w:val="20"/>
                <w:color w:val="auto"/>
              </w:rPr>
            </w:pPr>
            <w:r>
              <w:rPr>
                <w:rFonts w:ascii="Arial" w:cs="Arial" w:eastAsia="Arial" w:hAnsi="Arial"/>
                <w:sz w:val="18"/>
                <w:szCs w:val="18"/>
                <w:color w:val="auto"/>
              </w:rPr>
              <w:t xml:space="preserve">2016 other adjustments &amp; reclasses </w:t>
            </w:r>
            <w:r>
              <w:rPr>
                <w:rFonts w:ascii="Arial" w:cs="Arial" w:eastAsia="Arial" w:hAnsi="Arial"/>
                <w:sz w:val="15"/>
                <w:szCs w:val="15"/>
                <w:color w:val="auto"/>
              </w:rPr>
              <w:t>(2)</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Balance as of March 31, 2016</w:t>
            </w:r>
          </w:p>
        </w:tc>
        <w:tc>
          <w:tcPr>
            <w:tcW w:w="1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60" w:type="dxa"/>
            <w:vAlign w:val="bottom"/>
            <w:gridSpan w:val="2"/>
            <w:vMerge w:val="continue"/>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6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1"/>
              </w:rPr>
              <w:t>Q2</w:t>
            </w:r>
          </w:p>
        </w:tc>
        <w:tc>
          <w:tcPr>
            <w:tcW w:w="39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2016 charges - continuing operations</w:t>
            </w:r>
          </w:p>
        </w:tc>
        <w:tc>
          <w:tcPr>
            <w:tcW w:w="1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0" w:type="dxa"/>
            <w:vAlign w:val="bottom"/>
            <w:vMerge w:val="continue"/>
          </w:tcPr>
          <w:p>
            <w:pPr>
              <w:spacing w:after="0"/>
              <w:rPr>
                <w:sz w:val="17"/>
                <w:szCs w:val="17"/>
                <w:color w:val="auto"/>
              </w:rPr>
            </w:pPr>
          </w:p>
        </w:tc>
        <w:tc>
          <w:tcPr>
            <w:tcW w:w="3920" w:type="dxa"/>
            <w:vAlign w:val="bottom"/>
            <w:vMerge w:val="continue"/>
          </w:tcPr>
          <w:p>
            <w:pPr>
              <w:spacing w:after="0"/>
              <w:rPr>
                <w:sz w:val="17"/>
                <w:szCs w:val="17"/>
                <w:color w:val="auto"/>
              </w:rPr>
            </w:pPr>
          </w:p>
        </w:tc>
        <w:tc>
          <w:tcPr>
            <w:tcW w:w="19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900" w:type="dxa"/>
            <w:vAlign w:val="bottom"/>
            <w:gridSpan w:val="2"/>
          </w:tcPr>
          <w:p>
            <w:pPr>
              <w:jc w:val="right"/>
              <w:ind w:right="669"/>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40" w:type="dxa"/>
            <w:vAlign w:val="bottom"/>
            <w:shd w:val="clear" w:color="auto" w:fill="CFF0FC"/>
          </w:tcPr>
          <w:p>
            <w:pPr>
              <w:spacing w:after="0"/>
              <w:rPr>
                <w:sz w:val="20"/>
                <w:szCs w:val="20"/>
                <w:color w:val="auto"/>
              </w:rPr>
            </w:pPr>
            <w:r>
              <w:rPr>
                <w:rFonts w:ascii="Arial" w:cs="Arial" w:eastAsia="Arial" w:hAnsi="Arial"/>
                <w:sz w:val="18"/>
                <w:szCs w:val="18"/>
                <w:color w:val="auto"/>
                <w:w w:val="91"/>
              </w:rPr>
              <w:t>Q2</w:t>
            </w:r>
          </w:p>
        </w:tc>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2016 charges - discontinued operations</w:t>
            </w: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gridSpan w:val="2"/>
          </w:tcPr>
          <w:p>
            <w:pPr>
              <w:spacing w:after="0"/>
              <w:rPr>
                <w:sz w:val="20"/>
                <w:szCs w:val="20"/>
                <w:color w:val="auto"/>
              </w:rPr>
            </w:pPr>
            <w:r>
              <w:rPr>
                <w:rFonts w:ascii="Arial" w:cs="Arial" w:eastAsia="Arial" w:hAnsi="Arial"/>
                <w:sz w:val="18"/>
                <w:szCs w:val="18"/>
                <w:color w:val="auto"/>
              </w:rPr>
              <w:t>Q2 utilization/cash payments</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240" w:type="dxa"/>
            <w:vAlign w:val="bottom"/>
            <w:shd w:val="clear" w:color="auto" w:fill="CFF0FC"/>
          </w:tcPr>
          <w:p>
            <w:pPr>
              <w:spacing w:after="0"/>
              <w:rPr>
                <w:sz w:val="20"/>
                <w:szCs w:val="20"/>
                <w:color w:val="auto"/>
              </w:rPr>
            </w:pPr>
            <w:r>
              <w:rPr>
                <w:rFonts w:ascii="Arial" w:cs="Arial" w:eastAsia="Arial" w:hAnsi="Arial"/>
                <w:sz w:val="18"/>
                <w:szCs w:val="18"/>
                <w:color w:val="auto"/>
                <w:w w:val="91"/>
              </w:rPr>
              <w:t>Q2</w:t>
            </w:r>
          </w:p>
        </w:tc>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2016 other adjustments &amp; reclasses </w:t>
            </w:r>
            <w:r>
              <w:rPr>
                <w:rFonts w:ascii="Arial" w:cs="Arial" w:eastAsia="Arial" w:hAnsi="Arial"/>
                <w:sz w:val="15"/>
                <w:szCs w:val="15"/>
                <w:color w:val="auto"/>
              </w:rPr>
              <w:t>(3)</w:t>
            </w: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(1)</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Balance as of June 30, 2016</w:t>
            </w:r>
          </w:p>
        </w:tc>
        <w:tc>
          <w:tcPr>
            <w:tcW w:w="1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1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jc w:val="right"/>
              <w:ind w:right="660"/>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900" w:type="dxa"/>
            <w:vAlign w:val="bottom"/>
            <w:gridSpan w:val="2"/>
          </w:tcPr>
          <w:p>
            <w:pPr>
              <w:jc w:val="right"/>
              <w:ind w:right="669"/>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520" w:right="40" w:hanging="513"/>
        <w:spacing w:after="0" w:line="26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accelerated depreciation and inventory write-downs represent non-cash items.</w:t>
      </w:r>
    </w:p>
    <w:p>
      <w:pPr>
        <w:spacing w:after="0" w:line="72" w:lineRule="exact"/>
        <w:rPr>
          <w:rFonts w:ascii="Arial" w:cs="Arial" w:eastAsia="Arial" w:hAnsi="Arial"/>
          <w:sz w:val="15"/>
          <w:szCs w:val="15"/>
          <w:color w:val="auto"/>
        </w:rPr>
      </w:pPr>
    </w:p>
    <w:p>
      <w:pPr>
        <w:ind w:left="520" w:right="960" w:hanging="513"/>
        <w:spacing w:after="0" w:line="26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$(1) million represents severance related charges for pension plan special termination benefits, which are reflected in Pension and other postretirement liabilities in the Consolidated Statement of Financial Position.</w:t>
      </w:r>
    </w:p>
    <w:p>
      <w:pPr>
        <w:spacing w:after="0" w:line="72" w:lineRule="exact"/>
        <w:rPr>
          <w:rFonts w:ascii="Arial" w:cs="Arial" w:eastAsia="Arial" w:hAnsi="Arial"/>
          <w:sz w:val="15"/>
          <w:szCs w:val="15"/>
          <w:color w:val="auto"/>
        </w:rPr>
      </w:pPr>
    </w:p>
    <w:p>
      <w:pPr>
        <w:ind w:left="520" w:right="140" w:hanging="513"/>
        <w:spacing w:after="0" w:line="26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$(1) million represents severance related charges for pension plan curtailments and special termination benefits, which are reflected in Pension and other retirement liabilities in the Consolidated Statement of Financial Position.</w:t>
      </w:r>
    </w:p>
    <w:p>
      <w:pPr>
        <w:spacing w:after="0" w:line="180" w:lineRule="exact"/>
        <w:rPr>
          <w:sz w:val="20"/>
          <w:szCs w:val="20"/>
          <w:color w:val="auto"/>
        </w:rPr>
      </w:pPr>
    </w:p>
    <w:p>
      <w:pPr>
        <w:ind w:right="500"/>
        <w:spacing w:after="0" w:line="297" w:lineRule="auto"/>
        <w:rPr>
          <w:sz w:val="20"/>
          <w:szCs w:val="20"/>
          <w:color w:val="auto"/>
        </w:rPr>
      </w:pPr>
      <w:r>
        <w:rPr>
          <w:rFonts w:ascii="Arial" w:cs="Arial" w:eastAsia="Arial" w:hAnsi="Arial"/>
          <w:sz w:val="17"/>
          <w:szCs w:val="17"/>
          <w:color w:val="auto"/>
        </w:rPr>
        <w:t>For the three months ended June 30, 2016, the $8 million of charges includes $1 million of charges which were reported in discontinued operations in the accompanying Consolidated Statement of Operations. The remaining $7 million were reported as Restructuring costs and other.</w:t>
      </w:r>
    </w:p>
    <w:p>
      <w:pPr>
        <w:spacing w:after="0" w:line="156"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The severance costs for the three months ended June 30, 2016 related to the elimination of approximately 100 positions, including approximately 25 manufacturing/service positions, 25 research and development positions and 50 administrative positions. The geographic composition of these positions includes approximately 50 in the United States and Canada and 50 throughout the rest of the world.</w:t>
      </w:r>
    </w:p>
    <w:p>
      <w:pPr>
        <w:spacing w:after="0" w:line="1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six months ended June 30, 2016, the $13 million of charges includes $1 million of charges for inventory write-downs which were reported in Cost of revenues in the accompanying Consolidated Statement of Operations and $1 million which was reported in discontinued operations. The remaining $11 million was reported as Restructuring costs and other.</w:t>
      </w:r>
    </w:p>
    <w:p>
      <w:pPr>
        <w:spacing w:after="0" w:line="188"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The severance costs for the six months ended June 30, 2016 related to the elimination of approximately 150 positions, including approximately 50 manufacturing/service positions, 25 research and development positions and 75 administrative positions. The geographic composition of these positions includes approximately 75 in the United States and Canada and 75 throughout the rest of the world.</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these initiatives, the majority of the severance will be paid during periods through the end of 2016. However, in some instances, the employees whose positions were eliminated can elect or are required to receive their payments over an extended period of time. In addition, certain exit costs, such as long-term lease payments, will be paid over periods throughout the remainder of 2016 and beyond.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12: RETIREMENT PLANS AND OTHER POSTRETIREMENT BENEFITS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8"/>
              <w:spacing w:after="0" w:line="153"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08"/>
              <w:spacing w:after="0" w:line="153"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4"/>
          </w:tcPr>
          <w:p>
            <w:pPr>
              <w:jc w:val="right"/>
              <w:ind w:right="60"/>
              <w:spacing w:after="0" w:line="153"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U.S.</w:t>
            </w:r>
          </w:p>
        </w:tc>
        <w:tc>
          <w:tcPr>
            <w:tcW w:w="72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Non-U.S.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U.S.</w:t>
            </w:r>
          </w:p>
        </w:tc>
        <w:tc>
          <w:tcPr>
            <w:tcW w:w="72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Non-U.S.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5"/>
              <w:spacing w:after="0" w:line="153" w:lineRule="exact"/>
              <w:rPr>
                <w:sz w:val="20"/>
                <w:szCs w:val="20"/>
                <w:color w:val="auto"/>
              </w:rPr>
            </w:pPr>
            <w:r>
              <w:rPr>
                <w:rFonts w:ascii="Arial" w:cs="Arial" w:eastAsia="Arial" w:hAnsi="Arial"/>
                <w:sz w:val="14"/>
                <w:szCs w:val="14"/>
                <w:b w:val="1"/>
                <w:bCs w:val="1"/>
                <w:color w:val="auto"/>
                <w:w w:val="91"/>
              </w:rPr>
              <w:t>Non-U.S.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3"/>
                <w:szCs w:val="13"/>
                <w:color w:val="auto"/>
              </w:rPr>
            </w:pPr>
          </w:p>
        </w:tc>
        <w:tc>
          <w:tcPr>
            <w:tcW w:w="700" w:type="dxa"/>
            <w:vAlign w:val="bottom"/>
          </w:tcPr>
          <w:p>
            <w:pPr>
              <w:jc w:val="right"/>
              <w:ind w:right="33"/>
              <w:spacing w:after="0" w:line="153"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60" w:type="dxa"/>
            <w:vAlign w:val="bottom"/>
          </w:tcPr>
          <w:p>
            <w:pPr>
              <w:ind w:left="500"/>
              <w:spacing w:after="0"/>
              <w:rPr>
                <w:sz w:val="20"/>
                <w:szCs w:val="20"/>
                <w:color w:val="auto"/>
              </w:rPr>
            </w:pPr>
            <w:r>
              <w:rPr>
                <w:rFonts w:ascii="Arial" w:cs="Arial" w:eastAsia="Arial" w:hAnsi="Arial"/>
                <w:sz w:val="18"/>
                <w:szCs w:val="18"/>
                <w:color w:val="auto"/>
              </w:rPr>
              <w:t>Prior service credit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6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60" w:type="dxa"/>
            <w:vAlign w:val="bottom"/>
          </w:tcPr>
          <w:p>
            <w:pPr>
              <w:spacing w:after="0"/>
              <w:rPr>
                <w:sz w:val="20"/>
                <w:szCs w:val="20"/>
                <w:color w:val="auto"/>
              </w:rPr>
            </w:pPr>
            <w:r>
              <w:rPr>
                <w:rFonts w:ascii="Arial" w:cs="Arial" w:eastAsia="Arial" w:hAnsi="Arial"/>
                <w:sz w:val="18"/>
                <w:szCs w:val="18"/>
                <w:color w:val="auto"/>
              </w:rPr>
              <w:t>Net pension income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Other plans including unfunded plans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Total net pension income</w:t>
            </w: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60" w:type="dxa"/>
            <w:vAlign w:val="bottom"/>
            <w:vMerge w:val="continue"/>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right="480"/>
        <w:spacing w:after="0" w:line="267" w:lineRule="auto"/>
        <w:rPr>
          <w:sz w:val="20"/>
          <w:szCs w:val="20"/>
          <w:color w:val="auto"/>
        </w:rPr>
      </w:pPr>
      <w:r>
        <w:rPr>
          <w:rFonts w:ascii="Arial" w:cs="Arial" w:eastAsia="Arial" w:hAnsi="Arial"/>
          <w:sz w:val="18"/>
          <w:szCs w:val="18"/>
          <w:color w:val="auto"/>
        </w:rPr>
        <w:t>The total net pension income reported for the three and six month periods ended June 30, 2016 and 2015 includes less than $1 million of costs reported as discontinued operations in each respective period.</w:t>
      </w:r>
    </w:p>
    <w:p>
      <w:pPr>
        <w:spacing w:after="0" w:line="180"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For the three and six month periods ended June 30, 2016 and 2015, the special termination benefits charges were incurred as a result of Kodak’s restructuring actions.</w:t>
      </w:r>
    </w:p>
    <w:p>
      <w:pPr>
        <w:spacing w:after="0" w:line="18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Kodak made contributions (funded plans) or paid benefits (unfunded plans) totaling approximately $7 million relating to its defined benefit pension and other postretirement benefit plans for the six months ended June 30, 2016.</w:t>
      </w:r>
    </w:p>
    <w:p>
      <w:pPr>
        <w:spacing w:after="0" w:line="206"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Certain of Kodak’s retirement plans were remeasured during the first quarter of 2016. The remeasurement of the funded status of those plans during the first quarter increased Kodak’s recognized defined benefit plan obligation by $142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11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72"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color w:val="auto"/>
        </w:rPr>
        <w:t>Weighted-average basic shares outstanding were 42.2 million for the three and six month periods ended June 30, 2016. Weighted average basic and diluted shares were 41.9 million for the three and six month periods ended June 30, 2015.</w:t>
      </w:r>
    </w:p>
    <w:p>
      <w:pPr>
        <w:spacing w:after="0" w:line="180"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Weighted average diluted shares were 42.6 million and 42.4 million for the three and six month periods ended June 30, 2016, respectively and included the dilutive effect of 0.4 million and 0.2 million unvested restricted stock units, respectively.</w:t>
      </w:r>
    </w:p>
    <w:p>
      <w:pPr>
        <w:spacing w:after="0" w:line="2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computation of diluted earnings per share for the three and six months ended June 30, 2016 excluded the impact of the assumed conversion of net share settled warrants to purchase (a) 1.8 million shares of common shares at an exercise price of $14.93 and (b) 1.8 million shares of common shares at an exercise price of $16.12 because they would have been anti-dilutive.</w:t>
      </w:r>
    </w:p>
    <w:p>
      <w:pPr>
        <w:spacing w:after="0" w:line="18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a result of the net loss from continuing operations presented for the three and six months ended June 30, 2015, Kodak calculated diluted earnings per share using weighted-average basic shares outstanding for that period, as utilizing diluted shares would be anti-dilutive to loss per share. If Kodak had reported earnings from continuing operations for the three and six months ended June 30, 2015, unvested restricted stock units of 0.2 million and warrants to purchase 0.7 million of common shares would have been dilutive in the computation of diluted earnings per share:</w:t>
      </w:r>
    </w:p>
    <w:p>
      <w:pPr>
        <w:spacing w:after="0" w:line="177" w:lineRule="exact"/>
        <w:rPr>
          <w:sz w:val="20"/>
          <w:szCs w:val="20"/>
          <w:color w:val="auto"/>
        </w:rPr>
      </w:pPr>
    </w:p>
    <w:p>
      <w:pPr>
        <w:ind w:right="700"/>
        <w:spacing w:after="0" w:line="267" w:lineRule="auto"/>
        <w:rPr>
          <w:sz w:val="20"/>
          <w:szCs w:val="20"/>
          <w:color w:val="auto"/>
        </w:rPr>
      </w:pPr>
      <w:r>
        <w:rPr>
          <w:rFonts w:ascii="Arial" w:cs="Arial" w:eastAsia="Arial" w:hAnsi="Arial"/>
          <w:sz w:val="18"/>
          <w:szCs w:val="18"/>
          <w:color w:val="auto"/>
        </w:rPr>
        <w:t>Outstanding stock options of 1.7 million and 1.1 million for the three and six months ended June 2016 and 2015, respectively, were not included in the computation of diluted earnings per share as they would have been anti-dilutive.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14: SHAREHOLDERS’ EQUITY</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Kodak has 560 million shares of authorized stock, consisting of: (i) 500 million shares of common stock, par value $0.01 per share and (ii) 60 million shares of preferred stock, no par value, issuable in one or more series. As of both June 30, 2016 and December 31, 2015, there were 42.2 million and 42.0 million shares of common stock and no shares of preferred stock outstanding. Treasury stock consisted of approximately 0.4 million shares at June 30, 2016 and 0.3 million shares at December 31, 2015.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COMPREHENSIVE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loss, by component, were as follows: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4"/>
                <w:szCs w:val="14"/>
                <w:color w:val="auto"/>
              </w:rPr>
            </w:pPr>
          </w:p>
        </w:tc>
        <w:tc>
          <w:tcPr>
            <w:tcW w:w="2020" w:type="dxa"/>
            <w:vAlign w:val="bottom"/>
            <w:gridSpan w:val="5"/>
          </w:tcPr>
          <w:p>
            <w:pPr>
              <w:jc w:val="right"/>
              <w:ind w:right="16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45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23"/>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3"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Currency translation adjustments</w:t>
            </w:r>
          </w:p>
        </w:tc>
        <w:tc>
          <w:tcPr>
            <w:tcW w:w="1560" w:type="dxa"/>
            <w:vAlign w:val="bottom"/>
            <w:gridSpan w:val="2"/>
            <w:shd w:val="clear" w:color="auto" w:fill="CFF0FC"/>
          </w:tcPr>
          <w:p>
            <w:pPr>
              <w:jc w:val="right"/>
              <w:ind w:right="58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Unrealized losses on available-for-sale securities,</w:t>
            </w:r>
          </w:p>
        </w:tc>
        <w:tc>
          <w:tcPr>
            <w:tcW w:w="8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140"/>
              <w:spacing w:after="0"/>
              <w:rPr>
                <w:sz w:val="20"/>
                <w:szCs w:val="20"/>
                <w:color w:val="auto"/>
              </w:rPr>
            </w:pPr>
            <w:r>
              <w:rPr>
                <w:rFonts w:ascii="Arial" w:cs="Arial" w:eastAsia="Arial" w:hAnsi="Arial"/>
                <w:sz w:val="18"/>
                <w:szCs w:val="18"/>
                <w:color w:val="auto"/>
              </w:rPr>
              <w:t>before tax</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Tax provision</w:t>
            </w:r>
          </w:p>
        </w:tc>
        <w:tc>
          <w:tcPr>
            <w:tcW w:w="8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Unrealized losses on available-for-sale securities,</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8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00" w:type="dxa"/>
            <w:vAlign w:val="bottom"/>
          </w:tcPr>
          <w:p>
            <w:pPr>
              <w:ind w:left="240"/>
              <w:spacing w:after="0"/>
              <w:rPr>
                <w:sz w:val="20"/>
                <w:szCs w:val="20"/>
                <w:color w:val="auto"/>
              </w:rPr>
            </w:pPr>
            <w:r>
              <w:rPr>
                <w:rFonts w:ascii="Arial" w:cs="Arial" w:eastAsia="Arial" w:hAnsi="Arial"/>
                <w:sz w:val="18"/>
                <w:szCs w:val="18"/>
                <w:color w:val="auto"/>
              </w:rPr>
              <w:t>Newly established prior service credit</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 gain</w:t>
            </w: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Tax benefit</w:t>
            </w:r>
          </w:p>
        </w:tc>
        <w:tc>
          <w:tcPr>
            <w:tcW w:w="8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prior service credit and net</w:t>
            </w: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actuarial (loss) gain, net of tax</w:t>
            </w: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8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prior service credit</w:t>
            </w:r>
          </w:p>
        </w:tc>
        <w:tc>
          <w:tcPr>
            <w:tcW w:w="1560" w:type="dxa"/>
            <w:vAlign w:val="bottom"/>
            <w:gridSpan w:val="2"/>
            <w:shd w:val="clear" w:color="auto" w:fill="CFF0FC"/>
          </w:tcPr>
          <w:p>
            <w:pPr>
              <w:jc w:val="right"/>
              <w:ind w:right="703"/>
              <w:spacing w:after="0"/>
              <w:rPr>
                <w:sz w:val="20"/>
                <w:szCs w:val="20"/>
                <w:color w:val="auto"/>
              </w:rPr>
            </w:pPr>
            <w:r>
              <w:rPr>
                <w:rFonts w:ascii="Arial" w:cs="Arial" w:eastAsia="Arial" w:hAnsi="Arial"/>
                <w:sz w:val="15"/>
                <w:szCs w:val="15"/>
                <w:color w:val="auto"/>
              </w:rPr>
              <w:t>(a)</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5"/>
                <w:szCs w:val="15"/>
                <w:color w:val="auto"/>
              </w:rPr>
              <w:t>(a)</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4500" w:type="dxa"/>
            <w:vAlign w:val="bottom"/>
          </w:tcPr>
          <w:p>
            <w:pPr>
              <w:ind w:left="480"/>
              <w:spacing w:after="0"/>
              <w:rPr>
                <w:sz w:val="20"/>
                <w:szCs w:val="20"/>
                <w:color w:val="auto"/>
              </w:rPr>
            </w:pPr>
            <w:r>
              <w:rPr>
                <w:rFonts w:ascii="Arial" w:cs="Arial" w:eastAsia="Arial" w:hAnsi="Arial"/>
                <w:sz w:val="18"/>
                <w:szCs w:val="18"/>
                <w:color w:val="auto"/>
              </w:rPr>
              <w:t>Amortization of actuarial gains</w:t>
            </w:r>
          </w:p>
        </w:tc>
        <w:tc>
          <w:tcPr>
            <w:tcW w:w="1560" w:type="dxa"/>
            <w:vAlign w:val="bottom"/>
            <w:gridSpan w:val="2"/>
          </w:tcPr>
          <w:p>
            <w:pPr>
              <w:jc w:val="right"/>
              <w:ind w:right="703"/>
              <w:spacing w:after="0"/>
              <w:rPr>
                <w:sz w:val="20"/>
                <w:szCs w:val="20"/>
                <w:color w:val="auto"/>
              </w:rPr>
            </w:pPr>
            <w:r>
              <w:rPr>
                <w:rFonts w:ascii="Arial" w:cs="Arial" w:eastAsia="Arial" w:hAnsi="Arial"/>
                <w:sz w:val="15"/>
                <w:szCs w:val="15"/>
                <w:color w:val="auto"/>
              </w:rPr>
              <w:t>(a)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5"/>
                <w:szCs w:val="15"/>
                <w:color w:val="auto"/>
              </w:rPr>
              <w:t>(a)</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Recognition of gains due to settlements</w:t>
            </w: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240"/>
              <w:spacing w:after="0"/>
              <w:rPr>
                <w:sz w:val="20"/>
                <w:szCs w:val="20"/>
                <w:color w:val="auto"/>
              </w:rPr>
            </w:pPr>
            <w:r>
              <w:rPr>
                <w:rFonts w:ascii="Arial" w:cs="Arial" w:eastAsia="Arial" w:hAnsi="Arial"/>
                <w:sz w:val="18"/>
                <w:szCs w:val="18"/>
                <w:color w:val="auto"/>
              </w:rPr>
              <w:t>Total reclassification adjustments</w:t>
            </w: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5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8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8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5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ind w:right="583"/>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60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11, "Retirement Plans and Other Postretirement Benefits".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ACCUMULATED OTHER COMPREHENSIVE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composed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464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0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6"/>
        </w:trPr>
        <w:tc>
          <w:tcPr>
            <w:tcW w:w="4640" w:type="dxa"/>
            <w:vAlign w:val="bottom"/>
          </w:tcPr>
          <w:p>
            <w:pPr>
              <w:spacing w:after="0"/>
              <w:rPr>
                <w:sz w:val="20"/>
                <w:szCs w:val="20"/>
                <w:color w:val="auto"/>
              </w:rPr>
            </w:pPr>
            <w:r>
              <w:rPr>
                <w:rFonts w:ascii="Arial" w:cs="Arial" w:eastAsia="Arial" w:hAnsi="Arial"/>
                <w:sz w:val="18"/>
                <w:szCs w:val="18"/>
                <w:color w:val="auto"/>
              </w:rPr>
              <w:t>Unrealized loss on investments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119" w:lineRule="exact"/>
        <w:rPr>
          <w:sz w:val="20"/>
          <w:szCs w:val="20"/>
          <w:color w:val="auto"/>
        </w:rPr>
      </w:pPr>
    </w:p>
    <w:p>
      <w:pPr>
        <w:jc w:val="both"/>
        <w:ind w:right="500"/>
        <w:spacing w:after="0" w:line="257" w:lineRule="auto"/>
        <w:rPr>
          <w:sz w:val="20"/>
          <w:szCs w:val="20"/>
          <w:color w:val="auto"/>
        </w:rPr>
      </w:pPr>
      <w:r>
        <w:rPr>
          <w:rFonts w:ascii="Arial" w:cs="Arial" w:eastAsia="Arial" w:hAnsi="Arial"/>
          <w:sz w:val="18"/>
          <w:szCs w:val="18"/>
          <w:color w:val="auto"/>
        </w:rPr>
        <w:t>Kodak has seven reportable segments: Print Systems, Micro 3D Printing and Packaging, Software and Solutions, Consumer and Film, Enterprise Inkjet Systems, Intellectual Property Solutions and Eastman Business Park. The balance of Kodak’s continuing operations, which do not meet the criteria of a reportable segment, are reported in All Other. A description of the reportable segments follows.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33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Micro 3D Printing and Packaging</w:t>
      </w:r>
      <w:r>
        <w:rPr>
          <w:rFonts w:ascii="Arial" w:cs="Arial" w:eastAsia="Arial" w:hAnsi="Arial"/>
          <w:sz w:val="16"/>
          <w:szCs w:val="16"/>
          <w:color w:val="auto"/>
        </w:rPr>
        <w:t>: The Micro 3D Printing and Packaging segment is comprised of two lines of business: Packaging and Micro 3D Printing.</w:t>
      </w:r>
    </w:p>
    <w:p>
      <w:pPr>
        <w:spacing w:after="0" w:line="243"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b w:val="1"/>
          <w:bCs w:val="1"/>
          <w:color w:val="auto"/>
        </w:rPr>
        <w:t>Software and Solutions</w:t>
      </w:r>
      <w:r>
        <w:rPr>
          <w:rFonts w:ascii="Arial" w:cs="Arial" w:eastAsia="Arial" w:hAnsi="Arial"/>
          <w:sz w:val="18"/>
          <w:szCs w:val="18"/>
          <w:color w:val="auto"/>
        </w:rPr>
        <w:t>: The Software and Solutions segment is comprised of two lines of business: Kodak Technology Solutions and Unified Workflow</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w:t>
      </w:r>
    </w:p>
    <w:p>
      <w:pPr>
        <w:spacing w:after="0" w:line="167" w:lineRule="exact"/>
        <w:rPr>
          <w:sz w:val="20"/>
          <w:szCs w:val="20"/>
          <w:color w:val="auto"/>
        </w:rPr>
      </w:pPr>
    </w:p>
    <w:p>
      <w:pPr>
        <w:ind w:right="720"/>
        <w:spacing w:after="0" w:line="274" w:lineRule="auto"/>
        <w:rPr>
          <w:sz w:val="20"/>
          <w:szCs w:val="20"/>
          <w:color w:val="auto"/>
        </w:rPr>
      </w:pPr>
      <w:r>
        <w:rPr>
          <w:rFonts w:ascii="Arial" w:cs="Arial" w:eastAsia="Arial" w:hAnsi="Arial"/>
          <w:sz w:val="18"/>
          <w:szCs w:val="18"/>
          <w:b w:val="1"/>
          <w:bCs w:val="1"/>
          <w:color w:val="auto"/>
        </w:rPr>
        <w:t>Consumer and Film</w:t>
      </w:r>
      <w:r>
        <w:rPr>
          <w:rFonts w:ascii="Arial" w:cs="Arial" w:eastAsia="Arial" w:hAnsi="Arial"/>
          <w:sz w:val="18"/>
          <w:szCs w:val="18"/>
          <w:color w:val="auto"/>
        </w:rPr>
        <w:t>: The Consumer and Film segment is comprised of three lines of business: Consumer Inkjet Solutions; Motion Picture,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Chemicals and Films; and Consumer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r>
        <w:rPr>
          <w:rFonts w:ascii="Arial" w:cs="Arial" w:eastAsia="Arial" w:hAnsi="Arial"/>
          <w:sz w:val="18"/>
          <w:szCs w:val="18"/>
          <w:color w:val="auto"/>
        </w:rPr>
        <w:t>: The Enterprise Inkjet Systems segment is comprised of the KODAK VERSAMARK business.</w:t>
      </w:r>
    </w:p>
    <w:p>
      <w:pPr>
        <w:spacing w:after="0" w:line="220"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b w:val="1"/>
          <w:bCs w:val="1"/>
          <w:color w:val="auto"/>
        </w:rPr>
        <w:t>Intellectual Property Solutions</w:t>
      </w:r>
      <w:r>
        <w:rPr>
          <w:rFonts w:ascii="Arial" w:cs="Arial" w:eastAsia="Arial" w:hAnsi="Arial"/>
          <w:sz w:val="18"/>
          <w:szCs w:val="18"/>
          <w:color w:val="auto"/>
        </w:rPr>
        <w:t>: The Intellectual Property Solutions segment includes licensing and research and development activities not directly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segments.</w:t>
      </w:r>
    </w:p>
    <w:p>
      <w:pPr>
        <w:spacing w:after="0" w:line="167"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 acre technology center</w:t>
      </w:r>
      <w:r>
        <w:rPr>
          <w:rFonts w:ascii="Arial" w:cs="Arial" w:eastAsia="Arial" w:hAnsi="Arial"/>
          <w:sz w:val="18"/>
          <w:szCs w:val="18"/>
          <w:b w:val="1"/>
          <w:bCs w:val="1"/>
          <w:color w:val="auto"/>
        </w:rPr>
        <w:t xml:space="preserve"> </w:t>
      </w:r>
      <w:r>
        <w:rPr>
          <w:rFonts w:ascii="Arial" w:cs="Arial" w:eastAsia="Arial" w:hAnsi="Arial"/>
          <w:sz w:val="18"/>
          <w:szCs w:val="18"/>
          <w:color w:val="auto"/>
        </w:rPr>
        <w:t>and industrial complex.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r>
        <w:rPr>
          <w:rFonts w:ascii="Arial" w:cs="Arial" w:eastAsia="Arial" w:hAnsi="Arial"/>
          <w:sz w:val="18"/>
          <w:szCs w:val="18"/>
          <w:color w:val="auto"/>
        </w:rPr>
        <w:t>: All Other is composed of the RED utilities variable interest entity.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from Continuing Operations by Reportable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14"/>
                <w:szCs w:val="14"/>
                <w:color w:val="auto"/>
              </w:rPr>
            </w:pPr>
          </w:p>
        </w:tc>
        <w:tc>
          <w:tcPr>
            <w:tcW w:w="196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3"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2340" w:type="dxa"/>
            <w:vAlign w:val="bottom"/>
            <w:gridSpan w:val="2"/>
            <w:shd w:val="clear" w:color="auto" w:fill="CFF0FC"/>
          </w:tcPr>
          <w:p>
            <w:pPr>
              <w:jc w:val="right"/>
              <w:ind w:right="54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258</w:t>
            </w:r>
          </w:p>
        </w:tc>
        <w:tc>
          <w:tcPr>
            <w:tcW w:w="920" w:type="dxa"/>
            <w:vAlign w:val="bottom"/>
            <w:gridSpan w:val="2"/>
            <w:shd w:val="clear" w:color="auto" w:fill="CFF0FC"/>
          </w:tcPr>
          <w:p>
            <w:pPr>
              <w:jc w:val="right"/>
              <w:ind w:right="54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gridSpan w:val="2"/>
          </w:tcPr>
          <w:p>
            <w:pPr>
              <w:ind w:left="580"/>
              <w:spacing w:after="0"/>
              <w:rPr>
                <w:sz w:val="20"/>
                <w:szCs w:val="20"/>
                <w:color w:val="auto"/>
              </w:rPr>
            </w:pPr>
            <w:r>
              <w:rPr>
                <w:rFonts w:ascii="Arial" w:cs="Arial" w:eastAsia="Arial" w:hAnsi="Arial"/>
                <w:sz w:val="18"/>
                <w:szCs w:val="18"/>
                <w:color w:val="auto"/>
              </w:rPr>
              <w:t>Micro 3D Printing and Packaging</w:t>
            </w: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Software and Solutions</w:t>
            </w:r>
          </w:p>
        </w:tc>
        <w:tc>
          <w:tcPr>
            <w:tcW w:w="16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gridSpan w:val="2"/>
          </w:tcPr>
          <w:p>
            <w:pPr>
              <w:ind w:left="580"/>
              <w:spacing w:after="0"/>
              <w:rPr>
                <w:sz w:val="20"/>
                <w:szCs w:val="20"/>
                <w:color w:val="auto"/>
              </w:rPr>
            </w:pPr>
            <w:r>
              <w:rPr>
                <w:rFonts w:ascii="Arial" w:cs="Arial" w:eastAsia="Arial" w:hAnsi="Arial"/>
                <w:sz w:val="18"/>
                <w:szCs w:val="18"/>
                <w:color w:val="auto"/>
              </w:rPr>
              <w:t>Consumer and Film</w:t>
            </w: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Enterprise Inkjet Systems</w:t>
            </w:r>
          </w:p>
        </w:tc>
        <w:tc>
          <w:tcPr>
            <w:tcW w:w="16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gridSpan w:val="2"/>
          </w:tcPr>
          <w:p>
            <w:pPr>
              <w:ind w:left="580"/>
              <w:spacing w:after="0"/>
              <w:rPr>
                <w:sz w:val="20"/>
                <w:szCs w:val="20"/>
                <w:color w:val="auto"/>
              </w:rPr>
            </w:pPr>
            <w:r>
              <w:rPr>
                <w:rFonts w:ascii="Arial" w:cs="Arial" w:eastAsia="Arial" w:hAnsi="Arial"/>
                <w:sz w:val="18"/>
                <w:szCs w:val="18"/>
                <w:color w:val="auto"/>
              </w:rPr>
              <w:t>Intellectual Property Solutions</w:t>
            </w: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6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2340" w:type="dxa"/>
            <w:vAlign w:val="bottom"/>
            <w:gridSpan w:val="2"/>
          </w:tcPr>
          <w:p>
            <w:pPr>
              <w:jc w:val="right"/>
              <w:ind w:right="54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397</w:t>
            </w:r>
          </w:p>
        </w:tc>
        <w:tc>
          <w:tcPr>
            <w:tcW w:w="920" w:type="dxa"/>
            <w:vAlign w:val="bottom"/>
            <w:gridSpan w:val="2"/>
          </w:tcPr>
          <w:p>
            <w:pPr>
              <w:jc w:val="right"/>
              <w:ind w:right="54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434</w:t>
            </w:r>
          </w:p>
        </w:tc>
        <w:tc>
          <w:tcPr>
            <w:tcW w:w="2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Segment Operational EBITDA and Consolidated Earnings (Loss) from Continuing Operations Before Income Taxes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980" w:type="dxa"/>
            <w:vAlign w:val="bottom"/>
            <w:gridSpan w:val="5"/>
          </w:tcPr>
          <w:p>
            <w:pPr>
              <w:jc w:val="right"/>
              <w:ind w:right="12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5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3"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90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Micro 3D Printing and Packaging</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Software and Solutions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Consumer and Film</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Enterprise Inkjet Systems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Intellectual Property Solutions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40"/>
              <w:spacing w:after="0"/>
              <w:rPr>
                <w:sz w:val="20"/>
                <w:szCs w:val="20"/>
                <w:color w:val="auto"/>
              </w:rPr>
            </w:pPr>
            <w:r>
              <w:rPr>
                <w:rFonts w:ascii="Arial" w:cs="Arial" w:eastAsia="Arial" w:hAnsi="Arial"/>
                <w:sz w:val="18"/>
                <w:szCs w:val="18"/>
                <w:color w:val="auto"/>
              </w:rPr>
              <w:t>Total of reportable segments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 xml:space="preserve">Corporate components of pension and OPEB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Overhead supporting, but not directly absorbed by discontinued</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operations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(4)</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(5)</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w w:val="93"/>
              </w:rPr>
              <w:t>Manufacturing costs originally planned to be absorbed by silver metal</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mesh touch screen production </w:t>
            </w:r>
            <w:r>
              <w:rPr>
                <w:rFonts w:ascii="Arial" w:cs="Arial" w:eastAsia="Arial" w:hAnsi="Arial"/>
                <w:sz w:val="15"/>
                <w:szCs w:val="15"/>
                <w:color w:val="auto"/>
              </w:rPr>
              <w:t>(6)</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15"/>
                <w:szCs w:val="15"/>
                <w:color w:val="auto"/>
              </w:rPr>
              <w:t>(7)</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(7)</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 xml:space="preserve">Other charges, net </w:t>
            </w:r>
            <w:r>
              <w:rPr>
                <w:rFonts w:ascii="Arial" w:cs="Arial" w:eastAsia="Arial" w:hAnsi="Arial"/>
                <w:sz w:val="15"/>
                <w:szCs w:val="15"/>
                <w:color w:val="auto"/>
              </w:rPr>
              <w:t>(7)</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15"/>
                <w:szCs w:val="15"/>
                <w:color w:val="auto"/>
              </w:rPr>
              <w:t>(7)</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w w:val="92"/>
              </w:rPr>
              <w:t>Consolidated income (loss) from continuing operations before income</w:t>
            </w: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60" w:type="dxa"/>
            <w:vAlign w:val="bottom"/>
          </w:tcPr>
          <w:p>
            <w:pPr>
              <w:spacing w:after="0"/>
              <w:rPr>
                <w:sz w:val="20"/>
                <w:szCs w:val="20"/>
                <w:color w:val="auto"/>
              </w:rPr>
            </w:pPr>
            <w:r>
              <w:rPr>
                <w:rFonts w:ascii="Arial" w:cs="Arial" w:eastAsia="Arial" w:hAnsi="Arial"/>
                <w:sz w:val="18"/>
                <w:szCs w:val="18"/>
                <w:color w:val="auto"/>
              </w:rPr>
              <w:t>taxes</w:t>
            </w:r>
          </w:p>
        </w:tc>
        <w:tc>
          <w:tcPr>
            <w:tcW w:w="90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80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520" w:hanging="513"/>
        <w:spacing w:after="0"/>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Earnings of the RED utilities variable interest entity.</w:t>
      </w:r>
    </w:p>
    <w:p>
      <w:pPr>
        <w:spacing w:after="0" w:line="273" w:lineRule="exact"/>
        <w:rPr>
          <w:rFonts w:ascii="Arial" w:cs="Arial" w:eastAsia="Arial" w:hAnsi="Arial"/>
          <w:sz w:val="15"/>
          <w:szCs w:val="15"/>
          <w:color w:val="auto"/>
        </w:rPr>
      </w:pPr>
    </w:p>
    <w:p>
      <w:pPr>
        <w:ind w:left="520" w:right="380" w:hanging="513"/>
        <w:spacing w:after="0" w:line="267" w:lineRule="auto"/>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Composed of interest cost, expected return on plan assets, amortization of actuarial gains and losses and curtailments and settlement components of pension and other postretirement benefit expenses.</w:t>
      </w:r>
    </w:p>
    <w:p>
      <w:pPr>
        <w:spacing w:after="0" w:line="86" w:lineRule="exact"/>
        <w:rPr>
          <w:rFonts w:ascii="Arial" w:cs="Arial" w:eastAsia="Arial" w:hAnsi="Arial"/>
          <w:sz w:val="15"/>
          <w:szCs w:val="15"/>
          <w:color w:val="auto"/>
        </w:rPr>
      </w:pPr>
    </w:p>
    <w:p>
      <w:pPr>
        <w:ind w:left="520" w:right="20" w:hanging="513"/>
        <w:spacing w:after="0" w:line="304" w:lineRule="auto"/>
        <w:tabs>
          <w:tab w:leader="none" w:pos="520" w:val="left"/>
        </w:tabs>
        <w:numPr>
          <w:ilvl w:val="0"/>
          <w:numId w:val="8"/>
        </w:numPr>
        <w:rPr>
          <w:rFonts w:ascii="Arial" w:cs="Arial" w:eastAsia="Arial" w:hAnsi="Arial"/>
          <w:sz w:val="13"/>
          <w:szCs w:val="13"/>
          <w:color w:val="auto"/>
        </w:rPr>
      </w:pPr>
      <w:r>
        <w:rPr>
          <w:rFonts w:ascii="Arial" w:cs="Arial" w:eastAsia="Arial" w:hAnsi="Arial"/>
          <w:sz w:val="16"/>
          <w:szCs w:val="16"/>
          <w:color w:val="auto"/>
        </w:rPr>
        <w:t>Primarily consists of costs for shared resources allocated to the Prosper Enterprise Inkjet business discontinued operation in the prior year periods which are now included in the results of continuing operations and an estimate of costs for shared resources which would have been allocated to the Prosper Enterprise Inkjet business discontinued operation in the current year period had the business remained in continuing operations.</w:t>
      </w:r>
    </w:p>
    <w:p>
      <w:pPr>
        <w:spacing w:after="0" w:line="47" w:lineRule="exact"/>
        <w:rPr>
          <w:rFonts w:ascii="Arial" w:cs="Arial" w:eastAsia="Arial" w:hAnsi="Arial"/>
          <w:sz w:val="13"/>
          <w:szCs w:val="13"/>
          <w:color w:val="auto"/>
        </w:rPr>
      </w:pPr>
    </w:p>
    <w:p>
      <w:pPr>
        <w:ind w:left="520" w:hanging="513"/>
        <w:spacing w:after="0"/>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other costs associated with certain corporate strategic initiatives.</w:t>
      </w:r>
    </w:p>
    <w:p>
      <w:pPr>
        <w:spacing w:after="0" w:line="113" w:lineRule="exact"/>
        <w:rPr>
          <w:rFonts w:ascii="Arial" w:cs="Arial" w:eastAsia="Arial" w:hAnsi="Arial"/>
          <w:sz w:val="15"/>
          <w:szCs w:val="15"/>
          <w:color w:val="auto"/>
        </w:rPr>
      </w:pPr>
    </w:p>
    <w:p>
      <w:pPr>
        <w:ind w:left="520" w:right="440" w:hanging="513"/>
        <w:spacing w:after="0" w:line="267" w:lineRule="auto"/>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72" w:lineRule="exact"/>
        <w:rPr>
          <w:rFonts w:ascii="Arial" w:cs="Arial" w:eastAsia="Arial" w:hAnsi="Arial"/>
          <w:sz w:val="15"/>
          <w:szCs w:val="15"/>
          <w:color w:val="auto"/>
        </w:rPr>
      </w:pPr>
    </w:p>
    <w:p>
      <w:pPr>
        <w:ind w:left="520" w:hanging="513"/>
        <w:spacing w:after="0" w:line="267" w:lineRule="auto"/>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Consists of manufacturing costs originally planned to be absorbed by silver metal mesh touch screen production that are now excluded from the measure of segment profit and loss.</w:t>
      </w:r>
    </w:p>
    <w:p>
      <w:pPr>
        <w:spacing w:after="0" w:line="72" w:lineRule="exact"/>
        <w:rPr>
          <w:rFonts w:ascii="Arial" w:cs="Arial" w:eastAsia="Arial" w:hAnsi="Arial"/>
          <w:sz w:val="15"/>
          <w:szCs w:val="15"/>
          <w:color w:val="auto"/>
        </w:rPr>
      </w:pPr>
    </w:p>
    <w:p>
      <w:pPr>
        <w:ind w:left="520" w:hanging="513"/>
        <w:spacing w:after="0"/>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19"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As demonstrated in the above table, Operational EBITDA represents the income (loss) from continuing operations excluding the provision (benefit) for income taxes; corporate components of pension and OPEB income; depreciation and amortization expense; restructuring costs; overhead costs no longer absorbed by discontinued operations; stock-based compensation expense; consulting and other costs; idle costs; manufacturing costs originally planned to be absorbed by silver metal mesh touch screen production; other operating (income) expense, net (unless otherwise indicated); interest expense; other charges, net and reorganization items, net.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81" w:right="279" w:bottom="1440" w:gutter="0" w:footer="0" w:header="0"/>
        </w:sectPr>
      </w:pPr>
    </w:p>
    <w:bookmarkStart w:id="17" w:name="page18"/>
    <w:bookmarkEnd w:id="17"/>
    <w:p>
      <w:pPr>
        <w:jc w:val="both"/>
        <w:ind w:right="760"/>
        <w:spacing w:after="0" w:line="304"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 and Loss</w:t>
      </w:r>
    </w:p>
    <w:p>
      <w:pPr>
        <w:spacing w:after="0" w:line="1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first quarter of 2016, Kodak changed its segment measure of profit and loss. The segment measure excludes overhead costs no longer absorbed by discontinued operations (see description above). In addition, manufacturing costs originally planned to be absorbed by silver metal mesh touch screen production are now excluded from the segment measure of profit and loss.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DISCONTINUED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 PROSPER Enterprise Inkjet Business</w:t>
      </w:r>
    </w:p>
    <w:p>
      <w:pPr>
        <w:spacing w:after="0" w:line="11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In March 2016 Kodak announced that it is in talks with prospective buyers about offers to purchase its KODAK PROSPER Enterprise Inkjet business (the “Prosper Business”). The results of operations of the Prosper Business are classified as discontinued operations in the Consolidated Statement of Operations for all periods presented. Additionally, the related assets and liabilities associated with the Prosper Business are classified as held for sale in the Consolidated Statement of Financial Position as of June 30, 2016 and December 31, 2015. Kodak anticipates the sale may take up to a year to complete.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the Prosper Business are presented in the following table: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c>
          <w:tcPr>
            <w:tcW w:w="20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48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4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20"/>
              <w:spacing w:after="0" w:line="153"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3"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FF0FC"/>
          </w:tcPr>
          <w:p>
            <w:pPr>
              <w:jc w:val="right"/>
              <w:ind w:right="58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spacing w:after="0"/>
              <w:rPr>
                <w:sz w:val="20"/>
                <w:szCs w:val="20"/>
                <w:color w:val="auto"/>
              </w:rPr>
            </w:pPr>
            <w:r>
              <w:rPr>
                <w:rFonts w:ascii="Arial" w:cs="Arial" w:eastAsia="Arial" w:hAnsi="Arial"/>
                <w:sz w:val="18"/>
                <w:szCs w:val="18"/>
                <w:color w:val="auto"/>
              </w:rPr>
              <w:t>Cost of sales</w:t>
            </w:r>
          </w:p>
        </w:tc>
        <w:tc>
          <w:tcPr>
            <w:tcW w:w="5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6"/>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9"/>
              </w:rPr>
              <w:t>Provision for income taxes related to discontinued operations</w:t>
            </w:r>
          </w:p>
        </w:tc>
        <w:tc>
          <w:tcPr>
            <w:tcW w:w="5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9"/>
              <w:spacing w:after="0"/>
              <w:rPr>
                <w:sz w:val="20"/>
                <w:szCs w:val="20"/>
                <w:color w:val="auto"/>
              </w:rPr>
            </w:pPr>
            <w:r>
              <w:rPr>
                <w:rFonts w:ascii="Arial" w:cs="Arial" w:eastAsia="Arial" w:hAnsi="Arial"/>
                <w:sz w:val="14"/>
                <w:szCs w:val="14"/>
                <w:b w:val="1"/>
                <w:bCs w:val="1"/>
                <w:color w:val="auto"/>
                <w:w w:val="76"/>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(7)</w:t>
            </w: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80"/>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60"/>
        <w:spacing w:after="0" w:line="297" w:lineRule="auto"/>
        <w:rPr>
          <w:sz w:val="20"/>
          <w:szCs w:val="20"/>
          <w:color w:val="auto"/>
        </w:rPr>
      </w:pPr>
      <w:r>
        <w:rPr>
          <w:rFonts w:ascii="Arial" w:cs="Arial" w:eastAsia="Arial" w:hAnsi="Arial"/>
          <w:sz w:val="17"/>
          <w:szCs w:val="17"/>
          <w:color w:val="auto"/>
        </w:rPr>
        <w:t>Loss from discontinued operations for the three and six months ended June 30, 2016 in the Consolidated Statement of Operations also included $1 million and $2 million, respectively, associated with discontinued operations of the Personalized Imaging and Document Imaging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carrying amount of major assets and liabilities of the Prosper Business: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(in millions)</w:t>
            </w:r>
          </w:p>
        </w:tc>
        <w:tc>
          <w:tcPr>
            <w:tcW w:w="2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gridSpan w:val="2"/>
            <w:vMerge w:val="continue"/>
          </w:tcPr>
          <w:p>
            <w:pPr>
              <w:spacing w:after="0"/>
              <w:rPr>
                <w:sz w:val="14"/>
                <w:szCs w:val="14"/>
                <w:color w:val="auto"/>
              </w:rPr>
            </w:pPr>
          </w:p>
        </w:tc>
        <w:tc>
          <w:tcPr>
            <w:tcW w:w="29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Cash and cash equivalents</w:t>
            </w:r>
          </w:p>
        </w:tc>
        <w:tc>
          <w:tcPr>
            <w:tcW w:w="29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Inventories, net</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Intangible assets, net</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1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2"/>
                <w:szCs w:val="22"/>
                <w:color w:val="auto"/>
              </w:rPr>
            </w:pPr>
          </w:p>
        </w:tc>
        <w:tc>
          <w:tcPr>
            <w:tcW w:w="3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Assets of business held for sale</w:t>
            </w:r>
          </w:p>
        </w:tc>
        <w:tc>
          <w:tcPr>
            <w:tcW w:w="214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138</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80" w:type="dxa"/>
            <w:vAlign w:val="bottom"/>
            <w:tcBorders>
              <w:bottom w:val="single" w:sz="8" w:color="CFF0FC"/>
            </w:tcBorders>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340" w:type="dxa"/>
            <w:vAlign w:val="bottom"/>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LIABILITIES</w:t>
            </w:r>
          </w:p>
        </w:tc>
        <w:tc>
          <w:tcPr>
            <w:tcW w:w="2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Accounts payable, trade</w:t>
            </w:r>
          </w:p>
        </w:tc>
        <w:tc>
          <w:tcPr>
            <w:tcW w:w="29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long-term debt</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Other current liabilities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Other long-term liabilities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3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Liabilities of business held for sale</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140" w:type="dxa"/>
            <w:vAlign w:val="bottom"/>
            <w:vMerge w:val="restart"/>
          </w:tcPr>
          <w:p>
            <w:pPr>
              <w:jc w:val="right"/>
              <w:ind w:right="1256"/>
              <w:spacing w:after="0"/>
              <w:rPr>
                <w:sz w:val="20"/>
                <w:szCs w:val="20"/>
                <w:color w:val="auto"/>
              </w:rPr>
            </w:pPr>
            <w:r>
              <w:rPr>
                <w:rFonts w:ascii="Arial" w:cs="Arial" w:eastAsia="Arial" w:hAnsi="Arial"/>
                <w:sz w:val="18"/>
                <w:szCs w:val="18"/>
                <w:color w:val="auto"/>
              </w:rPr>
              <w:t>[18]</w:t>
            </w: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18" w:name="page19"/>
    <w:bookmarkEnd w:id="18"/>
    <w:p>
      <w:pPr>
        <w:ind w:right="220"/>
        <w:spacing w:after="0" w:line="257" w:lineRule="auto"/>
        <w:rPr>
          <w:sz w:val="20"/>
          <w:szCs w:val="20"/>
          <w:color w:val="auto"/>
        </w:rPr>
      </w:pPr>
      <w:r>
        <w:rPr>
          <w:rFonts w:ascii="Arial" w:cs="Arial" w:eastAsia="Arial" w:hAnsi="Arial"/>
          <w:sz w:val="18"/>
          <w:szCs w:val="18"/>
          <w:color w:val="auto"/>
        </w:rPr>
        <w:t>Intercompany liabilities between a dedicated entity of the Prosper Business and Kodak of approximately $7 million as of June 30, 2016 that are part of the proposed transaction are not reflected in the table above as these amounts have been eliminated in deriving the consolidated financial statements. There were no intercompany amounts that are part of the proposed transaction as of December 31, 2015.</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Current assets held for sale as of June 30, 2016 and December 31, 2015 in the Consolidated Statement of Financial Position also included $2 million from assets under contract for sale not associated with the Prosper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flow information associated with the Prosper Business: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120" w:type="dxa"/>
            <w:vAlign w:val="bottom"/>
            <w:gridSpan w:val="4"/>
          </w:tcPr>
          <w:p>
            <w:pPr>
              <w:jc w:val="center"/>
              <w:ind w:left="169"/>
              <w:spacing w:after="0"/>
              <w:rPr>
                <w:sz w:val="20"/>
                <w:szCs w:val="20"/>
                <w:color w:val="auto"/>
              </w:rPr>
            </w:pPr>
            <w:r>
              <w:rPr>
                <w:rFonts w:ascii="Arial" w:cs="Arial" w:eastAsia="Arial" w:hAnsi="Arial"/>
                <w:sz w:val="14"/>
                <w:szCs w:val="14"/>
                <w:b w:val="1"/>
                <w:bCs w:val="1"/>
                <w:color w:val="auto"/>
                <w:w w:val="92"/>
              </w:rPr>
              <w:t>Six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320" w:type="dxa"/>
            <w:vAlign w:val="bottom"/>
            <w:gridSpan w:val="3"/>
          </w:tcPr>
          <w:p>
            <w:pPr>
              <w:jc w:val="center"/>
              <w:ind w:right="469"/>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55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53"/>
        </w:trPr>
        <w:tc>
          <w:tcPr>
            <w:tcW w:w="63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r>
      <w:tr>
        <w:trPr>
          <w:trHeight w:val="227"/>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of long-lived assets of the Prosper Business included in discontinued operations ceased on April 1, 2016.</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FINANCIAL INSTRUMENTS</w:t>
      </w:r>
    </w:p>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Kodak’s foreign currency forward contracts are not designated as hedges and are marked to market through net earnings (loss) at the same time that the exposed assets and liabilities are re-measured through net earnings (loss) (both in Other charges, net in the Consolidated Statement of Operations). The notional amount of such contracts open at June 30, 2016 and December 31, 2015 was approximately $393 million and $384 million, respectively. The majority of the contracts of this type held by Kodak are denominated in euros, Chinese renminbi and British pounds.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060" w:type="dxa"/>
            <w:vAlign w:val="bottom"/>
            <w:gridSpan w:val="5"/>
          </w:tcPr>
          <w:p>
            <w:pPr>
              <w:jc w:val="right"/>
              <w:ind w:right="20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80" w:type="dxa"/>
            <w:vAlign w:val="bottom"/>
            <w:vMerge w:val="restart"/>
          </w:tcPr>
          <w:p>
            <w:pPr>
              <w:spacing w:after="0"/>
              <w:rPr>
                <w:sz w:val="20"/>
                <w:szCs w:val="20"/>
                <w:color w:val="auto"/>
              </w:rPr>
            </w:pPr>
            <w:r>
              <w:rPr>
                <w:rFonts w:ascii="Arial" w:cs="Arial" w:eastAsia="Arial" w:hAnsi="Arial"/>
                <w:sz w:val="18"/>
                <w:szCs w:val="18"/>
                <w:color w:val="auto"/>
                <w:w w:val="91"/>
              </w:rPr>
              <w:t>Net (loss) gain from derivatives not designated as hedging instruments</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20"/>
              <w:spacing w:after="0" w:line="153"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180" w:type="dxa"/>
            <w:vAlign w:val="bottom"/>
            <w:vMerge w:val="continue"/>
          </w:tcPr>
          <w:p>
            <w:pPr>
              <w:spacing w:after="0"/>
              <w:rPr>
                <w:sz w:val="19"/>
                <w:szCs w:val="19"/>
                <w:color w:val="auto"/>
              </w:rPr>
            </w:pPr>
          </w:p>
        </w:tc>
        <w:tc>
          <w:tcPr>
            <w:tcW w:w="920" w:type="dxa"/>
            <w:vAlign w:val="bottom"/>
            <w:gridSpan w:val="2"/>
          </w:tcPr>
          <w:p>
            <w:pPr>
              <w:jc w:val="right"/>
              <w:ind w:right="609"/>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780" w:type="dxa"/>
            <w:vAlign w:val="bottom"/>
          </w:tcPr>
          <w:p>
            <w:pPr>
              <w:jc w:val="right"/>
              <w:ind w:right="629"/>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58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and six months ended June 30, 2016 and 2015.</w:t>
      </w:r>
    </w:p>
    <w:p>
      <w:pPr>
        <w:spacing w:after="0" w:line="22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event of a default under the Company’s Term Credit Agreements, the Amended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Fair values of marketable securities are determined using quoted prices in active markets for identical assets (Level 1 fair value measurements). 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As of June 30, 2016, the gross fair value of the foreign currency forward contracts in an asset position (which are reported in Receivables, net in the Consolidated Statement of Financial Position) was $4 million and the gross fair value of the foreign currency forward contracts in a liability position (which are reported in Other current liabilities) was $8 million. The fair value of marketable securities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sectPr>
      </w:pPr>
    </w:p>
    <w:bookmarkStart w:id="19" w:name="page20"/>
    <w:bookmarkEnd w:id="19"/>
    <w:p>
      <w:pPr>
        <w:ind w:right="220"/>
        <w:spacing w:after="0" w:line="267" w:lineRule="auto"/>
        <w:rPr>
          <w:sz w:val="20"/>
          <w:szCs w:val="20"/>
          <w:color w:val="auto"/>
        </w:rPr>
      </w:pPr>
      <w:r>
        <w:rPr>
          <w:rFonts w:ascii="Arial" w:cs="Arial" w:eastAsia="Arial" w:hAnsi="Arial"/>
          <w:sz w:val="18"/>
          <w:szCs w:val="18"/>
          <w:color w:val="auto"/>
        </w:rPr>
        <w:t>was not material as of June 30, 2016 and neither the fair value of marketable securities nor the gross fair value of the foreign currency forward contracts were material as of December 31, 2015.</w:t>
      </w:r>
    </w:p>
    <w:p>
      <w:pPr>
        <w:spacing w:after="0" w:line="180" w:lineRule="exact"/>
        <w:rPr>
          <w:sz w:val="20"/>
          <w:szCs w:val="20"/>
          <w:color w:val="auto"/>
        </w:rPr>
      </w:pPr>
    </w:p>
    <w:p>
      <w:pPr>
        <w:ind w:right="980"/>
        <w:spacing w:after="0" w:line="331"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three or six months ended June 30, 2016.</w:t>
      </w:r>
    </w:p>
    <w:p>
      <w:pPr>
        <w:spacing w:after="0" w:line="13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fair value of long-term borrowings is measured on a nonrecurring basis. Fair values of long-term borrowings (Level 2 fair value measurements) are determined by reference to quoted market prices, if available, or by pricing models based on the value of related cash flows discounted at current market interest rates. The fair values of long-term borrowings were $650 million and $586 million at June 30, 2016 and December 31, 2015,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values of cash and cash equivalents, restricted cash, and short-term borrowings and current portion of long-term debt approximate their fair values.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3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variations of such words or similar expressions as well as statements that do not relate strictly to historical or current facts, are intended to identify forward–looking statements. All forward–looking statements, including, without limitation,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uncertainties and other factors described in Kodak’s Annual Report on Form 10–K for the year ended December 31, 2015 under the headings “Business,” “Risk Factors,” “Legal Proceedings” and/or “Management’s Discussion and Analysis of Financial Condition and Results of Operations–Liquidity and Capital Resources,” in the corresponding sections of this report on Form 10-Q and in Kodak’s quarterly report on Form 10-Q for the quarter ended March 31, 2016, and in other filings Kodak makes with the U.S. Securities and Exchange Commission from time to time, as well as the following:</w:t>
      </w:r>
    </w:p>
    <w:p>
      <w:pPr>
        <w:spacing w:after="0" w:line="77" w:lineRule="exact"/>
        <w:rPr>
          <w:sz w:val="20"/>
          <w:szCs w:val="20"/>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Kodak to achieve cash forecasts, financial projections, and projected growth;</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Kodak’s ability to fund continued investments, capital needs and restructuring payments and service its debt;</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Kodak’s ability to discontinue, sell or spin-off certain businesses or operations, including the Prosper Business, or otherwise monetize assets;</w:t>
      </w:r>
    </w:p>
    <w:p>
      <w:pPr>
        <w:spacing w:after="0" w:line="136" w:lineRule="exact"/>
        <w:rPr>
          <w:rFonts w:ascii="Arial" w:cs="Arial" w:eastAsia="Arial" w:hAnsi="Arial"/>
          <w:sz w:val="16"/>
          <w:szCs w:val="16"/>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3" w:lineRule="exact"/>
        <w:rPr>
          <w:rFonts w:ascii="Arial" w:cs="Arial" w:eastAsia="Arial" w:hAnsi="Arial"/>
          <w:sz w:val="18"/>
          <w:szCs w:val="18"/>
          <w:color w:val="auto"/>
        </w:rPr>
      </w:pPr>
    </w:p>
    <w:p>
      <w:pPr>
        <w:ind w:left="1020" w:right="60" w:hanging="507"/>
        <w:spacing w:after="0" w:line="26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 including its micro 3D printing of touch sensors;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3" w:lineRule="exact"/>
        <w:rPr>
          <w:rFonts w:ascii="Arial" w:cs="Arial" w:eastAsia="Arial" w:hAnsi="Arial"/>
          <w:sz w:val="18"/>
          <w:szCs w:val="18"/>
          <w:color w:val="auto"/>
        </w:rPr>
      </w:pPr>
    </w:p>
    <w:p>
      <w:pPr>
        <w:ind w:left="1020" w:right="240" w:hanging="507"/>
        <w:spacing w:after="0" w:line="26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Credit Agreement, Kodak’s ability to obtain additional financing if and as needed and Kodak’s ability to provide or facilitate financing for its customers;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Kodak’s ability to attract and retain key executives, managers and employees;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commercializing products for the functional printing market. Kodak also offers brand licensing and intellectual property opportunities, provides products and services for motion pictures and other commercial films, and sells ink to its existing installed consumer inkjet printer base.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21" w:name="page22"/>
    <w:bookmarkEnd w:id="21"/>
    <w:p>
      <w:pPr>
        <w:ind w:right="100"/>
        <w:spacing w:after="0" w:line="267" w:lineRule="auto"/>
        <w:rPr>
          <w:sz w:val="20"/>
          <w:szCs w:val="20"/>
          <w:color w:val="auto"/>
        </w:rPr>
      </w:pPr>
      <w:r>
        <w:rPr>
          <w:rFonts w:ascii="Arial" w:cs="Arial" w:eastAsia="Arial" w:hAnsi="Arial"/>
          <w:sz w:val="18"/>
          <w:szCs w:val="18"/>
          <w:color w:val="auto"/>
        </w:rPr>
        <w:t>Revenue declined $37 million (8.5%) and $86 million (10.2%) compared to the prior year quarter and first six months, respectively. Operating cost reductions more than offset the resulting impact of the revenue decline on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Kodak’s strategy is to:</w:t>
      </w:r>
    </w:p>
    <w:p>
      <w:pPr>
        <w:spacing w:after="0" w:line="113" w:lineRule="exact"/>
        <w:rPr>
          <w:sz w:val="20"/>
          <w:szCs w:val="20"/>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Kodak’s divisional structure to drive accountability, transparency, and speed of decision making;</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Focus product investment in growth engines - Sonora, Packaging, Micro 3D Printing and Software and Services;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stable market leadership position and cash flows associated with Print Systems;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explore opportunities to monetize the asset base.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113" w:lineRule="exact"/>
        <w:rPr>
          <w:sz w:val="20"/>
          <w:szCs w:val="20"/>
          <w:color w:val="auto"/>
        </w:rPr>
      </w:pPr>
    </w:p>
    <w:p>
      <w:pPr>
        <w:ind w:left="1020" w:right="40" w:hanging="507"/>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Print Systems’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digital plate offerings are experiencing pricing pressure, innovations in Kodak product lines which command premium prices, such as SONORA Process Free Plates, are expected to offset some of the long-term price erosion in the market. Print Systems’ revenues declined $25 million (9%) and $48 million (9%) compared with the prior year quarter and first six months, respectively, with close to half of the decline due to lower pricing on plates.</w:t>
      </w:r>
    </w:p>
    <w:p>
      <w:pPr>
        <w:spacing w:after="0" w:line="88" w:lineRule="exact"/>
        <w:rPr>
          <w:rFonts w:ascii="Arial" w:cs="Arial" w:eastAsia="Arial" w:hAnsi="Arial"/>
          <w:sz w:val="18"/>
          <w:szCs w:val="18"/>
          <w:color w:val="auto"/>
        </w:rPr>
      </w:pPr>
    </w:p>
    <w:p>
      <w:pPr>
        <w:ind w:left="1020" w:right="540" w:hanging="507"/>
        <w:spacing w:after="0" w:line="25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Micro 3D Printing and Packaging, the earnings contribution from Packaging offsets the cost of developing the Micro 3D Printing business. Kodak expects that growth in Packaging, as well as the transition from investment to commercialization of product in Micro 3D Printing, will result in revenue and earnings growth in this segment.</w:t>
      </w:r>
    </w:p>
    <w:p>
      <w:pPr>
        <w:spacing w:after="0" w:line="81" w:lineRule="exact"/>
        <w:rPr>
          <w:rFonts w:ascii="Arial" w:cs="Arial" w:eastAsia="Arial" w:hAnsi="Arial"/>
          <w:sz w:val="18"/>
          <w:szCs w:val="18"/>
          <w:color w:val="auto"/>
        </w:rPr>
      </w:pPr>
    </w:p>
    <w:p>
      <w:pPr>
        <w:ind w:left="1020" w:right="60" w:hanging="507"/>
        <w:spacing w:after="0" w:line="291"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Software and Solutions segment is comprised of Kodak Technology Solutions, which includes Enterprise Services and Solutions, and Unified Workflow Solutions. Unified Workflow Solutions is an established product line, whereas Kodak Technology Solutions includes growing product lines that leverage existing technologies and intellectual property in new applications. These business initiatives generally do not require substantial additional investment, and Kodak expects that they will grow in contribution to earnings. Software and Solutions’ revenue declined $6 million (22%) and $12 million (22%) in the prior year quarter and first half, respectively, primarily due to reductions in government contracts.</w:t>
      </w:r>
    </w:p>
    <w:p>
      <w:pPr>
        <w:spacing w:after="0" w:line="58" w:lineRule="exact"/>
        <w:rPr>
          <w:rFonts w:ascii="Arial" w:cs="Arial" w:eastAsia="Arial" w:hAnsi="Arial"/>
          <w:sz w:val="16"/>
          <w:szCs w:val="16"/>
          <w:color w:val="auto"/>
        </w:rPr>
      </w:pPr>
    </w:p>
    <w:p>
      <w:pPr>
        <w:ind w:left="1020" w:hanging="507"/>
        <w:spacing w:after="0" w:line="26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Consumer and Film segment’s revenues are expected to continue to decline. Consumer and Film’s revenue declined $5 million (8%) and $21 million (15%) compared with the prior year quarter and first six months, respectively.</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Enterprise Inkjet Systems, the legacy Versamark business is expected to continue to decline.</w:t>
      </w:r>
    </w:p>
    <w:p>
      <w:pPr>
        <w:spacing w:after="0" w:line="113" w:lineRule="exact"/>
        <w:rPr>
          <w:rFonts w:ascii="Arial" w:cs="Arial" w:eastAsia="Arial" w:hAnsi="Arial"/>
          <w:sz w:val="18"/>
          <w:szCs w:val="18"/>
          <w:color w:val="auto"/>
        </w:rPr>
      </w:pPr>
    </w:p>
    <w:p>
      <w:pPr>
        <w:ind w:left="1020" w:right="200" w:hanging="507"/>
        <w:spacing w:after="0" w:line="25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and research and development (“R&amp;D”) expenses declined a combined $10 million (14%) and $26 million (19%) from the second quarter and first six months of 2015 to the second quarter and first six months of 2016, respectively, as the result of a number of actions including headcount reductions, reduced overhead costs, savings from global benefit changes, facilities consolidations and renegotiations of vendor contracts and the focusing of R&amp;D spending on materials science. Lower interest cost on pension plans also impacted operating costs.</w:t>
      </w:r>
    </w:p>
    <w:p>
      <w:pPr>
        <w:spacing w:after="0" w:line="86" w:lineRule="exact"/>
        <w:rPr>
          <w:rFonts w:ascii="Arial" w:cs="Arial" w:eastAsia="Arial" w:hAnsi="Arial"/>
          <w:sz w:val="18"/>
          <w:szCs w:val="18"/>
          <w:color w:val="auto"/>
        </w:rPr>
      </w:pPr>
    </w:p>
    <w:p>
      <w:pPr>
        <w:ind w:left="1020" w:right="640" w:hanging="507"/>
        <w:spacing w:after="0" w:line="331"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Kodak plans to continue to pursue monetization of its asset base, including selling the Prosper Business, selling and licensing intellectual property, selling and leasing excess capacity in its properties, and pursuing rights to an earn-out from a previous divestiture.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119" w:lineRule="exact"/>
        <w:rPr>
          <w:sz w:val="20"/>
          <w:szCs w:val="20"/>
          <w:color w:val="auto"/>
        </w:rPr>
      </w:pPr>
    </w:p>
    <w:p>
      <w:pPr>
        <w:ind w:right="620"/>
        <w:spacing w:after="0" w:line="267" w:lineRule="auto"/>
        <w:rPr>
          <w:sz w:val="20"/>
          <w:szCs w:val="20"/>
          <w:color w:val="auto"/>
        </w:rPr>
      </w:pPr>
      <w:r>
        <w:rPr>
          <w:rFonts w:ascii="Arial" w:cs="Arial" w:eastAsia="Arial" w:hAnsi="Arial"/>
          <w:sz w:val="18"/>
          <w:szCs w:val="18"/>
          <w:color w:val="auto"/>
        </w:rPr>
        <w:t>Kodak has seven reportable segments: Print Systems, Micro 3D Printing and Packaging, Software and Solutions, Consumer and Film, Enterprise Inkjet Systems, Intellectual Property Solutions and Eastman Business Park.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Print Systems</w:t>
      </w:r>
    </w:p>
    <w:p>
      <w:pPr>
        <w:spacing w:after="0" w:line="11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 While the businesses in this segment are experiencing pricing pressure, continued innovations in Kodak product lines that can command premium prices offset some of the long term market price erosion.</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Prepress Solutions capitalizes on a contract-based, stable and recurring cash flow-generative business model. The average duration of customer contracts is two to three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326" w:lineRule="exact"/>
        <w:rPr>
          <w:sz w:val="20"/>
          <w:szCs w:val="20"/>
          <w:color w:val="auto"/>
        </w:rPr>
      </w:pPr>
    </w:p>
    <w:p>
      <w:pPr>
        <w:ind w:left="520" w:hanging="513"/>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Prepress Solutions:</w:t>
      </w:r>
    </w:p>
    <w:p>
      <w:pPr>
        <w:spacing w:after="0" w:line="113" w:lineRule="exact"/>
        <w:rPr>
          <w:rFonts w:ascii="Arial" w:cs="Arial" w:eastAsia="Arial" w:hAnsi="Arial"/>
          <w:sz w:val="18"/>
          <w:szCs w:val="18"/>
          <w:color w:val="auto"/>
        </w:rPr>
      </w:pPr>
    </w:p>
    <w:p>
      <w:pPr>
        <w:ind w:left="1020" w:right="160" w:hanging="507"/>
        <w:spacing w:after="0" w:line="279" w:lineRule="auto"/>
        <w:tabs>
          <w:tab w:leader="none" w:pos="10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Digital offset plates includes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65" w:lineRule="exact"/>
        <w:rPr>
          <w:rFonts w:ascii="Arial" w:cs="Arial" w:eastAsia="Arial" w:hAnsi="Arial"/>
          <w:sz w:val="17"/>
          <w:szCs w:val="17"/>
          <w:color w:val="auto"/>
        </w:rPr>
      </w:pPr>
    </w:p>
    <w:p>
      <w:pPr>
        <w:jc w:val="both"/>
        <w:ind w:left="1020" w:right="220" w:hanging="507"/>
        <w:spacing w:after="0" w:line="254"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CTP output devices that are used by customers to transfer images onto aluminum offset printing plates and provide consistent and high 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297" w:lineRule="exact"/>
        <w:rPr>
          <w:rFonts w:ascii="Arial" w:cs="Arial" w:eastAsia="Arial" w:hAnsi="Arial"/>
          <w:sz w:val="18"/>
          <w:szCs w:val="18"/>
          <w:color w:val="auto"/>
        </w:rPr>
      </w:pPr>
    </w:p>
    <w:p>
      <w:pPr>
        <w:ind w:left="520" w:hanging="513"/>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Electrophotographic Printing Solutions:</w:t>
      </w:r>
    </w:p>
    <w:p>
      <w:pPr>
        <w:spacing w:after="0" w:line="113" w:lineRule="exact"/>
        <w:rPr>
          <w:rFonts w:ascii="Arial" w:cs="Arial" w:eastAsia="Arial" w:hAnsi="Arial"/>
          <w:sz w:val="18"/>
          <w:szCs w:val="18"/>
          <w:color w:val="auto"/>
        </w:rPr>
      </w:pPr>
    </w:p>
    <w:p>
      <w:pPr>
        <w:ind w:left="1020" w:right="580" w:hanging="507"/>
        <w:spacing w:after="0" w:line="267"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72" w:lineRule="exact"/>
        <w:rPr>
          <w:rFonts w:ascii="Arial" w:cs="Arial" w:eastAsia="Arial" w:hAnsi="Arial"/>
          <w:sz w:val="18"/>
          <w:szCs w:val="18"/>
          <w:color w:val="auto"/>
        </w:rPr>
      </w:pPr>
    </w:p>
    <w:p>
      <w:pPr>
        <w:ind w:left="1020" w:right="720" w:hanging="507"/>
        <w:spacing w:after="0" w:line="267"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55"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Micro 3D Printing and Packaging</w:t>
      </w:r>
    </w:p>
    <w:p>
      <w:pPr>
        <w:spacing w:after="0" w:line="11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Micro 3D Printing and Packaging segment includes flexographic printing equipment and plates and related consumables and services, as well as printed functional materials and components. Micro 3D Printing is a new line of business that seeks to provide innovative printing techniques to customers for both premium marketing applications and manufacturing applications. Because Micro 3D Printing is a new line of business, the Micro 3D Printing and Packaging segment currently requires a higher degree of investment and has a lower contribution to earnings than other segments. Micro 3D Printing and Packaging products are sold directly by Kodak and indirectly through dealers.</w:t>
      </w:r>
    </w:p>
    <w:p>
      <w:pPr>
        <w:spacing w:after="0" w:line="300" w:lineRule="exact"/>
        <w:rPr>
          <w:sz w:val="20"/>
          <w:szCs w:val="20"/>
          <w:color w:val="auto"/>
        </w:rPr>
      </w:pPr>
    </w:p>
    <w:p>
      <w:pPr>
        <w:ind w:left="520" w:hanging="513"/>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Micro 3D Printing</w:t>
      </w:r>
    </w:p>
    <w:p>
      <w:pPr>
        <w:spacing w:after="0" w:line="113" w:lineRule="exact"/>
        <w:rPr>
          <w:rFonts w:ascii="Arial" w:cs="Arial" w:eastAsia="Arial" w:hAnsi="Arial"/>
          <w:sz w:val="18"/>
          <w:szCs w:val="18"/>
          <w:color w:val="auto"/>
        </w:rPr>
      </w:pPr>
    </w:p>
    <w:p>
      <w:pPr>
        <w:ind w:left="1020" w:right="60" w:hanging="507"/>
        <w:spacing w:after="0" w:line="254"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Micro 3D Printing products offer many advantages over traditionally manufactured products, including lower cost points and reduced adverse environmental impact. Traditionally manufactured products require higher material costs, additional manufacturing steps, and, for the most widely used technology, the mining of a rare metal. Kodak is working with lead customers in large format and industrial markets to achieve market introduction in 2016.</w:t>
      </w:r>
    </w:p>
    <w:p>
      <w:pPr>
        <w:spacing w:after="0" w:line="297" w:lineRule="exact"/>
        <w:rPr>
          <w:rFonts w:ascii="Arial" w:cs="Arial" w:eastAsia="Arial" w:hAnsi="Arial"/>
          <w:sz w:val="18"/>
          <w:szCs w:val="18"/>
          <w:color w:val="auto"/>
        </w:rPr>
      </w:pPr>
    </w:p>
    <w:p>
      <w:pPr>
        <w:ind w:left="520" w:hanging="513"/>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Packaging</w:t>
      </w:r>
    </w:p>
    <w:p>
      <w:pPr>
        <w:spacing w:after="0" w:line="113" w:lineRule="exact"/>
        <w:rPr>
          <w:rFonts w:ascii="Arial" w:cs="Arial" w:eastAsia="Arial" w:hAnsi="Arial"/>
          <w:sz w:val="18"/>
          <w:szCs w:val="18"/>
          <w:color w:val="auto"/>
        </w:rPr>
      </w:pPr>
    </w:p>
    <w:p>
      <w:pPr>
        <w:jc w:val="both"/>
        <w:ind w:left="1020" w:right="160" w:hanging="507"/>
        <w:spacing w:after="0" w:line="257"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Packaging business consists of flexographic printing equipment and related consumables and services, which enable graphic customization of a wide variety of packaging materials. The FLEXCEL NX system provides imaging devices to deliver high productivity and consistency, as well as a full tonal range for flexographic printing.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Solutions</w:t>
      </w:r>
    </w:p>
    <w:p>
      <w:pPr>
        <w:spacing w:after="0" w:line="1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Software and Solutions segment is comprised of Kodak Technology Solutions, which includes Enterprise Services and Solutions, and Unified Workflow Solutions. Unified Workflow Solutions is an established product line whereas Kodak Technology Solutions includes growing product lines that leverage existing Kodak technologies and intellectual property in new applications. These business initiatives generally do not require substantial additional investment and it is expected that they will grow in contribution to earnings.</w:t>
      </w:r>
    </w:p>
    <w:p>
      <w:pPr>
        <w:spacing w:after="0" w:line="19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Software and Solutions segment offers a leading suite of solutions for print production workflow, including the PRINERGY workflow production software, by providing customer value through automation, web integration and integration with other Kodak systems and third-party offerings. Kodak believes it is a leader in production workflow solutions for the commercial print and packaging industries with over 13,000 systems installed in some of the largest printing and packaging establishments around the world. Production workflow software is used by customers to manage digital and conventional print content from file creation to output. Production workflow software manages content and color, reduces manual errors and helps customers manage the collaborative creative process.</w:t>
      </w:r>
    </w:p>
    <w:p>
      <w:pPr>
        <w:spacing w:after="0" w:line="195"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The Software and Solutions segment also assists organizations with challenges and opportunities created by the worldwide digital transformation. It provides print and managed media services that assist customers with solutions for their printing requirements and document management services, including expertise in the capture, archiving, retrieval and delivery of documents. Software and Solutions serves enterprise customers in numerous sectors, including governments, pharmaceuticals and life sciences, consumer and luxury product goods and retail and financial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and Film</w:t>
      </w:r>
    </w:p>
    <w:p>
      <w:pPr>
        <w:spacing w:after="0" w:line="119"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The Consumer and Film segment is comprised of three lines of business: Motion Picture, Industrial Chemicals and Films; Consumer Inkjet Solutions; and Consumer Products.</w:t>
      </w:r>
    </w:p>
    <w:p>
      <w:pPr>
        <w:spacing w:after="0" w:line="286" w:lineRule="exact"/>
        <w:rPr>
          <w:sz w:val="20"/>
          <w:szCs w:val="20"/>
          <w:color w:val="auto"/>
        </w:rPr>
      </w:pPr>
    </w:p>
    <w:p>
      <w:pPr>
        <w:ind w:left="520" w:hanging="513"/>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Motion Picture, Industrial Chemicals and Films:</w:t>
      </w:r>
    </w:p>
    <w:p>
      <w:pPr>
        <w:spacing w:after="0" w:line="113" w:lineRule="exact"/>
        <w:rPr>
          <w:rFonts w:ascii="Arial" w:cs="Arial" w:eastAsia="Arial" w:hAnsi="Arial"/>
          <w:sz w:val="18"/>
          <w:szCs w:val="18"/>
          <w:color w:val="auto"/>
        </w:rPr>
      </w:pPr>
    </w:p>
    <w:p>
      <w:pPr>
        <w:ind w:left="1020" w:right="540" w:hanging="507"/>
        <w:spacing w:after="0" w:line="26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and advertising industries. Motion picture products are sold directly to studios, laboratories and independent filmmakers.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Offers industrial films, including films used by the electronics industry to produce printed circuit boards.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business also includes related component businesses: Polyester Film; Solvent Recovery; and Specialty Chemicals, Inks and Dispersions.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24" w:name="page25"/>
    <w:bookmarkEnd w:id="24"/>
    <w:p>
      <w:pPr>
        <w:ind w:left="520" w:hanging="513"/>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Consumer Inkjet Solutions: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Involves the sale of ink to an existing installed base of consumer inkjet printers</w:t>
      </w:r>
    </w:p>
    <w:p>
      <w:pPr>
        <w:spacing w:after="0" w:line="326" w:lineRule="exact"/>
        <w:rPr>
          <w:rFonts w:ascii="Arial" w:cs="Arial" w:eastAsia="Arial" w:hAnsi="Arial"/>
          <w:sz w:val="18"/>
          <w:szCs w:val="18"/>
          <w:color w:val="auto"/>
        </w:rPr>
      </w:pPr>
    </w:p>
    <w:p>
      <w:pPr>
        <w:ind w:left="520" w:hanging="513"/>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Consumer Products:</w:t>
      </w:r>
    </w:p>
    <w:p>
      <w:pPr>
        <w:spacing w:after="0" w:line="113" w:lineRule="exact"/>
        <w:rPr>
          <w:rFonts w:ascii="Arial" w:cs="Arial" w:eastAsia="Arial" w:hAnsi="Arial"/>
          <w:sz w:val="18"/>
          <w:szCs w:val="18"/>
          <w:color w:val="auto"/>
        </w:rPr>
      </w:pPr>
    </w:p>
    <w:p>
      <w:pPr>
        <w:ind w:left="1020" w:right="180" w:hanging="507"/>
        <w:spacing w:after="0" w:line="279" w:lineRule="auto"/>
        <w:tabs>
          <w:tab w:leader="none" w:pos="10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Includes licensing of Kodak brands to third parties and consumer products. Kodak currently licenses its brand for use with a range of consumer products including batteries, cameras and camera accessories and recordable media. Kodak intends to continue efforts to grow its portfolio of consumer product licenses in order to generate both ongoing royalty streams and upfront payments.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119"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The Enterprise Inkjet Systems segment contains a large base of customers which use KODAK VERSAMARK printing systems, comprising inkjet printing heads, inks, head refurbishment services as well as on-site maintenance service from Kodak.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Solutions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Intellectual Property Solutions segment contains the research laboratories and includes licensing as well as new business development activities related to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Kodak’s patents and proprietary technology. Through this segment Kodak conducts research and files patent applications with fundamental inventions from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Kodak Research Laboratories. Additionally, Kodak continues to file significant numbers of new patent applications in areas aligned with its core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businesses. Via these core business patent applications along with the research inventions, Kodak maintains a large worldwide portfolio of pending applications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and issued patents. Kodak actively seeks opportunities to leverage its patents and associated technology in licensing and/or cross-licensing deals to support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both revenue growth and its ongoing businesses. While revenues from these licensing activities tend to be unpredictable in nature, this segment still carries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potential for material revenue generation. The Intellectual Property Solutions segment also actively pursues additional revenues via new business development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through commercialization partnerships and grants or external investment in commercialization of new technologies and products. A recent example of 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technology and commercialization partnership is the joint development agreement between Carbon 3D, a 3D printing company, and Kodak which will utilize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materials science capability of the Kodak Research Laboratories.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119"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Eastman Business Park segment includes the operations of the Eastman Business Park, a more than 1,200 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Continuing Operations by Reportable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14"/>
                <w:szCs w:val="14"/>
                <w:color w:val="auto"/>
              </w:rPr>
            </w:pPr>
          </w:p>
        </w:tc>
        <w:tc>
          <w:tcPr>
            <w:tcW w:w="196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3"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2340" w:type="dxa"/>
            <w:vAlign w:val="bottom"/>
            <w:gridSpan w:val="2"/>
            <w:shd w:val="clear" w:color="auto" w:fill="CFF0FC"/>
          </w:tcPr>
          <w:p>
            <w:pPr>
              <w:jc w:val="right"/>
              <w:ind w:right="54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258</w:t>
            </w:r>
          </w:p>
        </w:tc>
        <w:tc>
          <w:tcPr>
            <w:tcW w:w="920" w:type="dxa"/>
            <w:vAlign w:val="bottom"/>
            <w:gridSpan w:val="2"/>
            <w:shd w:val="clear" w:color="auto" w:fill="CFF0FC"/>
          </w:tcPr>
          <w:p>
            <w:pPr>
              <w:jc w:val="right"/>
              <w:ind w:right="54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gridSpan w:val="2"/>
          </w:tcPr>
          <w:p>
            <w:pPr>
              <w:ind w:left="580"/>
              <w:spacing w:after="0"/>
              <w:rPr>
                <w:sz w:val="20"/>
                <w:szCs w:val="20"/>
                <w:color w:val="auto"/>
              </w:rPr>
            </w:pPr>
            <w:r>
              <w:rPr>
                <w:rFonts w:ascii="Arial" w:cs="Arial" w:eastAsia="Arial" w:hAnsi="Arial"/>
                <w:sz w:val="18"/>
                <w:szCs w:val="18"/>
                <w:color w:val="auto"/>
              </w:rPr>
              <w:t>Micro 3D Printing and Packaging</w:t>
            </w: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Software and Solutions</w:t>
            </w:r>
          </w:p>
        </w:tc>
        <w:tc>
          <w:tcPr>
            <w:tcW w:w="16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gridSpan w:val="2"/>
          </w:tcPr>
          <w:p>
            <w:pPr>
              <w:ind w:left="580"/>
              <w:spacing w:after="0"/>
              <w:rPr>
                <w:sz w:val="20"/>
                <w:szCs w:val="20"/>
                <w:color w:val="auto"/>
              </w:rPr>
            </w:pPr>
            <w:r>
              <w:rPr>
                <w:rFonts w:ascii="Arial" w:cs="Arial" w:eastAsia="Arial" w:hAnsi="Arial"/>
                <w:sz w:val="18"/>
                <w:szCs w:val="18"/>
                <w:color w:val="auto"/>
              </w:rPr>
              <w:t>Consumer and Film</w:t>
            </w: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Enterprise Inkjet Systems</w:t>
            </w:r>
          </w:p>
        </w:tc>
        <w:tc>
          <w:tcPr>
            <w:tcW w:w="16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gridSpan w:val="2"/>
          </w:tcPr>
          <w:p>
            <w:pPr>
              <w:ind w:left="580"/>
              <w:spacing w:after="0"/>
              <w:rPr>
                <w:sz w:val="20"/>
                <w:szCs w:val="20"/>
                <w:color w:val="auto"/>
              </w:rPr>
            </w:pPr>
            <w:r>
              <w:rPr>
                <w:rFonts w:ascii="Arial" w:cs="Arial" w:eastAsia="Arial" w:hAnsi="Arial"/>
                <w:sz w:val="18"/>
                <w:szCs w:val="18"/>
                <w:color w:val="auto"/>
              </w:rPr>
              <w:t>Intellectual Property Solutions</w:t>
            </w: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6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2340" w:type="dxa"/>
            <w:vAlign w:val="bottom"/>
            <w:gridSpan w:val="2"/>
          </w:tcPr>
          <w:p>
            <w:pPr>
              <w:jc w:val="right"/>
              <w:ind w:right="54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397</w:t>
            </w:r>
          </w:p>
        </w:tc>
        <w:tc>
          <w:tcPr>
            <w:tcW w:w="920" w:type="dxa"/>
            <w:vAlign w:val="bottom"/>
            <w:gridSpan w:val="2"/>
          </w:tcPr>
          <w:p>
            <w:pPr>
              <w:jc w:val="right"/>
              <w:ind w:right="54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434</w:t>
            </w:r>
          </w:p>
        </w:tc>
        <w:tc>
          <w:tcPr>
            <w:tcW w:w="2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Segment Operational EBITDA and Consolidated Earnings (Loss) from Continuing Operations Before Income Taxes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980" w:type="dxa"/>
            <w:vAlign w:val="bottom"/>
            <w:gridSpan w:val="5"/>
          </w:tcPr>
          <w:p>
            <w:pPr>
              <w:jc w:val="right"/>
              <w:ind w:right="12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5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3"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90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Micro 3D Printing and Packaging</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Software and Solutions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Consumer and Film</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Enterprise Inkjet Systems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Intellectual Property Solutions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40"/>
              <w:spacing w:after="0"/>
              <w:rPr>
                <w:sz w:val="20"/>
                <w:szCs w:val="20"/>
                <w:color w:val="auto"/>
              </w:rPr>
            </w:pPr>
            <w:r>
              <w:rPr>
                <w:rFonts w:ascii="Arial" w:cs="Arial" w:eastAsia="Arial" w:hAnsi="Arial"/>
                <w:sz w:val="18"/>
                <w:szCs w:val="18"/>
                <w:color w:val="auto"/>
              </w:rPr>
              <w:t>Total of reportable segments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 xml:space="preserve">Corporate components of pension and OPEB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Overhead supporting, but not directly absorbed by</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(4)</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(5)</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w w:val="93"/>
              </w:rPr>
              <w:t>Manufacturing costs originally planned to be absorbed by silver metal</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mesh touch screen production </w:t>
            </w:r>
            <w:r>
              <w:rPr>
                <w:rFonts w:ascii="Arial" w:cs="Arial" w:eastAsia="Arial" w:hAnsi="Arial"/>
                <w:sz w:val="15"/>
                <w:szCs w:val="15"/>
                <w:color w:val="auto"/>
              </w:rPr>
              <w:t>(6)</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15"/>
                <w:szCs w:val="15"/>
                <w:color w:val="auto"/>
              </w:rPr>
              <w:t>(7)</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(7)</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 xml:space="preserve">Other charges, net </w:t>
            </w:r>
            <w:r>
              <w:rPr>
                <w:rFonts w:ascii="Arial" w:cs="Arial" w:eastAsia="Arial" w:hAnsi="Arial"/>
                <w:sz w:val="15"/>
                <w:szCs w:val="15"/>
                <w:color w:val="auto"/>
              </w:rPr>
              <w:t>(7)</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15"/>
                <w:szCs w:val="15"/>
                <w:color w:val="auto"/>
              </w:rPr>
              <w:t>(7)</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rPr>
              <w:t>Consolidated loss from continuing operations before income</w:t>
            </w: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140"/>
              <w:spacing w:after="0"/>
              <w:rPr>
                <w:sz w:val="20"/>
                <w:szCs w:val="20"/>
                <w:color w:val="auto"/>
              </w:rPr>
            </w:pPr>
            <w:r>
              <w:rPr>
                <w:rFonts w:ascii="Arial" w:cs="Arial" w:eastAsia="Arial" w:hAnsi="Arial"/>
                <w:sz w:val="18"/>
                <w:szCs w:val="18"/>
                <w:color w:val="auto"/>
              </w:rPr>
              <w:t>taxes</w:t>
            </w:r>
          </w:p>
        </w:tc>
        <w:tc>
          <w:tcPr>
            <w:tcW w:w="90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80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480" w:hanging="473"/>
        <w:spacing w:after="0"/>
        <w:tabs>
          <w:tab w:leader="none" w:pos="480" w:val="left"/>
        </w:tabs>
        <w:numPr>
          <w:ilvl w:val="0"/>
          <w:numId w:val="16"/>
        </w:numPr>
        <w:rPr>
          <w:rFonts w:ascii="Arial" w:cs="Arial" w:eastAsia="Arial" w:hAnsi="Arial"/>
          <w:sz w:val="15"/>
          <w:szCs w:val="15"/>
          <w:color w:val="auto"/>
        </w:rPr>
      </w:pPr>
      <w:r>
        <w:rPr>
          <w:rFonts w:ascii="Arial" w:cs="Arial" w:eastAsia="Arial" w:hAnsi="Arial"/>
          <w:sz w:val="18"/>
          <w:szCs w:val="18"/>
          <w:color w:val="auto"/>
        </w:rPr>
        <w:t>Earnings of the RED utilities variable interest entity.</w:t>
      </w:r>
    </w:p>
    <w:p>
      <w:pPr>
        <w:spacing w:after="0" w:line="286" w:lineRule="exact"/>
        <w:rPr>
          <w:rFonts w:ascii="Arial" w:cs="Arial" w:eastAsia="Arial" w:hAnsi="Arial"/>
          <w:sz w:val="15"/>
          <w:szCs w:val="15"/>
          <w:color w:val="auto"/>
        </w:rPr>
      </w:pPr>
    </w:p>
    <w:p>
      <w:pPr>
        <w:ind w:left="520" w:right="320" w:hanging="513"/>
        <w:spacing w:after="0" w:line="267" w:lineRule="auto"/>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Composed of interest cost, expected return on plan assets, amortization of actuarial gains and losses, and curtailments and settlement components of pension and other postretirement benefit expenses.</w:t>
      </w:r>
    </w:p>
    <w:p>
      <w:pPr>
        <w:spacing w:after="0" w:line="72" w:lineRule="exact"/>
        <w:rPr>
          <w:rFonts w:ascii="Arial" w:cs="Arial" w:eastAsia="Arial" w:hAnsi="Arial"/>
          <w:sz w:val="15"/>
          <w:szCs w:val="15"/>
          <w:color w:val="auto"/>
        </w:rPr>
      </w:pPr>
    </w:p>
    <w:p>
      <w:pPr>
        <w:ind w:left="520" w:right="20" w:hanging="513"/>
        <w:spacing w:after="0" w:line="304"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6"/>
          <w:szCs w:val="16"/>
          <w:color w:val="auto"/>
        </w:rPr>
        <w:t>Primarily consists of costs for shared resources allocated to the Prosper Enterprise Inkjet business discontinued operation in the prior year periods which are now included in the results of continuing operations and an estimate of costs for shared resources which would have been allocated to the Prosper Enterprise Inkjet business discontinued operation in the current year period had the business remained in continuing operations.</w:t>
      </w:r>
    </w:p>
    <w:p>
      <w:pPr>
        <w:spacing w:after="0" w:line="47" w:lineRule="exact"/>
        <w:rPr>
          <w:rFonts w:ascii="Arial" w:cs="Arial" w:eastAsia="Arial" w:hAnsi="Arial"/>
          <w:sz w:val="13"/>
          <w:szCs w:val="13"/>
          <w:color w:val="auto"/>
        </w:rPr>
      </w:pPr>
    </w:p>
    <w:p>
      <w:pPr>
        <w:ind w:left="520" w:hanging="513"/>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other costs associated with certain corporate strategic initiatives.</w:t>
      </w:r>
    </w:p>
    <w:p>
      <w:pPr>
        <w:spacing w:after="0" w:line="113" w:lineRule="exact"/>
        <w:rPr>
          <w:rFonts w:ascii="Arial" w:cs="Arial" w:eastAsia="Arial" w:hAnsi="Arial"/>
          <w:sz w:val="15"/>
          <w:szCs w:val="15"/>
          <w:color w:val="auto"/>
        </w:rPr>
      </w:pPr>
    </w:p>
    <w:p>
      <w:pPr>
        <w:ind w:left="520" w:right="440" w:hanging="513"/>
        <w:spacing w:after="0" w:line="267" w:lineRule="auto"/>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72" w:lineRule="exact"/>
        <w:rPr>
          <w:rFonts w:ascii="Arial" w:cs="Arial" w:eastAsia="Arial" w:hAnsi="Arial"/>
          <w:sz w:val="15"/>
          <w:szCs w:val="15"/>
          <w:color w:val="auto"/>
        </w:rPr>
      </w:pPr>
    </w:p>
    <w:p>
      <w:pPr>
        <w:ind w:left="520" w:hanging="513"/>
        <w:spacing w:after="0" w:line="267" w:lineRule="auto"/>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Consists of manufacturing costs originally planned to be absorbed by silver metal mesh touch screen production that are now excluded from the measure of segment profit and loss.</w:t>
      </w:r>
    </w:p>
    <w:p>
      <w:pPr>
        <w:spacing w:after="0" w:line="72" w:lineRule="exact"/>
        <w:rPr>
          <w:rFonts w:ascii="Arial" w:cs="Arial" w:eastAsia="Arial" w:hAnsi="Arial"/>
          <w:sz w:val="15"/>
          <w:szCs w:val="15"/>
          <w:color w:val="auto"/>
        </w:rPr>
      </w:pPr>
    </w:p>
    <w:p>
      <w:pPr>
        <w:ind w:left="480" w:hanging="473"/>
        <w:spacing w:after="0"/>
        <w:tabs>
          <w:tab w:leader="none" w:pos="480" w:val="left"/>
        </w:tabs>
        <w:numPr>
          <w:ilvl w:val="0"/>
          <w:numId w:val="16"/>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1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above table, Operational EBITDA represents the income (loss) from continuing operations excluding the provision (benefit) for income taxes; corporate components of pension and OPEB income; depreciation and amortization expense; restructuring costs; overhead costs no longer absorbed by discontinued operations; stock-based compensation expense; consulting and other costs; idle costs; manufacturing costs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788" w:right="279" w:bottom="1440" w:gutter="0" w:footer="0" w:header="0"/>
        </w:sectPr>
      </w:pPr>
    </w:p>
    <w:bookmarkStart w:id="26" w:name="page27"/>
    <w:bookmarkEnd w:id="26"/>
    <w:p>
      <w:pPr>
        <w:ind w:right="320"/>
        <w:spacing w:after="0" w:line="267" w:lineRule="auto"/>
        <w:rPr>
          <w:sz w:val="20"/>
          <w:szCs w:val="20"/>
          <w:color w:val="auto"/>
        </w:rPr>
      </w:pPr>
      <w:r>
        <w:rPr>
          <w:rFonts w:ascii="Arial" w:cs="Arial" w:eastAsia="Arial" w:hAnsi="Arial"/>
          <w:sz w:val="18"/>
          <w:szCs w:val="18"/>
          <w:color w:val="auto"/>
        </w:rPr>
        <w:t>originally planned to be absorbed by silver metal mesh touch screen production; other operating (income) expense, net (unless otherwise indicated); interest expense; other charges, net and reorganization items, net.</w:t>
      </w:r>
    </w:p>
    <w:p>
      <w:pPr>
        <w:spacing w:after="0" w:line="180" w:lineRule="exact"/>
        <w:rPr>
          <w:sz w:val="20"/>
          <w:szCs w:val="20"/>
          <w:color w:val="auto"/>
        </w:rPr>
      </w:pPr>
    </w:p>
    <w:p>
      <w:pPr>
        <w:jc w:val="both"/>
        <w:ind w:right="740"/>
        <w:spacing w:after="0" w:line="304"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 and Loss</w:t>
      </w:r>
    </w:p>
    <w:p>
      <w:pPr>
        <w:spacing w:after="0" w:line="1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first quarter of 2016, Kodak changed its segment measure of profit and loss. The segment measure excludes overhead costs no longer absorbed by discontinued operations (see description above). In addition, manufacturing costs originally planned to be absorbed by silver metal mesh touch screen production are now excluded from the segment measure of profit and loss.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WITH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YEAR TO DATE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w w:val="94"/>
              </w:rPr>
              <w:t>Three Months Ended June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1"/>
              </w:rPr>
              <w:t>Six Months Ended June 30,</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1"/>
                <w:szCs w:val="11"/>
                <w:color w:val="auto"/>
              </w:rPr>
            </w:pPr>
          </w:p>
        </w:tc>
        <w:tc>
          <w:tcPr>
            <w:tcW w:w="800" w:type="dxa"/>
            <w:vAlign w:val="bottom"/>
            <w:gridSpan w:val="2"/>
          </w:tcPr>
          <w:p>
            <w:pPr>
              <w:jc w:val="right"/>
              <w:ind w:right="380"/>
              <w:spacing w:after="0" w:line="131"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4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ind w:left="60"/>
              <w:spacing w:after="0" w:line="131"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right"/>
              <w:ind w:right="520"/>
              <w:spacing w:after="0" w:line="131" w:lineRule="exact"/>
              <w:rPr>
                <w:sz w:val="20"/>
                <w:szCs w:val="20"/>
                <w:color w:val="auto"/>
              </w:rPr>
            </w:pPr>
            <w:r>
              <w:rPr>
                <w:rFonts w:ascii="Arial" w:cs="Arial" w:eastAsia="Arial" w:hAnsi="Arial"/>
                <w:sz w:val="14"/>
                <w:szCs w:val="14"/>
                <w:b w:val="1"/>
                <w:bCs w:val="1"/>
                <w:color w:val="auto"/>
              </w:rPr>
              <w:t>% of</w:t>
            </w:r>
          </w:p>
        </w:tc>
        <w:tc>
          <w:tcPr>
            <w:tcW w:w="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1"/>
                <w:szCs w:val="11"/>
                <w:color w:val="auto"/>
              </w:rPr>
            </w:pPr>
          </w:p>
        </w:tc>
        <w:tc>
          <w:tcPr>
            <w:tcW w:w="640" w:type="dxa"/>
            <w:vAlign w:val="bottom"/>
          </w:tcPr>
          <w:p>
            <w:pPr>
              <w:ind w:left="160"/>
              <w:spacing w:after="0" w:line="131"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Sales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Sales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Sales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Sales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6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6"/>
        </w:trPr>
        <w:tc>
          <w:tcPr>
            <w:tcW w:w="338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1"/>
        </w:trPr>
        <w:tc>
          <w:tcPr>
            <w:tcW w:w="3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33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380" w:type="dxa"/>
            <w:vAlign w:val="bottom"/>
          </w:tcPr>
          <w:p>
            <w:pPr>
              <w:spacing w:after="0"/>
              <w:rPr>
                <w:sz w:val="20"/>
                <w:szCs w:val="20"/>
                <w:color w:val="auto"/>
              </w:rPr>
            </w:pPr>
            <w:r>
              <w:rPr>
                <w:rFonts w:ascii="Arial" w:cs="Arial" w:eastAsia="Arial" w:hAnsi="Arial"/>
                <w:sz w:val="18"/>
                <w:szCs w:val="18"/>
                <w:color w:val="auto"/>
              </w:rPr>
              <w:t>Income from continuing operations before</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8"/>
                <w:szCs w:val="18"/>
                <w:color w:val="auto"/>
              </w:rPr>
              <w:t>interest expense, other charges, net,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Arial" w:cs="Arial" w:eastAsia="Arial" w:hAnsi="Arial"/>
                <w:sz w:val="18"/>
                <w:szCs w:val="18"/>
                <w:color w:val="auto"/>
                <w:w w:val="97"/>
              </w:rPr>
              <w:t>reorganization items, net and income taxes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80" w:type="dxa"/>
            <w:vAlign w:val="bottom"/>
          </w:tcPr>
          <w:p>
            <w:pPr>
              <w:spacing w:after="0"/>
              <w:rPr>
                <w:sz w:val="20"/>
                <w:szCs w:val="20"/>
                <w:color w:val="auto"/>
              </w:rPr>
            </w:pPr>
            <w:r>
              <w:rPr>
                <w:rFonts w:ascii="Arial" w:cs="Arial" w:eastAsia="Arial" w:hAnsi="Arial"/>
                <w:sz w:val="18"/>
                <w:szCs w:val="18"/>
                <w:color w:val="auto"/>
              </w:rPr>
              <w:t>Other charges, net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Reorganization items, net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33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Arial" w:cs="Arial" w:eastAsia="Arial" w:hAnsi="Arial"/>
                <w:sz w:val="18"/>
                <w:szCs w:val="18"/>
                <w:color w:val="auto"/>
              </w:rPr>
              <w:t>before income taxes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attributable to</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3380" w:type="dxa"/>
            <w:vAlign w:val="bottom"/>
          </w:tcPr>
          <w:p>
            <w:pPr>
              <w:spacing w:after="0"/>
              <w:rPr>
                <w:sz w:val="20"/>
                <w:szCs w:val="20"/>
                <w:color w:val="auto"/>
              </w:rPr>
            </w:pPr>
            <w:r>
              <w:rPr>
                <w:rFonts w:ascii="Arial" w:cs="Arial" w:eastAsia="Arial" w:hAnsi="Arial"/>
                <w:sz w:val="18"/>
                <w:szCs w:val="18"/>
                <w:color w:val="auto"/>
              </w:rPr>
              <w:t>NET INCOME (LOSS) ATTRIBUTABLE</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Arial" w:cs="Arial" w:eastAsia="Arial" w:hAnsi="Arial"/>
                <w:sz w:val="18"/>
                <w:szCs w:val="18"/>
                <w:color w:val="auto"/>
              </w:rPr>
              <w:t>TO EASTMAN KODAK COMPANY</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 $</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the three months ended June 30, 2016, revenues decreased approximately $37 million compared with the same period in 2015. The decline was primarily driven by pricing and volume declines within Print Systems ($14 million and $13 million, respectively). Also contributing to the decrease were volume declines in Consumer and Film ($7 million) and Software and Solutions ($6 million). See segment discussions for additional details.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six months ended June 30, 2016, revenues decreased approximately $86 million compared with the same period in 2015. The decline was primarily driven by volume declines within Consumer and Film ($26 million), Print Systems ($21 million) and Software and Solutions ($11 million). Also contributing to the decrease were pricing declines within Print Systems ($25 million) and unfavorable foreign currency ($7 million). See segment discussions for additional details.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Gross profit for the three months ended June 30, 2016 increased by approximately $16 million compared with the same period in 2015 as cost improvements within Print Systems ($19 million), and lower costs within Consumer and Film ($4 million) driven by lower depreciation, more than offset pricing declines within Print Systems ($14 million). Also contributing to the increase was a favorable impact from pension income ($3 million). See segment discussions for additional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2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increase in gross profit for the six months ended June 30, 2016 of approximately $19 million reflected lower depreciation expense ($19 million) driven by Consumer and Film ($9 million) and lower accelerated depreciation from restructuring ($5 million). Cost improvements within Print Systems ($29 million, excluding the impact of lower depreciation) and favorable impacts from pension income ($7 million) were offset by pricing declines within Print Systems ($25 million), unfavorable manufacturing costs in Consumer and Film ($6 million, excluding the impact of lower depreciation), and unfavorable foreign currency ($5 million). See segment discussions for additional details.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19" w:lineRule="exact"/>
        <w:rPr>
          <w:sz w:val="20"/>
          <w:szCs w:val="20"/>
          <w:color w:val="auto"/>
        </w:rPr>
      </w:pPr>
    </w:p>
    <w:p>
      <w:pPr>
        <w:ind w:right="420"/>
        <w:spacing w:after="0" w:line="297" w:lineRule="auto"/>
        <w:rPr>
          <w:sz w:val="20"/>
          <w:szCs w:val="20"/>
          <w:color w:val="auto"/>
        </w:rPr>
      </w:pPr>
      <w:r>
        <w:rPr>
          <w:rFonts w:ascii="Arial" w:cs="Arial" w:eastAsia="Arial" w:hAnsi="Arial"/>
          <w:sz w:val="17"/>
          <w:szCs w:val="17"/>
          <w:color w:val="auto"/>
        </w:rPr>
        <w:t>Consolidated SG&amp;A decreased $8 million and $20 million for the three and six months ended June 30, 2016, respectively, as compared with the prior year period primarily due to cost reduction actions and favorable impacts from pension income ($3 million and $7 million, respectively).</w:t>
      </w:r>
    </w:p>
    <w:p>
      <w:pPr>
        <w:spacing w:after="0" w:line="156"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Included in both the three and six months ended June 30, 2016 was $4 million related to participation in drupa 2016, a print industry trade show which occurs every four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19" w:lineRule="exact"/>
        <w:rPr>
          <w:sz w:val="20"/>
          <w:szCs w:val="20"/>
          <w:color w:val="auto"/>
        </w:rPr>
      </w:pPr>
    </w:p>
    <w:p>
      <w:pPr>
        <w:ind w:right="280"/>
        <w:spacing w:after="0" w:line="331" w:lineRule="auto"/>
        <w:rPr>
          <w:sz w:val="20"/>
          <w:szCs w:val="20"/>
          <w:color w:val="auto"/>
        </w:rPr>
      </w:pPr>
      <w:r>
        <w:rPr>
          <w:rFonts w:ascii="Arial" w:cs="Arial" w:eastAsia="Arial" w:hAnsi="Arial"/>
          <w:sz w:val="16"/>
          <w:szCs w:val="16"/>
          <w:color w:val="auto"/>
        </w:rPr>
        <w:t>Consolidated R&amp;D expenses decreased $2 million and $6 million for the three and six months ended June 30, 2016, respectively, as compared with the prior year period as the company focused investment in material science projects and eliminated programs that no longer aligned with this strategy.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 SEGMENT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Three Months Ended June 30,</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75"/>
              <w:spacing w:after="0" w:line="153" w:lineRule="exact"/>
              <w:rPr>
                <w:sz w:val="20"/>
                <w:szCs w:val="20"/>
                <w:color w:val="auto"/>
              </w:rPr>
            </w:pPr>
            <w:r>
              <w:rPr>
                <w:rFonts w:ascii="Arial" w:cs="Arial" w:eastAsia="Arial" w:hAnsi="Arial"/>
                <w:sz w:val="14"/>
                <w:szCs w:val="14"/>
                <w:b w:val="1"/>
                <w:bCs w:val="1"/>
                <w:color w:val="auto"/>
                <w:w w:val="89"/>
              </w:rPr>
              <w:t>Change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7"/>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5"/>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258</w:t>
            </w:r>
          </w:p>
        </w:tc>
        <w:tc>
          <w:tcPr>
            <w:tcW w:w="880" w:type="dxa"/>
            <w:vAlign w:val="bottom"/>
            <w:gridSpan w:val="2"/>
            <w:shd w:val="clear" w:color="auto" w:fill="CFF0FC"/>
          </w:tcPr>
          <w:p>
            <w:pPr>
              <w:jc w:val="right"/>
              <w:ind w:right="44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283</w:t>
            </w:r>
          </w:p>
        </w:tc>
        <w:tc>
          <w:tcPr>
            <w:tcW w:w="54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before allocation of corporate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140"/>
              <w:spacing w:after="0"/>
              <w:rPr>
                <w:sz w:val="20"/>
                <w:szCs w:val="20"/>
                <w:color w:val="auto"/>
              </w:rPr>
            </w:pPr>
            <w:r>
              <w:rPr>
                <w:rFonts w:ascii="Arial" w:cs="Arial" w:eastAsia="Arial" w:hAnsi="Arial"/>
                <w:sz w:val="18"/>
                <w:szCs w:val="18"/>
                <w:color w:val="auto"/>
              </w:rPr>
              <w:t>SG&amp;A costs</w:t>
            </w: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Allocation of corporate SG&amp;A costs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Operational EBITDA</w:t>
            </w: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20" w:type="dxa"/>
            <w:vAlign w:val="bottom"/>
            <w:vMerge w:val="continue"/>
          </w:tcPr>
          <w:p>
            <w:pPr>
              <w:spacing w:after="0"/>
              <w:rPr>
                <w:sz w:val="19"/>
                <w:szCs w:val="19"/>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44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248525" cy="160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8525" cy="160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Operational EBITDA as a % of revenues</w:t>
            </w:r>
          </w:p>
        </w:tc>
        <w:tc>
          <w:tcPr>
            <w:tcW w:w="1960" w:type="dxa"/>
            <w:vAlign w:val="bottom"/>
          </w:tcPr>
          <w:p>
            <w:pPr>
              <w:jc w:val="right"/>
              <w:ind w:right="371"/>
              <w:spacing w:after="0"/>
              <w:rPr>
                <w:sz w:val="20"/>
                <w:szCs w:val="20"/>
                <w:color w:val="auto"/>
              </w:rPr>
            </w:pPr>
            <w:r>
              <w:rPr>
                <w:rFonts w:ascii="Arial" w:cs="Arial" w:eastAsia="Arial" w:hAnsi="Arial"/>
                <w:sz w:val="18"/>
                <w:szCs w:val="18"/>
                <w:color w:val="auto"/>
              </w:rPr>
              <w:t>9%</w:t>
            </w:r>
          </w:p>
        </w:tc>
        <w:tc>
          <w:tcPr>
            <w:tcW w:w="1740" w:type="dxa"/>
            <w:vAlign w:val="bottom"/>
          </w:tcPr>
          <w:p>
            <w:pPr>
              <w:jc w:val="right"/>
              <w:ind w:right="931"/>
              <w:spacing w:after="0"/>
              <w:rPr>
                <w:sz w:val="20"/>
                <w:szCs w:val="20"/>
                <w:color w:val="auto"/>
              </w:rPr>
            </w:pPr>
            <w:r>
              <w:rPr>
                <w:rFonts w:ascii="Arial" w:cs="Arial" w:eastAsia="Arial" w:hAnsi="Arial"/>
                <w:sz w:val="18"/>
                <w:szCs w:val="18"/>
                <w:color w:val="auto"/>
              </w:rPr>
              <w:t>7%</w:t>
            </w:r>
          </w:p>
        </w:tc>
        <w:tc>
          <w:tcPr>
            <w:tcW w:w="1720" w:type="dxa"/>
            <w:vAlign w:val="bottom"/>
          </w:tcPr>
          <w:p>
            <w:pPr>
              <w:jc w:val="right"/>
              <w:ind w:right="371"/>
              <w:spacing w:after="0"/>
              <w:rPr>
                <w:sz w:val="20"/>
                <w:szCs w:val="20"/>
                <w:color w:val="auto"/>
              </w:rPr>
            </w:pPr>
            <w:r>
              <w:rPr>
                <w:rFonts w:ascii="Arial" w:cs="Arial" w:eastAsia="Arial" w:hAnsi="Arial"/>
                <w:sz w:val="18"/>
                <w:szCs w:val="18"/>
                <w:color w:val="auto"/>
              </w:rPr>
              <w:t>8%</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decrease in Print Systems revenues for the three months ended June 30, 2016 of approximately $25 million primarily reflected lower pricing in Prepress Solutions ($12 million) as a result of competitive pressures in the industry and lower volumes in Prepress Solutions ($7 million) driven by declines in consumables and fewer equipment placements. Also contributing to the decline was lower volume in Electrophotographic Printing Solutions ($6 million) driven by fewer equipment placements.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decrease in Print Systems revenues for the six months ended June 30, 2016 of approximately $48 million primarily reflected lower pricing ($24 million) in Prepress Solutions as a result of competitive pressures in the industry, and lower volumes in Prepress Solutions ($10 million) driven by declines in consumables and fewer equipment placements. Also contributing to the decline was lower volume in Electrophotographic Printing Solutions ($11 million) due to fewer equipment placements and declines in consumables and service.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increase in Print Systems Operational EBITDA for the three months ended June 30, 2016 of approximately $2 million reflected manufacturing costs improvements in Prepress due to lower aluminum costs ($9 million) and improved manufacturing efficiency ($6 million), driven by the closure of the Leeds, England plant in the third quarter of 2015. Partially offsetting these improvements were pricing declines in Prepress Solutions ($12 million). Increased SG&amp;A spend due to participation in drupa 2016 ($2 million) was offset by other SG&amp;A cost reductions ($2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increase in Print Systems Operational EBITDA for the six months ended June 30, 2016 of approximately $7 million reflected manufacturing costs improvements in Prepress due to lower aluminum costs ($17 million) and improved manufacturing efficiency ($9 million), driven by the closure of the Leeds, England plant in the third quarter of 2015, and SG&amp;A cost reductions ($5 million). Partially offsetting these improvements were pricing declines in Prepress Solutions ($24 million) as a result of competitive pricing pressures in the industry.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 3D PRINTING AND PACKAGING SEGMENT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457"/>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57"/>
              <w:spacing w:after="0"/>
              <w:rPr>
                <w:sz w:val="20"/>
                <w:szCs w:val="20"/>
                <w:color w:val="auto"/>
              </w:rPr>
            </w:pPr>
            <w:r>
              <w:rPr>
                <w:rFonts w:ascii="Arial" w:cs="Arial" w:eastAsia="Arial" w:hAnsi="Arial"/>
                <w:sz w:val="14"/>
                <w:szCs w:val="14"/>
                <w:b w:val="1"/>
                <w:bCs w:val="1"/>
                <w:color w:val="auto"/>
                <w:w w:val="98"/>
              </w:rPr>
              <w:t>Six Months Ended 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7"/>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64</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before allocation of corporate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140"/>
              <w:spacing w:after="0"/>
              <w:rPr>
                <w:sz w:val="20"/>
                <w:szCs w:val="20"/>
                <w:color w:val="auto"/>
              </w:rPr>
            </w:pPr>
            <w:r>
              <w:rPr>
                <w:rFonts w:ascii="Arial" w:cs="Arial" w:eastAsia="Arial" w:hAnsi="Arial"/>
                <w:sz w:val="18"/>
                <w:szCs w:val="18"/>
                <w:color w:val="auto"/>
              </w:rPr>
              <w:t>SG&amp;A costs</w:t>
            </w:r>
          </w:p>
        </w:tc>
        <w:tc>
          <w:tcPr>
            <w:tcW w:w="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Allocation of corporate SG&amp;A costs</w:t>
            </w:r>
          </w:p>
        </w:tc>
        <w:tc>
          <w:tcPr>
            <w:tcW w:w="6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Operational EBITDA</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72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w:t>
            </w:r>
          </w:p>
        </w:tc>
        <w:tc>
          <w:tcPr>
            <w:tcW w:w="72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660" w:type="dxa"/>
            <w:vAlign w:val="bottom"/>
          </w:tcPr>
          <w:p>
            <w:pPr>
              <w:jc w:val="right"/>
              <w:ind w:right="477"/>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Operational EBITDA as a % of revenues</w:t>
            </w: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2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increase in Micro 3D Printing and Packaging revenues for the three months ended June 30, 2016 of approximately $2 million primarily reflected volume improvements in Packaging consumables ($3 million) due to a larger installed base of Flexcel NX systems driving growth in revenues from Flexcel NX consumables, partially offset by lower Packaging equipment revenue ($1 million) driven by fewer unit placements and declines in legacy products ($1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Micro 3D Printing and Packaging revenues for the six months ended June 30, 2016 were unchanged as volume improvements in Packaging consumables ($5 million), due to a larger installed base of Flexcel NX systems driving growth in revenues from Flexcel NX consumables, was offset by fewer Packaging units placements ($2 million) declines in legacy products ($1 million), and unfavorable foreign currency impacts ($2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decrease in Micro 3D Printing and Packaging Operational EBITDA for the three months ended June 30, 2016 of approximately $2 million reflected higher SG&amp;A costs ($1 million) due to participation in drupa 2016 and higher R&amp;D costs ($1 million) due to increased investment in Ultra NX within Packaging and copper mesh technology within Micro 3D Printing. Improved Packaging gross profit driven by increased sales of Flexcel NX consumables ($2 million) was offset by lower gross profit from legacy products ($1 million) and unfavorable currency impacts ($1 million).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decrease in Micro 3D Printing and Packaging Operational EBITDA for the six months ended June 30, 2016 of approximately $1 million reflected higher SG&amp;A costs ($1 million) due to participation in drupa 2016 and higher R&amp;D costs ($1 million) due to increased investment in Ultra NX within Packaging and copper mesh technology within Micro 3D Printing. Improved Packaging gross profit driven by increased sales of Flexcel NX consumables ($3 million) was offset by unfavorable currency impacts ($3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SOLUTIONS SEGMENT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457"/>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57"/>
              <w:spacing w:after="0"/>
              <w:rPr>
                <w:sz w:val="20"/>
                <w:szCs w:val="20"/>
                <w:color w:val="auto"/>
              </w:rPr>
            </w:pPr>
            <w:r>
              <w:rPr>
                <w:rFonts w:ascii="Arial" w:cs="Arial" w:eastAsia="Arial" w:hAnsi="Arial"/>
                <w:sz w:val="14"/>
                <w:szCs w:val="14"/>
                <w:b w:val="1"/>
                <w:bCs w:val="1"/>
                <w:color w:val="auto"/>
                <w:w w:val="98"/>
              </w:rPr>
              <w:t>Six Months Ended 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0"/>
              </w:rPr>
              <w:t>(6)</w:t>
            </w:r>
          </w:p>
        </w:tc>
        <w:tc>
          <w:tcPr>
            <w:tcW w:w="720" w:type="dxa"/>
            <w:vAlign w:val="bottom"/>
            <w:gridSpan w:val="2"/>
            <w:shd w:val="clear" w:color="auto" w:fill="CFF0FC"/>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7"/>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55</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before allocation of corporate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140"/>
              <w:spacing w:after="0"/>
              <w:rPr>
                <w:sz w:val="20"/>
                <w:szCs w:val="20"/>
                <w:color w:val="auto"/>
              </w:rPr>
            </w:pPr>
            <w:r>
              <w:rPr>
                <w:rFonts w:ascii="Arial" w:cs="Arial" w:eastAsia="Arial" w:hAnsi="Arial"/>
                <w:sz w:val="18"/>
                <w:szCs w:val="18"/>
                <w:color w:val="auto"/>
              </w:rPr>
              <w:t>SG&amp;A costs</w:t>
            </w: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Allocation of corporate SG&amp;A costs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Operational EBITDA</w:t>
            </w: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620" w:type="dxa"/>
            <w:vAlign w:val="bottom"/>
            <w:vMerge w:val="continue"/>
          </w:tcPr>
          <w:p>
            <w:pPr>
              <w:spacing w:after="0"/>
              <w:rPr>
                <w:sz w:val="20"/>
                <w:szCs w:val="20"/>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w:t>
            </w:r>
          </w:p>
        </w:tc>
        <w:tc>
          <w:tcPr>
            <w:tcW w:w="72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7"/>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Operational EBITDA as a % of revenues</w:t>
            </w: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20" w:type="dxa"/>
            <w:vAlign w:val="bottom"/>
            <w:vMerge w:val="continue"/>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-10%</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decrease in Software and Solutions revenues for the three months ended June 30, 2016 of approximately $6 million primarily reflected volume declines in Kodak Technology Solutions due to lower revenues from government contracts ($3 million), the divestiture of the Design2Launch business ($1 million), and lower volume in Unified Workflow Solutions ($1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The decrease in Software and Solutions revenues for the six months ended June 30, 2016 of approximately $12 million primarily reflected volume declines in Kodak Technology Solutions due to lower revenues from government contracts ($9 million), the divestiture of the Design2Launch business ($1 million), and lower volume in Unified Workflow Solutions ($1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The decrease in Software and Solutions Operational EBITDA for the three months ended June 30, 2016 of approximately $3 million primarily reflected the volume declines described above ($2 million) and participation in drupa 2016 ($1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color w:val="auto"/>
        </w:rPr>
        <w:t>The decrease in Software and Solutions Operational EBITDA for the six months ended June 30, 2016 of approximately $3 million primarily reflected the volume declines described above ($2 million) and participation in drupa 2016 ($1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AND FILM SEGMENT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75"/>
              <w:spacing w:after="0" w:line="153" w:lineRule="exact"/>
              <w:rPr>
                <w:sz w:val="20"/>
                <w:szCs w:val="20"/>
                <w:color w:val="auto"/>
              </w:rPr>
            </w:pPr>
            <w:r>
              <w:rPr>
                <w:rFonts w:ascii="Arial" w:cs="Arial" w:eastAsia="Arial" w:hAnsi="Arial"/>
                <w:sz w:val="14"/>
                <w:szCs w:val="14"/>
                <w:b w:val="1"/>
                <w:bCs w:val="1"/>
                <w:color w:val="auto"/>
                <w:w w:val="89"/>
              </w:rPr>
              <w:t>Change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6"/>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920" w:type="dxa"/>
            <w:vAlign w:val="bottom"/>
            <w:gridSpan w:val="2"/>
            <w:shd w:val="clear" w:color="auto" w:fill="CFF0FC"/>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before allocation of corporate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140"/>
              <w:spacing w:after="0"/>
              <w:rPr>
                <w:sz w:val="20"/>
                <w:szCs w:val="20"/>
                <w:color w:val="auto"/>
              </w:rPr>
            </w:pPr>
            <w:r>
              <w:rPr>
                <w:rFonts w:ascii="Arial" w:cs="Arial" w:eastAsia="Arial" w:hAnsi="Arial"/>
                <w:sz w:val="18"/>
                <w:szCs w:val="18"/>
                <w:color w:val="auto"/>
              </w:rPr>
              <w:t>SG&amp;A costs</w:t>
            </w:r>
          </w:p>
        </w:tc>
        <w:tc>
          <w:tcPr>
            <w:tcW w:w="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Allocation of corporate SG&amp;A costs</w:t>
            </w:r>
          </w:p>
        </w:tc>
        <w:tc>
          <w:tcPr>
            <w:tcW w:w="6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Operational EBITDA</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0"/>
                <w:szCs w:val="20"/>
                <w:color w:val="auto"/>
              </w:rPr>
            </w:pPr>
          </w:p>
        </w:tc>
        <w:tc>
          <w:tcPr>
            <w:tcW w:w="260" w:type="dxa"/>
            <w:vAlign w:val="bottom"/>
          </w:tcPr>
          <w:p>
            <w:pPr>
              <w:jc w:val="right"/>
              <w:ind w:right="7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Operational EBITDA as a % of revenues</w:t>
            </w: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2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16%</w:t>
            </w:r>
          </w:p>
        </w:tc>
        <w:tc>
          <w:tcPr>
            <w:tcW w:w="64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5"/>
        </w:trPr>
        <w:tc>
          <w:tcPr>
            <w:tcW w:w="4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509"/>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decrease in Consumer and Film revenues for the three months ended June 30, 2016 of approximately $5 million reflected volume declines in Consumer Inkjet Systems ($7 million) driven by lower sales of ink to the existing installed base of printers. The volume decline for film products ($5 million) was offset by fulfillment of a significant industrial films order in the current quarter ($5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decrease in Consumer and Film revenues for the six months ended June 30, 2016 of approximately $21 million reflected volume declines in Consumer Inkjet Systems ($16 million) driven by lower sales of ink to the existing installed base of printers, and in Motion Picture, Industrial Chemicals and Films ($10 million) due to declining demand for film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current year was $3 million related to the fulfillment of motion picture film volume commitments.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increase in Consumer and Film Operational EBITDA for the three months ended June 30, 2016 of approximately $2 million reflected improved gross profit in Motion Picture, Industrial Chemicals and Films driven by the impact of the significant industrial films order ($4 million), as well as improved price/mix within Motion Picture, Industrial Chemicals and Films ($2 million). Partially offsetting these improvements was a $5 million impact from lower sales of ink mentioned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decrease in Consumer and Film Operational EBITDA for the six months ended June 30, 2016 of approximately $9 million was driven by the impact from lower sales of ink as mentioned above ($13 million), as well as unfavorable cost impacts in Motion Picture, Industrial Chemicals and Films ($7 million) primarily due to lower production volumes. Partially offsetting these decreases was the favorable impact from the significant industrial films order ($4 million), the fulfillment of motion picture film volume commitments ($3 million), and lower costs in Consumer Inkjet ($1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 SEGMENT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457"/>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6"/>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0"/>
              </w:rPr>
              <w:t>(2)</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before allocation of corporate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140"/>
              <w:spacing w:after="0"/>
              <w:rPr>
                <w:sz w:val="20"/>
                <w:szCs w:val="20"/>
                <w:color w:val="auto"/>
              </w:rPr>
            </w:pPr>
            <w:r>
              <w:rPr>
                <w:rFonts w:ascii="Arial" w:cs="Arial" w:eastAsia="Arial" w:hAnsi="Arial"/>
                <w:sz w:val="18"/>
                <w:szCs w:val="18"/>
                <w:color w:val="auto"/>
              </w:rPr>
              <w:t>SG&amp;A costs</w:t>
            </w:r>
          </w:p>
        </w:tc>
        <w:tc>
          <w:tcPr>
            <w:tcW w:w="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Allocation of corporate SG&amp;A costs</w:t>
            </w:r>
          </w:p>
        </w:tc>
        <w:tc>
          <w:tcPr>
            <w:tcW w:w="6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Operational EBITDA</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72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Operational EBITDA as a % of revenues</w:t>
            </w: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2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The decrease in Enterprise Inkjet Systems revenues for the three months ended June 30, 2016 of approximately $2 million reflected lower volumes of service and consumables due to expected declines in the installed base of systems and components.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decrease in Enterprise Inkjet Systems revenues for the six months ended June 30, 3016 of approximately $5 million reflected lower volumes of service and consumables ($4 million) due to expected declines in the installed base of systems and components.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Operational EBITDA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The decrease in Enterprise Inkjet Systems Operational EBITDA for the six months ended June 30, 2016 of approximately $2 million was primarily driven by the volume declines discussed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SOLUTIONS SEGMENT</w:t>
      </w:r>
    </w:p>
    <w:p>
      <w:pPr>
        <w:spacing w:after="0" w:line="11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Intellectual Property Solutions Operational EBITDA for the three months and the six months ended June 30, 2016 improved approximately $2 million and $6 million, respectively, due to lower R&amp;D costs as the company focused investment in materials science projects and eliminated programs that no longer aligned with this strategy. R&amp;D not directly related to other segments is included in the Intellectual Property Solutions segment.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Eastman Business Park revenue and Operational EBITDA did not change significantly.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1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Kodak recorded $8 million and $13 million of charges for the three and six months ended June 30, 2016, respectively, of which $7 million and $11 million, respectively, were reported as Restructuring costs and other in the accompanying Consolidated Statement of Operations. In addition, $1 million was reported as discontinued operations in both the three and six months ended June 30, 2016 and $1 million was reported as Cost of revenues for the six months ended June 30, 2016.</w:t>
      </w:r>
    </w:p>
    <w:p>
      <w:pPr>
        <w:spacing w:after="0" w:line="191"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color w:val="auto"/>
        </w:rPr>
        <w:t>Kodak made cash payments related to restructuring of approximately $4 million and $10 million during the quarter and six months ended June 30, 2016, respectively.</w:t>
      </w:r>
    </w:p>
    <w:p>
      <w:pPr>
        <w:spacing w:after="0" w:line="18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restructuring actions implemented in the first half of 2016 are expected to generate future annual cash savings of approximately $14 million. These savings are expected to reduce future annual Cost of revenues, SG&amp;A and R&amp;D expenses by $6 million, $7 million, and $1 million, respectively. Kodak began realizing a portion of these savings in the first half, and expects the majority of the annual savings to be in effect by the end of 2016 as actions are completed.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8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7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980" w:type="dxa"/>
            <w:vAlign w:val="bottom"/>
            <w:gridSpan w:val="3"/>
            <w:vMerge w:val="continue"/>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3980" w:type="dxa"/>
            <w:vAlign w:val="bottom"/>
            <w:gridSpan w:val="3"/>
          </w:tcPr>
          <w:p>
            <w:pPr>
              <w:ind w:left="560"/>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9"/>
                <w:szCs w:val="19"/>
                <w:color w:val="auto"/>
              </w:rPr>
            </w:pPr>
          </w:p>
        </w:tc>
        <w:tc>
          <w:tcPr>
            <w:tcW w:w="400" w:type="dxa"/>
            <w:vAlign w:val="bottom"/>
            <w:gridSpan w:val="2"/>
          </w:tcPr>
          <w:p>
            <w:pPr>
              <w:jc w:val="right"/>
              <w:ind w:right="229"/>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546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5140" w:type="dxa"/>
            <w:vAlign w:val="bottom"/>
            <w:gridSpan w:val="4"/>
            <w:vMerge w:val="continue"/>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140" w:type="dxa"/>
            <w:vAlign w:val="bottom"/>
            <w:gridSpan w:val="4"/>
            <w:vMerge w:val="restart"/>
          </w:tcPr>
          <w:p>
            <w:pPr>
              <w:ind w:left="116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4"/>
                <w:szCs w:val="24"/>
                <w:color w:val="auto"/>
              </w:rPr>
            </w:pPr>
          </w:p>
        </w:tc>
        <w:tc>
          <w:tcPr>
            <w:tcW w:w="1960" w:type="dxa"/>
            <w:vAlign w:val="bottom"/>
            <w:gridSpan w:val="6"/>
          </w:tcPr>
          <w:p>
            <w:pPr>
              <w:jc w:val="center"/>
              <w:ind w:left="329"/>
              <w:spacing w:after="0"/>
              <w:rPr>
                <w:sz w:val="20"/>
                <w:szCs w:val="20"/>
                <w:color w:val="auto"/>
              </w:rPr>
            </w:pPr>
            <w:r>
              <w:rPr>
                <w:rFonts w:ascii="Arial" w:cs="Arial" w:eastAsia="Arial" w:hAnsi="Arial"/>
                <w:sz w:val="14"/>
                <w:szCs w:val="14"/>
                <w:b w:val="1"/>
                <w:bCs w:val="1"/>
                <w:color w:val="auto"/>
                <w:w w:val="92"/>
              </w:rPr>
              <w:t>Six Months Ended</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40" w:type="dxa"/>
            <w:vAlign w:val="bottom"/>
            <w:gridSpan w:val="4"/>
            <w:vMerge w:val="continue"/>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80" w:type="dxa"/>
            <w:vAlign w:val="bottom"/>
            <w:gridSpan w:val="2"/>
          </w:tcPr>
          <w:p>
            <w:pPr>
              <w:jc w:val="right"/>
              <w:ind w:right="100"/>
              <w:spacing w:after="0" w:line="153"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980" w:type="dxa"/>
            <w:vAlign w:val="bottom"/>
            <w:tcBorders>
              <w:top w:val="single" w:sz="8" w:color="CFF0FC"/>
            </w:tcBorders>
            <w:gridSpan w:val="3"/>
            <w:shd w:val="clear" w:color="auto" w:fill="CFF0FC"/>
          </w:tcPr>
          <w:p>
            <w:pPr>
              <w:spacing w:after="0" w:line="180" w:lineRule="exact"/>
              <w:rPr>
                <w:sz w:val="20"/>
                <w:szCs w:val="20"/>
                <w:color w:val="auto"/>
              </w:rPr>
            </w:pPr>
            <w:r>
              <w:rPr>
                <w:rFonts w:ascii="Arial" w:cs="Arial" w:eastAsia="Arial" w:hAnsi="Arial"/>
                <w:sz w:val="18"/>
                <w:szCs w:val="18"/>
                <w:color w:val="auto"/>
              </w:rPr>
              <w:t>Cash flows from operating activities:</w:t>
            </w:r>
          </w:p>
        </w:tc>
        <w:tc>
          <w:tcPr>
            <w:tcW w:w="1400" w:type="dxa"/>
            <w:vAlign w:val="bottom"/>
            <w:tcBorders>
              <w:top w:val="single" w:sz="8" w:color="CFF0FC"/>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40" w:type="dxa"/>
            <w:vAlign w:val="bottom"/>
            <w:gridSpan w:val="4"/>
          </w:tcPr>
          <w:p>
            <w:pPr>
              <w:ind w:left="1160"/>
              <w:spacing w:after="0"/>
              <w:rPr>
                <w:sz w:val="20"/>
                <w:szCs w:val="20"/>
                <w:color w:val="auto"/>
              </w:rPr>
            </w:pPr>
            <w:r>
              <w:rPr>
                <w:rFonts w:ascii="Arial" w:cs="Arial" w:eastAsia="Arial" w:hAnsi="Arial"/>
                <w:sz w:val="18"/>
                <w:szCs w:val="18"/>
                <w:color w:val="auto"/>
              </w:rPr>
              <w:t>Net cash used in operating activities</w:t>
            </w:r>
          </w:p>
        </w:tc>
        <w:tc>
          <w:tcPr>
            <w:tcW w:w="2060" w:type="dxa"/>
            <w:vAlign w:val="bottom"/>
            <w:gridSpan w:val="2"/>
          </w:tcPr>
          <w:p>
            <w:pPr>
              <w:jc w:val="right"/>
              <w:ind w:right="50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500" w:type="dxa"/>
            <w:vAlign w:val="bottom"/>
          </w:tcPr>
          <w:p>
            <w:pPr>
              <w:jc w:val="right"/>
              <w:ind w:right="344"/>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3980" w:type="dxa"/>
            <w:vAlign w:val="bottom"/>
            <w:tcBorders>
              <w:top w:val="single" w:sz="8" w:color="CFF0FC"/>
            </w:tcBorders>
            <w:gridSpan w:val="3"/>
            <w:shd w:val="clear" w:color="auto" w:fill="CFF0FC"/>
          </w:tcPr>
          <w:p>
            <w:pPr>
              <w:spacing w:after="0" w:line="181" w:lineRule="exact"/>
              <w:rPr>
                <w:sz w:val="20"/>
                <w:szCs w:val="20"/>
                <w:color w:val="auto"/>
              </w:rPr>
            </w:pPr>
            <w:r>
              <w:rPr>
                <w:rFonts w:ascii="Arial" w:cs="Arial" w:eastAsia="Arial" w:hAnsi="Arial"/>
                <w:sz w:val="18"/>
                <w:szCs w:val="18"/>
                <w:color w:val="auto"/>
              </w:rPr>
              <w:t>Cash flows from investing activities:</w:t>
            </w:r>
          </w:p>
        </w:tc>
        <w:tc>
          <w:tcPr>
            <w:tcW w:w="1400" w:type="dxa"/>
            <w:vAlign w:val="bottom"/>
            <w:tcBorders>
              <w:top w:val="single" w:sz="8" w:color="CFF0FC"/>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40" w:type="dxa"/>
            <w:vAlign w:val="bottom"/>
            <w:gridSpan w:val="4"/>
          </w:tcPr>
          <w:p>
            <w:pPr>
              <w:ind w:left="1160"/>
              <w:spacing w:after="0"/>
              <w:rPr>
                <w:sz w:val="20"/>
                <w:szCs w:val="20"/>
                <w:color w:val="auto"/>
              </w:rPr>
            </w:pPr>
            <w:r>
              <w:rPr>
                <w:rFonts w:ascii="Arial" w:cs="Arial" w:eastAsia="Arial" w:hAnsi="Arial"/>
                <w:sz w:val="18"/>
                <w:szCs w:val="18"/>
                <w:color w:val="auto"/>
              </w:rPr>
              <w:t>Net cash provided by (used in) investing activities</w:t>
            </w: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3980" w:type="dxa"/>
            <w:vAlign w:val="bottom"/>
            <w:tcBorders>
              <w:top w:val="single" w:sz="8" w:color="CFF0FC"/>
            </w:tcBorders>
            <w:gridSpan w:val="3"/>
            <w:shd w:val="clear" w:color="auto" w:fill="CFF0FC"/>
          </w:tcPr>
          <w:p>
            <w:pPr>
              <w:spacing w:after="0" w:line="181" w:lineRule="exact"/>
              <w:rPr>
                <w:sz w:val="20"/>
                <w:szCs w:val="20"/>
                <w:color w:val="auto"/>
              </w:rPr>
            </w:pPr>
            <w:r>
              <w:rPr>
                <w:rFonts w:ascii="Arial" w:cs="Arial" w:eastAsia="Arial" w:hAnsi="Arial"/>
                <w:sz w:val="18"/>
                <w:szCs w:val="18"/>
                <w:color w:val="auto"/>
              </w:rPr>
              <w:t>Cash flows from financing activities:</w:t>
            </w:r>
          </w:p>
        </w:tc>
        <w:tc>
          <w:tcPr>
            <w:tcW w:w="1400" w:type="dxa"/>
            <w:vAlign w:val="bottom"/>
            <w:tcBorders>
              <w:top w:val="single" w:sz="8" w:color="CFF0FC"/>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40" w:type="dxa"/>
            <w:vAlign w:val="bottom"/>
            <w:gridSpan w:val="4"/>
          </w:tcPr>
          <w:p>
            <w:pPr>
              <w:ind w:left="1160"/>
              <w:spacing w:after="0"/>
              <w:rPr>
                <w:sz w:val="20"/>
                <w:szCs w:val="20"/>
                <w:color w:val="auto"/>
              </w:rPr>
            </w:pPr>
            <w:r>
              <w:rPr>
                <w:rFonts w:ascii="Arial" w:cs="Arial" w:eastAsia="Arial" w:hAnsi="Arial"/>
                <w:sz w:val="18"/>
                <w:szCs w:val="18"/>
                <w:color w:val="auto"/>
              </w:rPr>
              <w:t>Net cash used in financing activities</w:t>
            </w: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14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3980" w:type="dxa"/>
            <w:vAlign w:val="bottom"/>
            <w:gridSpan w:val="3"/>
            <w:vMerge w:val="continue"/>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ind w:left="1160"/>
              <w:spacing w:after="0"/>
              <w:rPr>
                <w:sz w:val="20"/>
                <w:szCs w:val="20"/>
                <w:color w:val="auto"/>
              </w:rPr>
            </w:pPr>
            <w:r>
              <w:rPr>
                <w:rFonts w:ascii="Arial" w:cs="Arial" w:eastAsia="Arial" w:hAnsi="Arial"/>
                <w:sz w:val="18"/>
                <w:szCs w:val="18"/>
                <w:color w:val="auto"/>
              </w:rPr>
              <w:t xml:space="preserve">Net decrease in cash and cash equivalents </w:t>
            </w:r>
            <w:r>
              <w:rPr>
                <w:rFonts w:ascii="Arial" w:cs="Arial" w:eastAsia="Arial" w:hAnsi="Arial"/>
                <w:sz w:val="15"/>
                <w:szCs w:val="15"/>
                <w:color w:val="auto"/>
              </w:rPr>
              <w:t>(1)</w:t>
            </w:r>
          </w:p>
        </w:tc>
        <w:tc>
          <w:tcPr>
            <w:tcW w:w="1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gridSpan w:val="4"/>
            <w:vMerge w:val="continue"/>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jc w:val="right"/>
              <w:ind w:right="509"/>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500" w:type="dxa"/>
            <w:vAlign w:val="bottom"/>
          </w:tcPr>
          <w:p>
            <w:pPr>
              <w:jc w:val="right"/>
              <w:ind w:right="344"/>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vMerge w:val="restart"/>
          </w:tcPr>
          <w:p>
            <w:pPr>
              <w:jc w:val="right"/>
              <w:ind w:right="591"/>
              <w:spacing w:after="0"/>
              <w:rPr>
                <w:sz w:val="20"/>
                <w:szCs w:val="20"/>
                <w:color w:val="auto"/>
              </w:rPr>
            </w:pPr>
            <w:r>
              <w:rPr>
                <w:rFonts w:ascii="Arial" w:cs="Arial" w:eastAsia="Arial" w:hAnsi="Arial"/>
                <w:sz w:val="18"/>
                <w:szCs w:val="18"/>
                <w:color w:val="auto"/>
              </w:rPr>
              <w:t>[32]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5" w:right="219" w:bottom="1440" w:gutter="0" w:footer="0" w:header="0"/>
        </w:sectPr>
      </w:pPr>
    </w:p>
    <w:bookmarkStart w:id="32" w:name="page33"/>
    <w:bookmarkEnd w:id="32"/>
    <w:p>
      <w:pPr>
        <w:ind w:left="520" w:right="20" w:hanging="513"/>
        <w:spacing w:after="0" w:line="254" w:lineRule="auto"/>
        <w:tabs>
          <w:tab w:leader="none" w:pos="5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The beginning cash and cash equivalents balance for the six month period ended June 30, 2016 in the cash flow activity above included $546 million of cash reported in the Statement of Financial Position and $1 million of cash reported in Current assets held for sale. The ending cash and cash equivalents balance for the six month period ended June 30, 2016 in the cash flow activity above included $513 million of cash reported in the Statement of Financial Position and $2 million of cash reported in Current assets held for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used in operating activities decreased $74 million for the six months ended June 30, 2016 as compared with the corresponding period in 2015 primarily due to a lower net loss, which includes the $10 million in net litigation proceeds from DuPont, and more cash provided by changes in working capital in the current year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investing activities increased $23 million for the six months ended June 30, 2016 as compared with the corresponding period in 2015 primarily due to the reduction of restricted cash in the current year and increase in restricted cash in the prior year to support the Company’s borrowing base and increased proceeds from the sales of businesses/assets.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3" w:lineRule="exact"/>
        <w:rPr>
          <w:sz w:val="20"/>
          <w:szCs w:val="20"/>
          <w:color w:val="auto"/>
        </w:rPr>
      </w:pPr>
    </w:p>
    <w:p>
      <w:pPr>
        <w:ind w:right="620"/>
        <w:spacing w:after="0" w:line="267" w:lineRule="auto"/>
        <w:rPr>
          <w:sz w:val="20"/>
          <w:szCs w:val="20"/>
          <w:color w:val="auto"/>
        </w:rPr>
      </w:pPr>
      <w:r>
        <w:rPr>
          <w:rFonts w:ascii="Arial" w:cs="Arial" w:eastAsia="Arial" w:hAnsi="Arial"/>
          <w:sz w:val="18"/>
          <w:szCs w:val="18"/>
          <w:color w:val="auto"/>
        </w:rPr>
        <w:t>Net cash used in financing activities increased $4 million in the six months ended June 30, 2016 as compared with the corresponding period in the 2015 primarily due to payment of contingent consideration related to the sale of a business in the current year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Available liquidity includes cash balances and the unused portion of the Amended Credit Agreement. The Amended Credit Agreement had $30 million of net availability as of June 30, 2016. The amount of available liquidity is subject to fluctuations and includes cash balances held by various entities worldwide. At June 30, 2016 and December 31, 2015, approximately $273 million and $302 million, respectively, of cash and cash equivalents were held within the U.S. and approximately $240 million and $244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$136 million of cash and cash equivalents was held as of June 30, 2016, there are limitations related to net asset balances that may impact the ability to make cash available to other jurisdictions in the world. Under the terms of the Senior Secured First Lien Term Credit Agreement, Senior Secured Second Lien Term Credit Agreement (collectively the “Term Credit Agreements” and together with the Amended Credit Agreement, the “Credit Agreements”), and the Amended Credit Agreement, the Company is permitted to invest up to $100 million in subsidiaries and joint ventures that are not party to these loan agreements.</w:t>
      </w:r>
    </w:p>
    <w:p>
      <w:pPr>
        <w:spacing w:after="0" w:line="19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As of June 30, 2016 and December 31, 2015 Kodak had funded $23 million and $30 million, respectively, to the Eligible Cash account held with the Amended Credit Agreement and Amended Credit Agreement Administrative Agents, which is classified as Restricted cash in the Consolidated Statement of Financial Position, supporting the Excess Availability amount. Under the Amended Credit Agreement, if Excess Availability falls below 12.5% of lender commitments (currently $18.75 million), Kodak may, in addition to the requirement to be in compliance with the minimum Fixed Charge Coverage Ratio, become subject to cash dominion control. Kodak intends to maintain Excess Availability above the minimum threshold which may require additional funding of Eligible</w:t>
      </w:r>
    </w:p>
    <w:p>
      <w:pPr>
        <w:spacing w:after="0" w:line="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Cash. Since Excess Availability was greater than 12.5% of lenders commitments Kodak is not required to have a minimum Fixed Charge Coverage Ratio of 1.0 to 1.0. As of June 30, 2016, Kodak is in compliance with all covenants under the Amended Credit Agreement and had Kodak been required to have a Fixed Charge Coverage Ratio of 1.0 to 1.0 EBITDA, as defined in the Amended Credit agreement, exceeded Fixed Charges by approximately $48 million.</w:t>
      </w:r>
    </w:p>
    <w:p>
      <w:pPr>
        <w:spacing w:after="0" w:line="186"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Under the terms of the Term Credit Agreements, Kodak is required to maintain a Secured Leverage Ratio not to exceed specified levels. The secured leverage ratio is tested at the end of each quarter based on the prior four quarters and is generally determined by dividing secured debt, net of U.S. cash and cash equivalents, by consolidated EBITDA, as calculated under the credit agreements. The maximum secured leverage ratio permitted under the Senior Secured First Lien Term Credit Agreement (which is more restrictive than the corresponding ratio permitted under the Senior Secured Second Lien Term Credit Agreement) is 2.75 to 1. As of June 30, 2016, Kodak’s EBITDA, as calculated under the Term Credit Agreements, exceeded the EBITDA necessary to satisfy the covenant ratios by approximately $44 million.</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combination of the stricter covenant requirements, Kodak’s ongoing investment in growth businesses, and softening and volatility of global economic conditions and foreign currency exchange rates could make it difficult for Kodak to satisfy the leverage covenants on an on-going basis. Kodak intends to conduct its operations in a manner that will result in continued compliance with the secured leverage ratio covenants; however, compliance for future quarters may depend on Kodak undertaking one or more non-operational transactions, such as a monetization of assets, a debt refinancing, the raising of equity capital, or a similar transaction. If Kodak is unable to remain in compliance and does not make alternate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3" w:name="page34"/>
    <w:bookmarkEnd w:id="33"/>
    <w:p>
      <w:pPr>
        <w:ind w:right="20"/>
        <w:spacing w:after="0" w:line="267" w:lineRule="auto"/>
        <w:rPr>
          <w:sz w:val="20"/>
          <w:szCs w:val="20"/>
          <w:color w:val="auto"/>
        </w:rPr>
      </w:pPr>
      <w:r>
        <w:rPr>
          <w:rFonts w:ascii="Arial" w:cs="Arial" w:eastAsia="Arial" w:hAnsi="Arial"/>
          <w:sz w:val="18"/>
          <w:szCs w:val="18"/>
          <w:color w:val="auto"/>
        </w:rPr>
        <w:t>arrangements with its term lenders, an event of default would occur under Kodak’s credit agreements which, among other remedies, would entitle the lenders or their agents to declare the outstanding obligations under the Term Credit Agreements to be immediately due and payable.</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Kodak made net contributions (funded plans) or paid benefits (unfunded plans) totaling approximately $7 million to its defined benefit pension and postretirement benefit plans in the first six months of 2016. For the balance of 2016, the forecasted contribution (funded plans) and benefit payment (unfunded plans) requirements for its pension and postretirement plans are approximately $11 million.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Cash flow from investing activities included $12 million of capital expenditures for six months ended June 30, 2016. Kodak expects approximately $30 to</w:t>
      </w:r>
    </w:p>
    <w:p>
      <w:pPr>
        <w:spacing w:after="0" w:line="40"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$35 million of total capital expenditures for 2016. Additionally, Kodak intends to utilize a variety of methods to finance customer equipment purchases in the future, including expansion of existing third party finance programs and internal financing through both leasing and installment loans.</w:t>
      </w:r>
    </w:p>
    <w:p>
      <w:pPr>
        <w:spacing w:after="0" w:line="168"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Kodak believes that its liquidity position is adequate to fund its operating and investing needs and to provide the flexibility to respond to further changes in the business environment.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6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June 30, 2016 and December 31, 2015, the fair value of open forward contracts would have decreased $17 million and $16 million, respectively. Such changes in fair value would be substantially offset by the revaluation or settlement of the underlying positions hedged.</w:t>
      </w:r>
    </w:p>
    <w:p>
      <w:pPr>
        <w:spacing w:after="0" w:line="17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Kodak is exposed to interest rate risk primarily through its borrowing activities. Kodak may utilize borrowings to fund its working capital and investment needs. The majority of short-term and long-term borrowings are in variable 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Kodak’s Senior Secured First Lien Term Credit Agreement, Senior Secured Second Lien Term Credit Agreement and Amended Credit Agreement are in variable-rate instruments with an interest rate floor. At June 30, 2016 and December 31, 2015, the one-month LIBOR rate was approximately 0.47% and 0.43%, respectively. If LIBOR rates were to rise above the 1% and 1.25% floors, interest expense would increase approximately $7 million for each 1% of LIBOR above the floor.</w:t>
      </w:r>
    </w:p>
    <w:p>
      <w:pPr>
        <w:spacing w:after="0" w:line="19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June 30, 2016 was not significant to Kodak.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655" w:right="3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Subsequent to the Company’s Bankruptcy Filing, between January 27, 2012 and March 22, 2012, several putative class action suits were filed in federal court in the Western District of New York against the committees of the Company’s Stock Ownership Plan (‘SOP’) and Savings and Investment Plan (“SIP”), and certain former and current executives of the Company. The suits were consolidated into a single action brought under the Employee Retirement Income Security Act (“ERISA”), styled as In re Eastman Kodak ERISA Litigation. The allegations concern the decline in the Company’s stock price and its alleged impact on SOP and SIP. Plaintiffs were seeking the recovery of any losses to the applicable plans, a constructive trust, the appointment of an independent fiduciary, equitable relief, as applicable, and attorneys’ fees and costs. Defendants and plaintiffs, individually and as class representatives, entered into a settlement agreement which was preliminarily approved by the court on April 27, 2016, and is conditioned on final court approval and entry of a final order. The Company is not a party to the litigation or the settlement agreement, and is not obligated to make any payments under the settlement agreement.</w:t>
      </w:r>
    </w:p>
    <w:p>
      <w:pPr>
        <w:spacing w:after="0" w:line="17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June 30, 2016, Kodak maintained accruals of approximately $13 million for claims aggregating approximately $210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its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Risk Factors set forth in Part I, Item 1A. of the 2015 Form 10-K. The Risk Factors remain applicable from the 2015 Form 10-K.</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3" w:lineRule="exact"/>
        <w:rPr>
          <w:sz w:val="20"/>
          <w:szCs w:val="20"/>
          <w:color w:val="auto"/>
        </w:rPr>
      </w:pPr>
    </w:p>
    <w:p>
      <w:pPr>
        <w:ind w:left="520" w:right="5540" w:hanging="513"/>
        <w:spacing w:after="0" w:line="398" w:lineRule="auto"/>
        <w:tabs>
          <w:tab w:leader="none" w:pos="50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June 30, 2016 </w:t>
      </w:r>
      <w:r>
        <w:rPr>
          <w:rFonts w:ascii="Arial" w:cs="Arial" w:eastAsia="Arial" w:hAnsi="Arial"/>
          <w:sz w:val="18"/>
          <w:szCs w:val="18"/>
          <w:color w:val="auto"/>
        </w:rPr>
        <w:t>Not Applicable</w:t>
      </w:r>
    </w:p>
    <w:p>
      <w:pPr>
        <w:spacing w:after="0" w:line="166" w:lineRule="exact"/>
        <w:rPr>
          <w:rFonts w:ascii="Arial" w:cs="Arial" w:eastAsia="Arial" w:hAnsi="Arial"/>
          <w:sz w:val="18"/>
          <w:szCs w:val="18"/>
          <w:b w:val="1"/>
          <w:bCs w:val="1"/>
          <w:color w:val="auto"/>
        </w:rPr>
      </w:pPr>
    </w:p>
    <w:p>
      <w:pPr>
        <w:ind w:left="520" w:right="5140" w:hanging="513"/>
        <w:spacing w:after="0" w:line="398" w:lineRule="auto"/>
        <w:tabs>
          <w:tab w:leader="none" w:pos="50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June 30, 2016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w:t>
            </w:r>
          </w:p>
        </w:tc>
        <w:tc>
          <w:tcPr>
            <w:tcW w:w="22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That May</w:t>
            </w:r>
          </w:p>
        </w:tc>
        <w:tc>
          <w:tcPr>
            <w:tcW w:w="0" w:type="dxa"/>
            <w:vAlign w:val="bottom"/>
          </w:tcPr>
          <w:p>
            <w:pPr>
              <w:spacing w:after="0"/>
              <w:rPr>
                <w:sz w:val="1"/>
                <w:szCs w:val="1"/>
                <w:color w:val="auto"/>
              </w:rPr>
            </w:pPr>
          </w:p>
        </w:tc>
      </w:tr>
      <w:tr>
        <w:trPr>
          <w:trHeight w:val="147"/>
        </w:trPr>
        <w:tc>
          <w:tcPr>
            <w:tcW w:w="43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Purchased as Part of</w:t>
            </w:r>
          </w:p>
        </w:tc>
        <w:tc>
          <w:tcPr>
            <w:tcW w:w="15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Be Purchased</w:t>
            </w:r>
          </w:p>
        </w:tc>
        <w:tc>
          <w:tcPr>
            <w:tcW w:w="0" w:type="dxa"/>
            <w:vAlign w:val="bottom"/>
          </w:tcPr>
          <w:p>
            <w:pPr>
              <w:spacing w:after="0"/>
              <w:rPr>
                <w:sz w:val="1"/>
                <w:szCs w:val="1"/>
                <w:color w:val="auto"/>
              </w:rPr>
            </w:pPr>
          </w:p>
        </w:tc>
      </w:tr>
      <w:tr>
        <w:trPr>
          <w:trHeight w:val="147"/>
        </w:trPr>
        <w:tc>
          <w:tcPr>
            <w:tcW w:w="438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Price Paid</w:t>
            </w:r>
          </w:p>
        </w:tc>
        <w:tc>
          <w:tcPr>
            <w:tcW w:w="17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69"/>
        </w:trPr>
        <w:tc>
          <w:tcPr>
            <w:tcW w:w="43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22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April 1 through 30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69,401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79"/>
              </w:rPr>
              <w:t>n/a</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6"/>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June 1 through 30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16,324</w:t>
            </w:r>
          </w:p>
        </w:tc>
        <w:tc>
          <w:tcPr>
            <w:tcW w:w="12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14.96</w:t>
            </w:r>
          </w:p>
        </w:tc>
        <w:tc>
          <w:tcPr>
            <w:tcW w:w="22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79"/>
              </w:rPr>
              <w:t>n/a</w:t>
            </w:r>
          </w:p>
        </w:tc>
        <w:tc>
          <w:tcPr>
            <w:tcW w:w="15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85,725</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520" w:right="40" w:hanging="513"/>
        <w:spacing w:after="0" w:line="267" w:lineRule="auto"/>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in order to satisfy minimum statutory tax withholding requirements.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Items 3 and 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which added Section 13(r) to the Securities Exchange Act of 1934, as amended (the “Exchange Act”), Kodak hereby incorporates by reference herein Exhibit 99.1 to this report. Exhibit 99.1 includes disclosure publicly filed by an entity that may be considered an “affiliate” (as such term is defined in Rule 12b-2 of the Exchange Act) of Kodak.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9" w:lineRule="exact"/>
        <w:rPr>
          <w:sz w:val="20"/>
          <w:szCs w:val="20"/>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 required as part of this report are listed in the index appearing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c>
          <w:tcPr>
            <w:tcW w:w="20" w:type="dxa"/>
            <w:vAlign w:val="bottom"/>
          </w:tcPr>
          <w:p>
            <w:pPr>
              <w:spacing w:after="0"/>
              <w:rPr>
                <w:sz w:val="19"/>
                <w:szCs w:val="19"/>
                <w:color w:val="auto"/>
              </w:rPr>
            </w:pPr>
          </w:p>
        </w:tc>
      </w:tr>
      <w:tr>
        <w:trPr>
          <w:trHeight w:val="224"/>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ind w:left="1300"/>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454"/>
        </w:trPr>
        <w:tc>
          <w:tcPr>
            <w:tcW w:w="3580" w:type="dxa"/>
            <w:vAlign w:val="bottom"/>
          </w:tcPr>
          <w:p>
            <w:pPr>
              <w:spacing w:after="0"/>
              <w:rPr>
                <w:sz w:val="20"/>
                <w:szCs w:val="20"/>
                <w:color w:val="auto"/>
              </w:rPr>
            </w:pPr>
            <w:r>
              <w:rPr>
                <w:rFonts w:ascii="Arial" w:cs="Arial" w:eastAsia="Arial" w:hAnsi="Arial"/>
                <w:sz w:val="18"/>
                <w:szCs w:val="18"/>
                <w:b w:val="1"/>
                <w:bCs w:val="1"/>
                <w:color w:val="auto"/>
              </w:rPr>
              <w:t>Date: August 9, 2016</w:t>
            </w:r>
          </w:p>
        </w:tc>
        <w:tc>
          <w:tcPr>
            <w:tcW w:w="270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c>
          <w:tcPr>
            <w:tcW w:w="20" w:type="dxa"/>
            <w:vAlign w:val="bottom"/>
          </w:tcPr>
          <w:p>
            <w:pPr>
              <w:spacing w:after="0"/>
              <w:rPr>
                <w:sz w:val="24"/>
                <w:szCs w:val="24"/>
                <w:color w:val="auto"/>
              </w:rPr>
            </w:pPr>
          </w:p>
        </w:tc>
      </w:tr>
      <w:tr>
        <w:trPr>
          <w:trHeight w:val="189"/>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89" w:lineRule="exact"/>
              <w:rPr>
                <w:sz w:val="20"/>
                <w:szCs w:val="20"/>
                <w:color w:val="auto"/>
              </w:rPr>
            </w:pPr>
            <w:r>
              <w:rPr>
                <w:rFonts w:ascii="Arial" w:cs="Arial" w:eastAsia="Arial" w:hAnsi="Arial"/>
                <w:sz w:val="18"/>
                <w:szCs w:val="18"/>
                <w:b w:val="1"/>
                <w:bCs w:val="1"/>
                <w:color w:val="auto"/>
              </w:rPr>
              <w:t>Eric Samuels</w:t>
            </w:r>
          </w:p>
        </w:tc>
        <w:tc>
          <w:tcPr>
            <w:tcW w:w="20" w:type="dxa"/>
            <w:vAlign w:val="bottom"/>
          </w:tcPr>
          <w:p>
            <w:pPr>
              <w:spacing w:after="0"/>
              <w:rPr>
                <w:sz w:val="16"/>
                <w:szCs w:val="16"/>
                <w:color w:val="auto"/>
              </w:rPr>
            </w:pPr>
          </w:p>
        </w:tc>
      </w:tr>
      <w:tr>
        <w:trPr>
          <w:trHeight w:val="213"/>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c>
          <w:tcPr>
            <w:tcW w:w="2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c>
          <w:tcPr>
            <w:tcW w:w="20" w:type="dxa"/>
            <w:vAlign w:val="bottom"/>
          </w:tcPr>
          <w:p>
            <w:pPr>
              <w:spacing w:after="0"/>
              <w:rPr>
                <w:sz w:val="20"/>
                <w:szCs w:val="20"/>
                <w:color w:val="auto"/>
              </w:rPr>
            </w:pPr>
          </w:p>
        </w:tc>
      </w:tr>
      <w:tr>
        <w:trPr>
          <w:trHeight w:val="907"/>
        </w:trPr>
        <w:tc>
          <w:tcPr>
            <w:tcW w:w="3580" w:type="dxa"/>
            <w:vAlign w:val="bottom"/>
          </w:tcPr>
          <w:p>
            <w:pPr>
              <w:spacing w:after="0"/>
              <w:rPr>
                <w:sz w:val="24"/>
                <w:szCs w:val="24"/>
                <w:color w:val="auto"/>
              </w:rPr>
            </w:pPr>
          </w:p>
        </w:tc>
        <w:tc>
          <w:tcPr>
            <w:tcW w:w="2700" w:type="dxa"/>
            <w:vAlign w:val="bottom"/>
          </w:tcPr>
          <w:p>
            <w:pPr>
              <w:jc w:val="right"/>
              <w:ind w:right="331"/>
              <w:spacing w:after="0"/>
              <w:rPr>
                <w:sz w:val="20"/>
                <w:szCs w:val="20"/>
                <w:color w:val="auto"/>
              </w:rPr>
            </w:pPr>
            <w:r>
              <w:rPr>
                <w:rFonts w:ascii="Arial" w:cs="Arial" w:eastAsia="Arial" w:hAnsi="Arial"/>
                <w:sz w:val="18"/>
                <w:szCs w:val="18"/>
                <w:color w:val="auto"/>
              </w:rPr>
              <w:t>[38]</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38" w:name="page39"/>
    <w:bookmarkEnd w:id="38"/>
    <w:tbl>
      <w:tblPr>
        <w:tblLayout w:type="fixed"/>
        <w:tblInd w:w="113" w:type="dxa"/>
        <w:tblCellMar>
          <w:top w:w="0" w:type="dxa"/>
          <w:left w:w="0" w:type="dxa"/>
          <w:bottom w:w="0" w:type="dxa"/>
          <w:right w:w="0" w:type="dxa"/>
        </w:tblCellMar>
      </w:tblPr>
      <w:tr>
        <w:trPr>
          <w:trHeight w:val="213"/>
        </w:trPr>
        <w:tc>
          <w:tcPr>
            <w:tcW w:w="1020" w:type="dxa"/>
            <w:vAlign w:val="bottom"/>
          </w:tcPr>
          <w:p>
            <w:pPr>
              <w:spacing w:after="0"/>
              <w:rPr>
                <w:sz w:val="18"/>
                <w:szCs w:val="18"/>
                <w:color w:val="auto"/>
              </w:rPr>
            </w:pPr>
          </w:p>
        </w:tc>
        <w:tc>
          <w:tcPr>
            <w:tcW w:w="8840" w:type="dxa"/>
            <w:vAlign w:val="bottom"/>
          </w:tcPr>
          <w:p>
            <w:pPr>
              <w:ind w:left="3560"/>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1020" w:type="dxa"/>
            <w:vAlign w:val="bottom"/>
          </w:tcPr>
          <w:p>
            <w:pPr>
              <w:spacing w:after="0"/>
              <w:rPr>
                <w:sz w:val="20"/>
                <w:szCs w:val="20"/>
                <w:color w:val="auto"/>
              </w:rPr>
            </w:pPr>
          </w:p>
        </w:tc>
        <w:tc>
          <w:tcPr>
            <w:tcW w:w="8840" w:type="dxa"/>
            <w:vAlign w:val="bottom"/>
          </w:tcPr>
          <w:p>
            <w:pPr>
              <w:ind w:left="3920"/>
              <w:spacing w:after="0"/>
              <w:rPr>
                <w:sz w:val="20"/>
                <w:szCs w:val="20"/>
                <w:color w:val="auto"/>
              </w:rPr>
            </w:pPr>
            <w:r>
              <w:rPr>
                <w:rFonts w:ascii="Arial" w:cs="Arial" w:eastAsia="Arial" w:hAnsi="Arial"/>
                <w:sz w:val="18"/>
                <w:szCs w:val="18"/>
                <w:b w:val="1"/>
                <w:bCs w:val="1"/>
                <w:color w:val="auto"/>
              </w:rPr>
              <w:t>Index to Exhibits</w:t>
            </w:r>
          </w:p>
        </w:tc>
      </w:tr>
      <w:tr>
        <w:trPr>
          <w:trHeight w:val="656"/>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8840" w:type="dxa"/>
            <w:vAlign w:val="bottom"/>
          </w:tcPr>
          <w:p>
            <w:pPr>
              <w:ind w:left="220"/>
              <w:spacing w:after="0"/>
              <w:rPr>
                <w:sz w:val="20"/>
                <w:szCs w:val="20"/>
                <w:color w:val="auto"/>
              </w:rPr>
            </w:pPr>
            <w:r>
              <w:rPr>
                <w:rFonts w:ascii="Arial" w:cs="Arial" w:eastAsia="Arial" w:hAnsi="Arial"/>
                <w:sz w:val="18"/>
                <w:szCs w:val="18"/>
                <w:color w:val="auto"/>
                <w:w w:val="93"/>
              </w:rPr>
              <w:t>Amended and Restated Credit Agreement, dated May 26, 2016, among Eastman Kodak Company as Borrower, the</w:t>
            </w:r>
          </w:p>
        </w:tc>
      </w:tr>
      <w:tr>
        <w:trPr>
          <w:trHeight w:val="213"/>
        </w:trPr>
        <w:tc>
          <w:tcPr>
            <w:tcW w:w="1020" w:type="dxa"/>
            <w:vAlign w:val="bottom"/>
          </w:tcPr>
          <w:p>
            <w:pPr>
              <w:spacing w:after="0"/>
              <w:rPr>
                <w:sz w:val="18"/>
                <w:szCs w:val="18"/>
                <w:color w:val="auto"/>
              </w:rPr>
            </w:pPr>
          </w:p>
        </w:tc>
        <w:tc>
          <w:tcPr>
            <w:tcW w:w="8840" w:type="dxa"/>
            <w:vAlign w:val="bottom"/>
          </w:tcPr>
          <w:p>
            <w:pPr>
              <w:ind w:left="220"/>
              <w:spacing w:after="0"/>
              <w:rPr>
                <w:sz w:val="20"/>
                <w:szCs w:val="20"/>
                <w:color w:val="auto"/>
              </w:rPr>
            </w:pPr>
            <w:r>
              <w:rPr>
                <w:rFonts w:ascii="Arial" w:cs="Arial" w:eastAsia="Arial" w:hAnsi="Arial"/>
                <w:sz w:val="18"/>
                <w:szCs w:val="18"/>
                <w:color w:val="auto"/>
                <w:w w:val="88"/>
              </w:rPr>
              <w:t>guarantors named therein as Guarantors, the lenders named therein as Lenders, Bank of America, N.A. as Administrative</w:t>
            </w:r>
          </w:p>
        </w:tc>
      </w:tr>
      <w:tr>
        <w:trPr>
          <w:trHeight w:val="213"/>
        </w:trPr>
        <w:tc>
          <w:tcPr>
            <w:tcW w:w="1020" w:type="dxa"/>
            <w:vAlign w:val="bottom"/>
          </w:tcPr>
          <w:p>
            <w:pPr>
              <w:spacing w:after="0"/>
              <w:rPr>
                <w:sz w:val="18"/>
                <w:szCs w:val="18"/>
                <w:color w:val="auto"/>
              </w:rPr>
            </w:pPr>
          </w:p>
        </w:tc>
        <w:tc>
          <w:tcPr>
            <w:tcW w:w="8840" w:type="dxa"/>
            <w:vAlign w:val="bottom"/>
          </w:tcPr>
          <w:p>
            <w:pPr>
              <w:ind w:left="220"/>
              <w:spacing w:after="0"/>
              <w:rPr>
                <w:sz w:val="20"/>
                <w:szCs w:val="20"/>
                <w:color w:val="auto"/>
              </w:rPr>
            </w:pPr>
            <w:r>
              <w:rPr>
                <w:rFonts w:ascii="Arial" w:cs="Arial" w:eastAsia="Arial" w:hAnsi="Arial"/>
                <w:sz w:val="18"/>
                <w:szCs w:val="18"/>
                <w:color w:val="auto"/>
                <w:w w:val="91"/>
              </w:rPr>
              <w:t>and Collateral Agent, and Bank of America, N.A. and J.P. Morgan Chase Bank, N.A. as Joint Lead Arrangers and Joint</w:t>
            </w:r>
          </w:p>
        </w:tc>
      </w:tr>
      <w:tr>
        <w:trPr>
          <w:trHeight w:val="224"/>
        </w:trPr>
        <w:tc>
          <w:tcPr>
            <w:tcW w:w="1020" w:type="dxa"/>
            <w:vAlign w:val="bottom"/>
          </w:tcPr>
          <w:p>
            <w:pPr>
              <w:spacing w:after="0"/>
              <w:rPr>
                <w:sz w:val="19"/>
                <w:szCs w:val="19"/>
                <w:color w:val="auto"/>
              </w:rPr>
            </w:pPr>
          </w:p>
        </w:tc>
        <w:tc>
          <w:tcPr>
            <w:tcW w:w="8840" w:type="dxa"/>
            <w:vAlign w:val="bottom"/>
          </w:tcPr>
          <w:p>
            <w:pPr>
              <w:ind w:left="220"/>
              <w:spacing w:after="0"/>
              <w:rPr>
                <w:sz w:val="20"/>
                <w:szCs w:val="20"/>
                <w:color w:val="auto"/>
              </w:rPr>
            </w:pPr>
            <w:r>
              <w:rPr>
                <w:rFonts w:ascii="Arial" w:cs="Arial" w:eastAsia="Arial" w:hAnsi="Arial"/>
                <w:sz w:val="18"/>
                <w:szCs w:val="18"/>
                <w:color w:val="auto"/>
              </w:rPr>
              <w:t>Bookrunners, filed herewith.</w:t>
            </w:r>
          </w:p>
        </w:tc>
      </w:tr>
      <w:tr>
        <w:trPr>
          <w:trHeight w:val="442"/>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8840" w:type="dxa"/>
            <w:vAlign w:val="bottom"/>
          </w:tcPr>
          <w:p>
            <w:pPr>
              <w:ind w:left="220"/>
              <w:spacing w:after="0"/>
              <w:rPr>
                <w:sz w:val="20"/>
                <w:szCs w:val="20"/>
                <w:color w:val="auto"/>
              </w:rPr>
            </w:pPr>
            <w:r>
              <w:rPr>
                <w:rFonts w:ascii="Arial" w:cs="Arial" w:eastAsia="Arial" w:hAnsi="Arial"/>
                <w:sz w:val="18"/>
                <w:szCs w:val="18"/>
                <w:color w:val="auto"/>
                <w:w w:val="89"/>
              </w:rPr>
              <w:t>Amended and Restated Security Agreement, dated May 26, 2016, from the grantors referred therein as Grantors to Bank</w:t>
            </w:r>
          </w:p>
        </w:tc>
      </w:tr>
      <w:tr>
        <w:trPr>
          <w:trHeight w:val="224"/>
        </w:trPr>
        <w:tc>
          <w:tcPr>
            <w:tcW w:w="1020" w:type="dxa"/>
            <w:vAlign w:val="bottom"/>
          </w:tcPr>
          <w:p>
            <w:pPr>
              <w:spacing w:after="0"/>
              <w:rPr>
                <w:sz w:val="19"/>
                <w:szCs w:val="19"/>
                <w:color w:val="auto"/>
              </w:rPr>
            </w:pPr>
          </w:p>
        </w:tc>
        <w:tc>
          <w:tcPr>
            <w:tcW w:w="8840" w:type="dxa"/>
            <w:vAlign w:val="bottom"/>
          </w:tcPr>
          <w:p>
            <w:pPr>
              <w:ind w:left="220"/>
              <w:spacing w:after="0"/>
              <w:rPr>
                <w:sz w:val="20"/>
                <w:szCs w:val="20"/>
                <w:color w:val="auto"/>
              </w:rPr>
            </w:pPr>
            <w:r>
              <w:rPr>
                <w:rFonts w:ascii="Arial" w:cs="Arial" w:eastAsia="Arial" w:hAnsi="Arial"/>
                <w:sz w:val="18"/>
                <w:szCs w:val="18"/>
                <w:color w:val="auto"/>
              </w:rPr>
              <w:t>of America, N.A. as Agent, filed herewith.</w:t>
            </w:r>
          </w:p>
        </w:tc>
      </w:tr>
      <w:tr>
        <w:trPr>
          <w:trHeight w:val="442"/>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8840" w:type="dxa"/>
            <w:vAlign w:val="bottom"/>
          </w:tcPr>
          <w:p>
            <w:pPr>
              <w:ind w:left="220"/>
              <w:spacing w:after="0"/>
              <w:rPr>
                <w:sz w:val="20"/>
                <w:szCs w:val="20"/>
                <w:color w:val="auto"/>
              </w:rPr>
            </w:pPr>
            <w:r>
              <w:rPr>
                <w:rFonts w:ascii="Arial" w:cs="Arial" w:eastAsia="Arial" w:hAnsi="Arial"/>
                <w:sz w:val="18"/>
                <w:szCs w:val="18"/>
                <w:color w:val="auto"/>
                <w:w w:val="96"/>
              </w:rPr>
              <w:t>Employment Agreement between Eastman Kodak Company and David E. Bullwinkle, dated June 20, 2016, filed</w:t>
            </w:r>
          </w:p>
        </w:tc>
      </w:tr>
      <w:tr>
        <w:trPr>
          <w:trHeight w:val="224"/>
        </w:trPr>
        <w:tc>
          <w:tcPr>
            <w:tcW w:w="1020" w:type="dxa"/>
            <w:vAlign w:val="bottom"/>
          </w:tcPr>
          <w:p>
            <w:pPr>
              <w:spacing w:after="0"/>
              <w:rPr>
                <w:sz w:val="19"/>
                <w:szCs w:val="19"/>
                <w:color w:val="auto"/>
              </w:rPr>
            </w:pPr>
          </w:p>
        </w:tc>
        <w:tc>
          <w:tcPr>
            <w:tcW w:w="8840" w:type="dxa"/>
            <w:vAlign w:val="bottom"/>
          </w:tcPr>
          <w:p>
            <w:pPr>
              <w:ind w:left="220"/>
              <w:spacing w:after="0"/>
              <w:rPr>
                <w:sz w:val="20"/>
                <w:szCs w:val="20"/>
                <w:color w:val="auto"/>
              </w:rPr>
            </w:pPr>
            <w:r>
              <w:rPr>
                <w:rFonts w:ascii="Arial" w:cs="Arial" w:eastAsia="Arial" w:hAnsi="Arial"/>
                <w:sz w:val="18"/>
                <w:szCs w:val="18"/>
                <w:color w:val="auto"/>
              </w:rPr>
              <w:t>herewith.</w:t>
            </w: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8840" w:type="dxa"/>
            <w:vAlign w:val="bottom"/>
          </w:tcPr>
          <w:p>
            <w:pPr>
              <w:ind w:left="220"/>
              <w:spacing w:after="0"/>
              <w:rPr>
                <w:sz w:val="20"/>
                <w:szCs w:val="20"/>
                <w:color w:val="auto"/>
              </w:rPr>
            </w:pPr>
            <w:r>
              <w:rPr>
                <w:rFonts w:ascii="Arial" w:cs="Arial" w:eastAsia="Arial" w:hAnsi="Arial"/>
                <w:sz w:val="18"/>
                <w:szCs w:val="18"/>
                <w:color w:val="auto"/>
              </w:rPr>
              <w:t>Retention Letter between Eastman Kodak Sàrl and Philip Cullimore, dated May 24, 2016, filed herewith.</w:t>
            </w:r>
          </w:p>
        </w:tc>
      </w:tr>
      <w:tr>
        <w:trPr>
          <w:trHeight w:val="456"/>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8840" w:type="dxa"/>
            <w:vAlign w:val="bottom"/>
          </w:tcPr>
          <w:p>
            <w:pPr>
              <w:ind w:left="220"/>
              <w:spacing w:after="0"/>
              <w:rPr>
                <w:sz w:val="20"/>
                <w:szCs w:val="20"/>
                <w:color w:val="auto"/>
              </w:rPr>
            </w:pPr>
            <w:r>
              <w:rPr>
                <w:rFonts w:ascii="Arial" w:cs="Arial" w:eastAsia="Arial" w:hAnsi="Arial"/>
                <w:sz w:val="18"/>
                <w:szCs w:val="18"/>
                <w:color w:val="auto"/>
                <w:w w:val="89"/>
              </w:rPr>
              <w:t>Eastman Kodak Company Administrative Guide for the 2016 Performance Period under the Executive Compensation for</w:t>
            </w:r>
          </w:p>
        </w:tc>
      </w:tr>
      <w:tr>
        <w:trPr>
          <w:trHeight w:val="224"/>
        </w:trPr>
        <w:tc>
          <w:tcPr>
            <w:tcW w:w="1020" w:type="dxa"/>
            <w:vAlign w:val="bottom"/>
          </w:tcPr>
          <w:p>
            <w:pPr>
              <w:spacing w:after="0"/>
              <w:rPr>
                <w:sz w:val="19"/>
                <w:szCs w:val="19"/>
                <w:color w:val="auto"/>
              </w:rPr>
            </w:pPr>
          </w:p>
        </w:tc>
        <w:tc>
          <w:tcPr>
            <w:tcW w:w="8840" w:type="dxa"/>
            <w:vAlign w:val="bottom"/>
          </w:tcPr>
          <w:p>
            <w:pPr>
              <w:ind w:left="220"/>
              <w:spacing w:after="0"/>
              <w:rPr>
                <w:sz w:val="20"/>
                <w:szCs w:val="20"/>
                <w:color w:val="auto"/>
              </w:rPr>
            </w:pPr>
            <w:r>
              <w:rPr>
                <w:rFonts w:ascii="Arial" w:cs="Arial" w:eastAsia="Arial" w:hAnsi="Arial"/>
                <w:sz w:val="18"/>
                <w:szCs w:val="18"/>
                <w:color w:val="auto"/>
              </w:rPr>
              <w:t>Excellence and Leadership Plan, filed herewith.</w:t>
            </w: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8840" w:type="dxa"/>
            <w:vAlign w:val="bottom"/>
          </w:tcPr>
          <w:p>
            <w:pPr>
              <w:ind w:left="220"/>
              <w:spacing w:after="0"/>
              <w:rPr>
                <w:sz w:val="20"/>
                <w:szCs w:val="20"/>
                <w:color w:val="auto"/>
              </w:rPr>
            </w:pPr>
            <w:r>
              <w:rPr>
                <w:rFonts w:ascii="Arial" w:cs="Arial" w:eastAsia="Arial" w:hAnsi="Arial"/>
                <w:sz w:val="18"/>
                <w:szCs w:val="18"/>
                <w:color w:val="auto"/>
              </w:rPr>
              <w:t>Certification signed by Jeffrey J. Clarke, filed herewith.</w:t>
            </w:r>
          </w:p>
        </w:tc>
      </w:tr>
      <w:tr>
        <w:trPr>
          <w:trHeight w:val="467"/>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8840" w:type="dxa"/>
            <w:vAlign w:val="bottom"/>
          </w:tcPr>
          <w:p>
            <w:pPr>
              <w:ind w:left="220"/>
              <w:spacing w:after="0"/>
              <w:rPr>
                <w:sz w:val="20"/>
                <w:szCs w:val="20"/>
                <w:color w:val="auto"/>
              </w:rPr>
            </w:pPr>
            <w:r>
              <w:rPr>
                <w:rFonts w:ascii="Arial" w:cs="Arial" w:eastAsia="Arial" w:hAnsi="Arial"/>
                <w:sz w:val="18"/>
                <w:szCs w:val="18"/>
                <w:color w:val="auto"/>
              </w:rPr>
              <w:t>Certification signed by David E. Bullwinkle, filed herewith.</w:t>
            </w:r>
          </w:p>
        </w:tc>
      </w:tr>
      <w:tr>
        <w:trPr>
          <w:trHeight w:val="456"/>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8840" w:type="dxa"/>
            <w:vAlign w:val="bottom"/>
          </w:tcPr>
          <w:p>
            <w:pPr>
              <w:ind w:left="22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w:t>
            </w:r>
          </w:p>
        </w:tc>
      </w:tr>
      <w:tr>
        <w:trPr>
          <w:trHeight w:val="224"/>
        </w:trPr>
        <w:tc>
          <w:tcPr>
            <w:tcW w:w="1020" w:type="dxa"/>
            <w:vAlign w:val="bottom"/>
          </w:tcPr>
          <w:p>
            <w:pPr>
              <w:spacing w:after="0"/>
              <w:rPr>
                <w:sz w:val="19"/>
                <w:szCs w:val="19"/>
                <w:color w:val="auto"/>
              </w:rPr>
            </w:pPr>
          </w:p>
        </w:tc>
        <w:tc>
          <w:tcPr>
            <w:tcW w:w="8840" w:type="dxa"/>
            <w:vAlign w:val="bottom"/>
          </w:tcPr>
          <w:p>
            <w:pPr>
              <w:ind w:left="220"/>
              <w:spacing w:after="0"/>
              <w:rPr>
                <w:sz w:val="20"/>
                <w:szCs w:val="20"/>
                <w:color w:val="auto"/>
              </w:rPr>
            </w:pPr>
            <w:r>
              <w:rPr>
                <w:rFonts w:ascii="Arial" w:cs="Arial" w:eastAsia="Arial" w:hAnsi="Arial"/>
                <w:sz w:val="18"/>
                <w:szCs w:val="18"/>
                <w:color w:val="auto"/>
              </w:rPr>
              <w:t>2002, signed by Jeffrey J. Clarke, filed herewith.</w:t>
            </w:r>
          </w:p>
        </w:tc>
      </w:tr>
      <w:tr>
        <w:trPr>
          <w:trHeight w:val="469"/>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8840" w:type="dxa"/>
            <w:vAlign w:val="bottom"/>
          </w:tcPr>
          <w:p>
            <w:pPr>
              <w:ind w:left="220"/>
              <w:spacing w:after="0"/>
              <w:rPr>
                <w:sz w:val="20"/>
                <w:szCs w:val="20"/>
                <w:color w:val="auto"/>
              </w:rPr>
            </w:pPr>
            <w:r>
              <w:rPr>
                <w:rFonts w:ascii="Arial" w:cs="Arial" w:eastAsia="Arial" w:hAnsi="Arial"/>
                <w:sz w:val="18"/>
                <w:szCs w:val="18"/>
                <w:color w:val="auto"/>
                <w:w w:val="89"/>
              </w:rPr>
              <w:t>Certification Pursuant to 18 U.S.C. Section 1350, as Adopted Pursuant to Section 906 of the Sarbanes-Oxley Act of 2002</w:t>
            </w:r>
          </w:p>
        </w:tc>
      </w:tr>
      <w:tr>
        <w:trPr>
          <w:trHeight w:val="224"/>
        </w:trPr>
        <w:tc>
          <w:tcPr>
            <w:tcW w:w="1020" w:type="dxa"/>
            <w:vAlign w:val="bottom"/>
          </w:tcPr>
          <w:p>
            <w:pPr>
              <w:spacing w:after="0"/>
              <w:rPr>
                <w:sz w:val="19"/>
                <w:szCs w:val="19"/>
                <w:color w:val="auto"/>
              </w:rPr>
            </w:pPr>
          </w:p>
        </w:tc>
        <w:tc>
          <w:tcPr>
            <w:tcW w:w="8840" w:type="dxa"/>
            <w:vAlign w:val="bottom"/>
          </w:tcPr>
          <w:p>
            <w:pPr>
              <w:ind w:left="220"/>
              <w:spacing w:after="0"/>
              <w:rPr>
                <w:sz w:val="20"/>
                <w:szCs w:val="20"/>
                <w:color w:val="auto"/>
              </w:rPr>
            </w:pPr>
            <w:r>
              <w:rPr>
                <w:rFonts w:ascii="Arial" w:cs="Arial" w:eastAsia="Arial" w:hAnsi="Arial"/>
                <w:sz w:val="18"/>
                <w:szCs w:val="18"/>
                <w:color w:val="auto"/>
              </w:rPr>
              <w:t>signed by David E. Bullwinkle, filed herewith.</w:t>
            </w:r>
          </w:p>
        </w:tc>
      </w:tr>
      <w:tr>
        <w:trPr>
          <w:trHeight w:val="480"/>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8840" w:type="dxa"/>
            <w:vAlign w:val="bottom"/>
          </w:tcPr>
          <w:p>
            <w:pPr>
              <w:ind w:left="220"/>
              <w:spacing w:after="0"/>
              <w:rPr>
                <w:sz w:val="20"/>
                <w:szCs w:val="20"/>
                <w:color w:val="auto"/>
              </w:rPr>
            </w:pPr>
            <w:r>
              <w:rPr>
                <w:rFonts w:ascii="Arial" w:cs="Arial" w:eastAsia="Arial" w:hAnsi="Arial"/>
                <w:sz w:val="18"/>
                <w:szCs w:val="18"/>
                <w:color w:val="auto"/>
              </w:rPr>
              <w:t>Section 13(r) Disclosure, filed herewith.</w:t>
            </w: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88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560"/>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88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467"/>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88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467"/>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88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467"/>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8840" w:type="dxa"/>
            <w:vAlign w:val="bottom"/>
          </w:tcPr>
          <w:p>
            <w:pPr>
              <w:ind w:left="220"/>
              <w:spacing w:after="0"/>
              <w:rPr>
                <w:sz w:val="20"/>
                <w:szCs w:val="20"/>
                <w:color w:val="auto"/>
              </w:rPr>
            </w:pPr>
            <w:r>
              <w:rPr>
                <w:rFonts w:ascii="Arial" w:cs="Arial" w:eastAsia="Arial" w:hAnsi="Arial"/>
                <w:sz w:val="18"/>
                <w:szCs w:val="18"/>
                <w:color w:val="auto"/>
              </w:rPr>
              <w:t>XBRL Taxonomy Extension Schema Linkbase.</w:t>
            </w:r>
          </w:p>
        </w:tc>
      </w:tr>
      <w:tr>
        <w:trPr>
          <w:trHeight w:val="467"/>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88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16" w:lineRule="exact"/>
        <w:rPr>
          <w:sz w:val="20"/>
          <w:szCs w:val="20"/>
          <w:color w:val="auto"/>
        </w:rPr>
      </w:pPr>
    </w:p>
    <w:p>
      <w:pPr>
        <w:ind w:left="773" w:hanging="773"/>
        <w:spacing w:after="0"/>
        <w:tabs>
          <w:tab w:leader="none" w:pos="7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46" w:lineRule="exact"/>
        <w:rPr>
          <w:sz w:val="20"/>
          <w:szCs w:val="20"/>
          <w:color w:val="auto"/>
        </w:rPr>
      </w:pPr>
    </w:p>
    <w:p>
      <w:pPr>
        <w:ind w:left="753" w:hanging="753"/>
        <w:spacing w:after="0" w:line="331" w:lineRule="auto"/>
        <w:tabs>
          <w:tab w:leader="none" w:pos="753"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Eastman Kodak Company requested confidential treatment of certain information contained in this exhibit. Such information was filed separately with the Securities and Exchange Commission pursuant to an application for confidential treatment under 17 C.F.R. §§ 200.80(b)(4) and 240.24b-2.</w:t>
      </w:r>
    </w:p>
    <w:p>
      <w:pPr>
        <w:spacing w:after="0" w:line="373"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73"/>
          </w:cols>
          <w:pgMar w:left="247" w:top="335" w:right="3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26,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EASTMAN KODAK COMPANY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Borrower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GUARANTORS NAMED HEREIN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Guarantors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LENDERS NAMED HEREIN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Lenders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Administrative and Collateral Agent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Joint Lead Arrangers and Joint Bookrunners</w:t>
      </w:r>
    </w:p>
    <w:p>
      <w:pPr>
        <w:spacing w:after="0" w:line="220" w:lineRule="exact"/>
        <w:rPr>
          <w:sz w:val="20"/>
          <w:szCs w:val="20"/>
          <w:color w:val="auto"/>
        </w:rPr>
      </w:pPr>
    </w:p>
    <w:p>
      <w:pPr>
        <w:jc w:val="both"/>
        <w:ind w:right="60" w:firstLine="7"/>
        <w:spacing w:after="0" w:line="279" w:lineRule="auto"/>
        <w:tabs>
          <w:tab w:leader="none" w:pos="3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has been omitted from public filing pursuant to a request for confidential treatment submitted to the U.S. Securities and Exchange Commission. The omitted information, which has been identified with the symbol “***,” has been filed separately with the U.S.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713740</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7260" w:type="dxa"/>
            <w:vAlign w:val="bottom"/>
          </w:tcPr>
          <w:p>
            <w:pPr>
              <w:ind w:left="276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48"/>
        </w:trPr>
        <w:tc>
          <w:tcPr>
            <w:tcW w:w="20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160" w:type="dxa"/>
            <w:vAlign w:val="bottom"/>
            <w:gridSpan w:val="3"/>
          </w:tcPr>
          <w:p>
            <w:pPr>
              <w:jc w:val="right"/>
              <w:ind w:right="80"/>
              <w:spacing w:after="0"/>
              <w:rPr>
                <w:sz w:val="20"/>
                <w:szCs w:val="20"/>
                <w:color w:val="auto"/>
              </w:rPr>
            </w:pPr>
            <w:r>
              <w:rPr>
                <w:rFonts w:ascii="Arial" w:cs="Arial" w:eastAsia="Arial" w:hAnsi="Arial"/>
                <w:sz w:val="14"/>
                <w:szCs w:val="14"/>
                <w:color w:val="auto"/>
              </w:rPr>
              <w:t>Page</w:t>
            </w:r>
          </w:p>
        </w:tc>
      </w:tr>
      <w:tr>
        <w:trPr>
          <w:trHeight w:val="325"/>
        </w:trPr>
        <w:tc>
          <w:tcPr>
            <w:tcW w:w="9260" w:type="dxa"/>
            <w:vAlign w:val="bottom"/>
            <w:gridSpan w:val="2"/>
          </w:tcPr>
          <w:p>
            <w:pPr>
              <w:spacing w:after="0"/>
              <w:rPr>
                <w:sz w:val="20"/>
                <w:szCs w:val="20"/>
                <w:color w:val="auto"/>
              </w:rPr>
            </w:pPr>
            <w:r>
              <w:rPr>
                <w:rFonts w:ascii="Arial" w:cs="Arial" w:eastAsia="Arial" w:hAnsi="Arial"/>
                <w:sz w:val="18"/>
                <w:szCs w:val="18"/>
                <w:color w:val="010000"/>
              </w:rPr>
              <w:t xml:space="preserve">ARTICLE I </w:t>
            </w:r>
            <w:r>
              <w:rPr>
                <w:rFonts w:ascii="Arial" w:cs="Arial" w:eastAsia="Arial" w:hAnsi="Arial"/>
                <w:sz w:val="18"/>
                <w:szCs w:val="18"/>
                <w:color w:val="000000"/>
              </w:rPr>
              <w:t>DEFINITIONS AND ACCOUNTING TERMS</w:t>
            </w:r>
          </w:p>
        </w:tc>
        <w:tc>
          <w:tcPr>
            <w:tcW w:w="1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22"/>
        </w:trPr>
        <w:tc>
          <w:tcPr>
            <w:tcW w:w="2000" w:type="dxa"/>
            <w:vAlign w:val="bottom"/>
          </w:tcPr>
          <w:p>
            <w:pPr>
              <w:ind w:left="440"/>
              <w:spacing w:after="0"/>
              <w:rPr>
                <w:sz w:val="20"/>
                <w:szCs w:val="20"/>
                <w:color w:val="auto"/>
              </w:rPr>
            </w:pPr>
            <w:r>
              <w:rPr>
                <w:rFonts w:ascii="Arial" w:cs="Arial" w:eastAsia="Arial" w:hAnsi="Arial"/>
                <w:sz w:val="18"/>
                <w:szCs w:val="18"/>
                <w:color w:val="010000"/>
              </w:rPr>
              <w:t>SECTION 1.01.</w:t>
            </w:r>
          </w:p>
        </w:tc>
        <w:tc>
          <w:tcPr>
            <w:tcW w:w="7260" w:type="dxa"/>
            <w:vAlign w:val="bottom"/>
          </w:tcPr>
          <w:p>
            <w:pPr>
              <w:ind w:left="400"/>
              <w:spacing w:after="0"/>
              <w:rPr>
                <w:sz w:val="20"/>
                <w:szCs w:val="20"/>
                <w:color w:val="auto"/>
              </w:rPr>
            </w:pPr>
            <w:r>
              <w:rPr>
                <w:rFonts w:ascii="Arial" w:cs="Arial" w:eastAsia="Arial" w:hAnsi="Arial"/>
                <w:sz w:val="18"/>
                <w:szCs w:val="18"/>
                <w:color w:val="auto"/>
              </w:rPr>
              <w:t>Certain Defined Terms</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1.02.</w:t>
            </w:r>
          </w:p>
        </w:tc>
        <w:tc>
          <w:tcPr>
            <w:tcW w:w="7260" w:type="dxa"/>
            <w:vAlign w:val="bottom"/>
          </w:tcPr>
          <w:p>
            <w:pPr>
              <w:ind w:left="400"/>
              <w:spacing w:after="0"/>
              <w:rPr>
                <w:sz w:val="20"/>
                <w:szCs w:val="20"/>
                <w:color w:val="auto"/>
              </w:rPr>
            </w:pPr>
            <w:r>
              <w:rPr>
                <w:rFonts w:ascii="Arial" w:cs="Arial" w:eastAsia="Arial" w:hAnsi="Arial"/>
                <w:sz w:val="18"/>
                <w:szCs w:val="18"/>
                <w:color w:val="auto"/>
              </w:rPr>
              <w:t>Computation of Time Periods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36</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1.03.</w:t>
            </w:r>
          </w:p>
        </w:tc>
        <w:tc>
          <w:tcPr>
            <w:tcW w:w="7260" w:type="dxa"/>
            <w:vAlign w:val="bottom"/>
          </w:tcPr>
          <w:p>
            <w:pPr>
              <w:ind w:left="400"/>
              <w:spacing w:after="0"/>
              <w:rPr>
                <w:sz w:val="20"/>
                <w:szCs w:val="20"/>
                <w:color w:val="auto"/>
              </w:rPr>
            </w:pPr>
            <w:r>
              <w:rPr>
                <w:rFonts w:ascii="Arial" w:cs="Arial" w:eastAsia="Arial" w:hAnsi="Arial"/>
                <w:sz w:val="18"/>
                <w:szCs w:val="18"/>
                <w:color w:val="auto"/>
              </w:rPr>
              <w:t>Accounting Terms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1.04.</w:t>
            </w:r>
          </w:p>
        </w:tc>
        <w:tc>
          <w:tcPr>
            <w:tcW w:w="7260" w:type="dxa"/>
            <w:vAlign w:val="bottom"/>
          </w:tcPr>
          <w:p>
            <w:pPr>
              <w:ind w:left="400"/>
              <w:spacing w:after="0"/>
              <w:rPr>
                <w:sz w:val="20"/>
                <w:szCs w:val="20"/>
                <w:color w:val="auto"/>
              </w:rPr>
            </w:pPr>
            <w:r>
              <w:rPr>
                <w:rFonts w:ascii="Arial" w:cs="Arial" w:eastAsia="Arial" w:hAnsi="Arial"/>
                <w:sz w:val="18"/>
                <w:szCs w:val="18"/>
                <w:color w:val="auto"/>
              </w:rPr>
              <w:t>Reserves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1.05.</w:t>
            </w:r>
          </w:p>
        </w:tc>
        <w:tc>
          <w:tcPr>
            <w:tcW w:w="7260" w:type="dxa"/>
            <w:vAlign w:val="bottom"/>
          </w:tcPr>
          <w:p>
            <w:pPr>
              <w:ind w:left="400"/>
              <w:spacing w:after="0"/>
              <w:rPr>
                <w:sz w:val="20"/>
                <w:szCs w:val="20"/>
                <w:color w:val="auto"/>
              </w:rPr>
            </w:pPr>
            <w:r>
              <w:rPr>
                <w:rFonts w:ascii="Arial" w:cs="Arial" w:eastAsia="Arial" w:hAnsi="Arial"/>
                <w:sz w:val="18"/>
                <w:szCs w:val="18"/>
                <w:color w:val="auto"/>
              </w:rPr>
              <w:t>Letter of Credit Amount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1.06.</w:t>
            </w:r>
          </w:p>
        </w:tc>
        <w:tc>
          <w:tcPr>
            <w:tcW w:w="7260" w:type="dxa"/>
            <w:vAlign w:val="bottom"/>
          </w:tcPr>
          <w:p>
            <w:pPr>
              <w:ind w:left="400"/>
              <w:spacing w:after="0"/>
              <w:rPr>
                <w:sz w:val="20"/>
                <w:szCs w:val="20"/>
                <w:color w:val="auto"/>
              </w:rPr>
            </w:pPr>
            <w:r>
              <w:rPr>
                <w:rFonts w:ascii="Arial" w:cs="Arial" w:eastAsia="Arial" w:hAnsi="Arial"/>
                <w:sz w:val="18"/>
                <w:szCs w:val="18"/>
                <w:color w:val="auto"/>
              </w:rPr>
              <w:t>Currency Equivalents Generally</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1.07.</w:t>
            </w:r>
          </w:p>
        </w:tc>
        <w:tc>
          <w:tcPr>
            <w:tcW w:w="7260" w:type="dxa"/>
            <w:vAlign w:val="bottom"/>
          </w:tcPr>
          <w:p>
            <w:pPr>
              <w:ind w:left="400"/>
              <w:spacing w:after="0"/>
              <w:rPr>
                <w:sz w:val="20"/>
                <w:szCs w:val="20"/>
                <w:color w:val="auto"/>
              </w:rPr>
            </w:pPr>
            <w:r>
              <w:rPr>
                <w:rFonts w:ascii="Arial" w:cs="Arial" w:eastAsia="Arial" w:hAnsi="Arial"/>
                <w:sz w:val="18"/>
                <w:szCs w:val="18"/>
                <w:color w:val="auto"/>
              </w:rPr>
              <w:t>Pro Forma Calculations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24"/>
        </w:trPr>
        <w:tc>
          <w:tcPr>
            <w:tcW w:w="9260" w:type="dxa"/>
            <w:vAlign w:val="bottom"/>
            <w:gridSpan w:val="2"/>
          </w:tcPr>
          <w:p>
            <w:pPr>
              <w:spacing w:after="0"/>
              <w:rPr>
                <w:sz w:val="20"/>
                <w:szCs w:val="20"/>
                <w:color w:val="auto"/>
              </w:rPr>
            </w:pPr>
            <w:r>
              <w:rPr>
                <w:rFonts w:ascii="Arial" w:cs="Arial" w:eastAsia="Arial" w:hAnsi="Arial"/>
                <w:sz w:val="18"/>
                <w:szCs w:val="18"/>
                <w:color w:val="010000"/>
              </w:rPr>
              <w:t xml:space="preserve">ARTICLE II </w:t>
            </w:r>
            <w:r>
              <w:rPr>
                <w:rFonts w:ascii="Arial" w:cs="Arial" w:eastAsia="Arial" w:hAnsi="Arial"/>
                <w:sz w:val="18"/>
                <w:szCs w:val="18"/>
                <w:color w:val="000000"/>
              </w:rPr>
              <w:t>AMOUNTS AND TERMS OF THE REVOLVING LOANS AND LETTERS OF CREDIT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322"/>
        </w:trPr>
        <w:tc>
          <w:tcPr>
            <w:tcW w:w="2000" w:type="dxa"/>
            <w:vAlign w:val="bottom"/>
          </w:tcPr>
          <w:p>
            <w:pPr>
              <w:ind w:left="440"/>
              <w:spacing w:after="0"/>
              <w:rPr>
                <w:sz w:val="20"/>
                <w:szCs w:val="20"/>
                <w:color w:val="auto"/>
              </w:rPr>
            </w:pPr>
            <w:r>
              <w:rPr>
                <w:rFonts w:ascii="Arial" w:cs="Arial" w:eastAsia="Arial" w:hAnsi="Arial"/>
                <w:sz w:val="18"/>
                <w:szCs w:val="18"/>
                <w:color w:val="010000"/>
              </w:rPr>
              <w:t>SECTION 2.01.</w:t>
            </w:r>
          </w:p>
        </w:tc>
        <w:tc>
          <w:tcPr>
            <w:tcW w:w="7260" w:type="dxa"/>
            <w:vAlign w:val="bottom"/>
          </w:tcPr>
          <w:p>
            <w:pPr>
              <w:ind w:left="400"/>
              <w:spacing w:after="0"/>
              <w:rPr>
                <w:sz w:val="20"/>
                <w:szCs w:val="20"/>
                <w:color w:val="auto"/>
              </w:rPr>
            </w:pPr>
            <w:r>
              <w:rPr>
                <w:rFonts w:ascii="Arial" w:cs="Arial" w:eastAsia="Arial" w:hAnsi="Arial"/>
                <w:sz w:val="18"/>
                <w:szCs w:val="18"/>
                <w:color w:val="auto"/>
              </w:rPr>
              <w:t>The Revolving Loans and Letters of Credit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2.02.</w:t>
            </w:r>
          </w:p>
        </w:tc>
        <w:tc>
          <w:tcPr>
            <w:tcW w:w="7260" w:type="dxa"/>
            <w:vAlign w:val="bottom"/>
          </w:tcPr>
          <w:p>
            <w:pPr>
              <w:ind w:left="400"/>
              <w:spacing w:after="0"/>
              <w:rPr>
                <w:sz w:val="20"/>
                <w:szCs w:val="20"/>
                <w:color w:val="auto"/>
              </w:rPr>
            </w:pPr>
            <w:r>
              <w:rPr>
                <w:rFonts w:ascii="Arial" w:cs="Arial" w:eastAsia="Arial" w:hAnsi="Arial"/>
                <w:sz w:val="18"/>
                <w:szCs w:val="18"/>
                <w:color w:val="auto"/>
              </w:rPr>
              <w:t>Making the Revolving Loans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2.03.</w:t>
            </w:r>
          </w:p>
        </w:tc>
        <w:tc>
          <w:tcPr>
            <w:tcW w:w="7260" w:type="dxa"/>
            <w:vAlign w:val="bottom"/>
          </w:tcPr>
          <w:p>
            <w:pPr>
              <w:ind w:left="400"/>
              <w:spacing w:after="0"/>
              <w:rPr>
                <w:sz w:val="20"/>
                <w:szCs w:val="20"/>
                <w:color w:val="auto"/>
              </w:rPr>
            </w:pPr>
            <w:r>
              <w:rPr>
                <w:rFonts w:ascii="Arial" w:cs="Arial" w:eastAsia="Arial" w:hAnsi="Arial"/>
                <w:sz w:val="18"/>
                <w:szCs w:val="18"/>
                <w:color w:val="auto"/>
              </w:rPr>
              <w:t>Issuance of and Drawings and Reimbursement Under Letters of Credit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2.04.</w:t>
            </w:r>
          </w:p>
        </w:tc>
        <w:tc>
          <w:tcPr>
            <w:tcW w:w="7260" w:type="dxa"/>
            <w:vAlign w:val="bottom"/>
          </w:tcPr>
          <w:p>
            <w:pPr>
              <w:ind w:left="400"/>
              <w:spacing w:after="0"/>
              <w:rPr>
                <w:sz w:val="20"/>
                <w:szCs w:val="20"/>
                <w:color w:val="auto"/>
              </w:rPr>
            </w:pPr>
            <w:r>
              <w:rPr>
                <w:rFonts w:ascii="Arial" w:cs="Arial" w:eastAsia="Arial" w:hAnsi="Arial"/>
                <w:sz w:val="18"/>
                <w:szCs w:val="18"/>
                <w:color w:val="auto"/>
              </w:rPr>
              <w:t>Fees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2.05.</w:t>
            </w:r>
          </w:p>
        </w:tc>
        <w:tc>
          <w:tcPr>
            <w:tcW w:w="7260" w:type="dxa"/>
            <w:vAlign w:val="bottom"/>
          </w:tcPr>
          <w:p>
            <w:pPr>
              <w:ind w:left="400"/>
              <w:spacing w:after="0"/>
              <w:rPr>
                <w:sz w:val="20"/>
                <w:szCs w:val="20"/>
                <w:color w:val="auto"/>
              </w:rPr>
            </w:pPr>
            <w:r>
              <w:rPr>
                <w:rFonts w:ascii="Arial" w:cs="Arial" w:eastAsia="Arial" w:hAnsi="Arial"/>
                <w:sz w:val="18"/>
                <w:szCs w:val="18"/>
                <w:color w:val="auto"/>
              </w:rPr>
              <w:t>Termination or Reduction of the Commitments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2.06.</w:t>
            </w:r>
          </w:p>
        </w:tc>
        <w:tc>
          <w:tcPr>
            <w:tcW w:w="7260" w:type="dxa"/>
            <w:vAlign w:val="bottom"/>
          </w:tcPr>
          <w:p>
            <w:pPr>
              <w:ind w:left="400"/>
              <w:spacing w:after="0"/>
              <w:rPr>
                <w:sz w:val="20"/>
                <w:szCs w:val="20"/>
                <w:color w:val="auto"/>
              </w:rPr>
            </w:pPr>
            <w:r>
              <w:rPr>
                <w:rFonts w:ascii="Arial" w:cs="Arial" w:eastAsia="Arial" w:hAnsi="Arial"/>
                <w:sz w:val="18"/>
                <w:szCs w:val="18"/>
                <w:color w:val="auto"/>
              </w:rPr>
              <w:t>Letter of Credit Drawings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43</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2.07.</w:t>
            </w:r>
          </w:p>
        </w:tc>
        <w:tc>
          <w:tcPr>
            <w:tcW w:w="7260" w:type="dxa"/>
            <w:vAlign w:val="bottom"/>
          </w:tcPr>
          <w:p>
            <w:pPr>
              <w:ind w:left="400"/>
              <w:spacing w:after="0"/>
              <w:rPr>
                <w:sz w:val="20"/>
                <w:szCs w:val="20"/>
                <w:color w:val="auto"/>
              </w:rPr>
            </w:pPr>
            <w:r>
              <w:rPr>
                <w:rFonts w:ascii="Arial" w:cs="Arial" w:eastAsia="Arial" w:hAnsi="Arial"/>
                <w:sz w:val="18"/>
                <w:szCs w:val="18"/>
                <w:color w:val="auto"/>
              </w:rPr>
              <w:t>Interest on Revolving Loans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43</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2.08.</w:t>
            </w:r>
          </w:p>
        </w:tc>
        <w:tc>
          <w:tcPr>
            <w:tcW w:w="7260" w:type="dxa"/>
            <w:vAlign w:val="bottom"/>
          </w:tcPr>
          <w:p>
            <w:pPr>
              <w:ind w:left="400"/>
              <w:spacing w:after="0"/>
              <w:rPr>
                <w:sz w:val="20"/>
                <w:szCs w:val="20"/>
                <w:color w:val="auto"/>
              </w:rPr>
            </w:pPr>
            <w:r>
              <w:rPr>
                <w:rFonts w:ascii="Arial" w:cs="Arial" w:eastAsia="Arial" w:hAnsi="Arial"/>
                <w:sz w:val="18"/>
                <w:szCs w:val="18"/>
                <w:color w:val="auto"/>
              </w:rPr>
              <w:t>Interest Rate Determination</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2.09.</w:t>
            </w:r>
          </w:p>
        </w:tc>
        <w:tc>
          <w:tcPr>
            <w:tcW w:w="7260" w:type="dxa"/>
            <w:vAlign w:val="bottom"/>
          </w:tcPr>
          <w:p>
            <w:pPr>
              <w:ind w:left="400"/>
              <w:spacing w:after="0"/>
              <w:rPr>
                <w:sz w:val="20"/>
                <w:szCs w:val="20"/>
                <w:color w:val="auto"/>
              </w:rPr>
            </w:pPr>
            <w:r>
              <w:rPr>
                <w:rFonts w:ascii="Arial" w:cs="Arial" w:eastAsia="Arial" w:hAnsi="Arial"/>
                <w:sz w:val="18"/>
                <w:szCs w:val="18"/>
                <w:color w:val="auto"/>
              </w:rPr>
              <w:t>Optional Conversion of Revolving Loans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2.10.</w:t>
            </w:r>
          </w:p>
        </w:tc>
        <w:tc>
          <w:tcPr>
            <w:tcW w:w="7260" w:type="dxa"/>
            <w:vAlign w:val="bottom"/>
          </w:tcPr>
          <w:p>
            <w:pPr>
              <w:ind w:left="400"/>
              <w:spacing w:after="0"/>
              <w:rPr>
                <w:sz w:val="20"/>
                <w:szCs w:val="20"/>
                <w:color w:val="auto"/>
              </w:rPr>
            </w:pPr>
            <w:r>
              <w:rPr>
                <w:rFonts w:ascii="Arial" w:cs="Arial" w:eastAsia="Arial" w:hAnsi="Arial"/>
                <w:sz w:val="18"/>
                <w:szCs w:val="18"/>
                <w:color w:val="auto"/>
              </w:rPr>
              <w:t>Repayments of Revolving Loans; Prepayments of Revolving Loans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2.11.</w:t>
            </w:r>
          </w:p>
        </w:tc>
        <w:tc>
          <w:tcPr>
            <w:tcW w:w="7260" w:type="dxa"/>
            <w:vAlign w:val="bottom"/>
          </w:tcPr>
          <w:p>
            <w:pPr>
              <w:ind w:left="400"/>
              <w:spacing w:after="0"/>
              <w:rPr>
                <w:sz w:val="20"/>
                <w:szCs w:val="20"/>
                <w:color w:val="auto"/>
              </w:rPr>
            </w:pPr>
            <w:r>
              <w:rPr>
                <w:rFonts w:ascii="Arial" w:cs="Arial" w:eastAsia="Arial" w:hAnsi="Arial"/>
                <w:sz w:val="18"/>
                <w:szCs w:val="18"/>
                <w:color w:val="auto"/>
              </w:rPr>
              <w:t>Increased Costs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2.12.</w:t>
            </w:r>
          </w:p>
        </w:tc>
        <w:tc>
          <w:tcPr>
            <w:tcW w:w="7260" w:type="dxa"/>
            <w:vAlign w:val="bottom"/>
          </w:tcPr>
          <w:p>
            <w:pPr>
              <w:ind w:left="400"/>
              <w:spacing w:after="0"/>
              <w:rPr>
                <w:sz w:val="20"/>
                <w:szCs w:val="20"/>
                <w:color w:val="auto"/>
              </w:rPr>
            </w:pPr>
            <w:r>
              <w:rPr>
                <w:rFonts w:ascii="Arial" w:cs="Arial" w:eastAsia="Arial" w:hAnsi="Arial"/>
                <w:sz w:val="18"/>
                <w:szCs w:val="18"/>
                <w:color w:val="auto"/>
              </w:rPr>
              <w:t>Illegality</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46</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2.13.</w:t>
            </w:r>
          </w:p>
        </w:tc>
        <w:tc>
          <w:tcPr>
            <w:tcW w:w="7260" w:type="dxa"/>
            <w:vAlign w:val="bottom"/>
          </w:tcPr>
          <w:p>
            <w:pPr>
              <w:ind w:left="400"/>
              <w:spacing w:after="0"/>
              <w:rPr>
                <w:sz w:val="20"/>
                <w:szCs w:val="20"/>
                <w:color w:val="auto"/>
              </w:rPr>
            </w:pPr>
            <w:r>
              <w:rPr>
                <w:rFonts w:ascii="Arial" w:cs="Arial" w:eastAsia="Arial" w:hAnsi="Arial"/>
                <w:sz w:val="18"/>
                <w:szCs w:val="18"/>
                <w:color w:val="auto"/>
              </w:rPr>
              <w:t>Payments and Computations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2.14.</w:t>
            </w:r>
          </w:p>
        </w:tc>
        <w:tc>
          <w:tcPr>
            <w:tcW w:w="7260" w:type="dxa"/>
            <w:vAlign w:val="bottom"/>
          </w:tcPr>
          <w:p>
            <w:pPr>
              <w:ind w:left="400"/>
              <w:spacing w:after="0"/>
              <w:rPr>
                <w:sz w:val="20"/>
                <w:szCs w:val="20"/>
                <w:color w:val="auto"/>
              </w:rPr>
            </w:pPr>
            <w:r>
              <w:rPr>
                <w:rFonts w:ascii="Arial" w:cs="Arial" w:eastAsia="Arial" w:hAnsi="Arial"/>
                <w:sz w:val="18"/>
                <w:szCs w:val="18"/>
                <w:color w:val="auto"/>
              </w:rPr>
              <w:t>Taxes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2.15.</w:t>
            </w:r>
          </w:p>
        </w:tc>
        <w:tc>
          <w:tcPr>
            <w:tcW w:w="7260" w:type="dxa"/>
            <w:vAlign w:val="bottom"/>
          </w:tcPr>
          <w:p>
            <w:pPr>
              <w:ind w:left="400"/>
              <w:spacing w:after="0"/>
              <w:rPr>
                <w:sz w:val="20"/>
                <w:szCs w:val="20"/>
                <w:color w:val="auto"/>
              </w:rPr>
            </w:pPr>
            <w:r>
              <w:rPr>
                <w:rFonts w:ascii="Arial" w:cs="Arial" w:eastAsia="Arial" w:hAnsi="Arial"/>
                <w:sz w:val="18"/>
                <w:szCs w:val="18"/>
                <w:color w:val="auto"/>
              </w:rPr>
              <w:t>Sharing of Payments, Etc</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2.16.</w:t>
            </w:r>
          </w:p>
        </w:tc>
        <w:tc>
          <w:tcPr>
            <w:tcW w:w="7260" w:type="dxa"/>
            <w:vAlign w:val="bottom"/>
          </w:tcPr>
          <w:p>
            <w:pPr>
              <w:ind w:left="400"/>
              <w:spacing w:after="0"/>
              <w:rPr>
                <w:sz w:val="20"/>
                <w:szCs w:val="20"/>
                <w:color w:val="auto"/>
              </w:rPr>
            </w:pPr>
            <w:r>
              <w:rPr>
                <w:rFonts w:ascii="Arial" w:cs="Arial" w:eastAsia="Arial" w:hAnsi="Arial"/>
                <w:sz w:val="18"/>
                <w:szCs w:val="18"/>
                <w:color w:val="auto"/>
              </w:rPr>
              <w:t>Evidence of Debt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2.17.</w:t>
            </w:r>
          </w:p>
        </w:tc>
        <w:tc>
          <w:tcPr>
            <w:tcW w:w="7260" w:type="dxa"/>
            <w:vAlign w:val="bottom"/>
          </w:tcPr>
          <w:p>
            <w:pPr>
              <w:ind w:left="400"/>
              <w:spacing w:after="0"/>
              <w:rPr>
                <w:sz w:val="20"/>
                <w:szCs w:val="20"/>
                <w:color w:val="auto"/>
              </w:rPr>
            </w:pPr>
            <w:r>
              <w:rPr>
                <w:rFonts w:ascii="Arial" w:cs="Arial" w:eastAsia="Arial" w:hAnsi="Arial"/>
                <w:sz w:val="18"/>
                <w:szCs w:val="18"/>
                <w:color w:val="auto"/>
              </w:rPr>
              <w:t>Use of Proceeds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2.18.</w:t>
            </w:r>
          </w:p>
        </w:tc>
        <w:tc>
          <w:tcPr>
            <w:tcW w:w="7260" w:type="dxa"/>
            <w:vAlign w:val="bottom"/>
          </w:tcPr>
          <w:p>
            <w:pPr>
              <w:ind w:left="400"/>
              <w:spacing w:after="0"/>
              <w:rPr>
                <w:sz w:val="20"/>
                <w:szCs w:val="20"/>
                <w:color w:val="auto"/>
              </w:rPr>
            </w:pPr>
            <w:r>
              <w:rPr>
                <w:rFonts w:ascii="Arial" w:cs="Arial" w:eastAsia="Arial" w:hAnsi="Arial"/>
                <w:sz w:val="18"/>
                <w:szCs w:val="18"/>
                <w:color w:val="auto"/>
              </w:rPr>
              <w:t>Cash Management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2.19.</w:t>
            </w:r>
          </w:p>
        </w:tc>
        <w:tc>
          <w:tcPr>
            <w:tcW w:w="7260" w:type="dxa"/>
            <w:vAlign w:val="bottom"/>
          </w:tcPr>
          <w:p>
            <w:pPr>
              <w:ind w:left="400"/>
              <w:spacing w:after="0"/>
              <w:rPr>
                <w:sz w:val="20"/>
                <w:szCs w:val="20"/>
                <w:color w:val="auto"/>
              </w:rPr>
            </w:pPr>
            <w:r>
              <w:rPr>
                <w:rFonts w:ascii="Arial" w:cs="Arial" w:eastAsia="Arial" w:hAnsi="Arial"/>
                <w:sz w:val="18"/>
                <w:szCs w:val="18"/>
                <w:color w:val="auto"/>
              </w:rPr>
              <w:t>Defaulting Lenders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2.20.</w:t>
            </w:r>
          </w:p>
        </w:tc>
        <w:tc>
          <w:tcPr>
            <w:tcW w:w="7260" w:type="dxa"/>
            <w:vAlign w:val="bottom"/>
          </w:tcPr>
          <w:p>
            <w:pPr>
              <w:ind w:left="400"/>
              <w:spacing w:after="0"/>
              <w:rPr>
                <w:sz w:val="20"/>
                <w:szCs w:val="20"/>
                <w:color w:val="auto"/>
              </w:rPr>
            </w:pPr>
            <w:r>
              <w:rPr>
                <w:rFonts w:ascii="Arial" w:cs="Arial" w:eastAsia="Arial" w:hAnsi="Arial"/>
                <w:sz w:val="18"/>
                <w:szCs w:val="18"/>
                <w:color w:val="auto"/>
              </w:rPr>
              <w:t>Replacement of Certain Lenders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53</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2.21.</w:t>
            </w:r>
          </w:p>
        </w:tc>
        <w:tc>
          <w:tcPr>
            <w:tcW w:w="7260" w:type="dxa"/>
            <w:vAlign w:val="bottom"/>
          </w:tcPr>
          <w:p>
            <w:pPr>
              <w:ind w:left="400"/>
              <w:spacing w:after="0"/>
              <w:rPr>
                <w:sz w:val="20"/>
                <w:szCs w:val="20"/>
                <w:color w:val="auto"/>
              </w:rPr>
            </w:pPr>
            <w:r>
              <w:rPr>
                <w:rFonts w:ascii="Arial" w:cs="Arial" w:eastAsia="Arial" w:hAnsi="Arial"/>
                <w:sz w:val="18"/>
                <w:szCs w:val="18"/>
                <w:color w:val="auto"/>
              </w:rPr>
              <w:t>Increase in the Aggregate Revolving Credit Commitments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2.22.</w:t>
            </w:r>
          </w:p>
        </w:tc>
        <w:tc>
          <w:tcPr>
            <w:tcW w:w="7260" w:type="dxa"/>
            <w:vAlign w:val="bottom"/>
          </w:tcPr>
          <w:p>
            <w:pPr>
              <w:ind w:left="400"/>
              <w:spacing w:after="0"/>
              <w:rPr>
                <w:sz w:val="20"/>
                <w:szCs w:val="20"/>
                <w:color w:val="auto"/>
              </w:rPr>
            </w:pPr>
            <w:r>
              <w:rPr>
                <w:rFonts w:ascii="Arial" w:cs="Arial" w:eastAsia="Arial" w:hAnsi="Arial"/>
                <w:sz w:val="18"/>
                <w:szCs w:val="18"/>
                <w:color w:val="auto"/>
              </w:rPr>
              <w:t>Swingline Loans; Settlement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2.23.</w:t>
            </w:r>
          </w:p>
        </w:tc>
        <w:tc>
          <w:tcPr>
            <w:tcW w:w="7260" w:type="dxa"/>
            <w:vAlign w:val="bottom"/>
          </w:tcPr>
          <w:p>
            <w:pPr>
              <w:ind w:left="400"/>
              <w:spacing w:after="0"/>
              <w:rPr>
                <w:sz w:val="20"/>
                <w:szCs w:val="20"/>
                <w:color w:val="auto"/>
              </w:rPr>
            </w:pPr>
            <w:r>
              <w:rPr>
                <w:rFonts w:ascii="Arial" w:cs="Arial" w:eastAsia="Arial" w:hAnsi="Arial"/>
                <w:sz w:val="18"/>
                <w:szCs w:val="18"/>
                <w:color w:val="auto"/>
              </w:rPr>
              <w:t>Failure to Satisfy Conditions Precedent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2.24.</w:t>
            </w:r>
          </w:p>
        </w:tc>
        <w:tc>
          <w:tcPr>
            <w:tcW w:w="7260" w:type="dxa"/>
            <w:vAlign w:val="bottom"/>
          </w:tcPr>
          <w:p>
            <w:pPr>
              <w:ind w:left="400"/>
              <w:spacing w:after="0"/>
              <w:rPr>
                <w:sz w:val="20"/>
                <w:szCs w:val="20"/>
                <w:color w:val="auto"/>
              </w:rPr>
            </w:pPr>
            <w:r>
              <w:rPr>
                <w:rFonts w:ascii="Arial" w:cs="Arial" w:eastAsia="Arial" w:hAnsi="Arial"/>
                <w:sz w:val="18"/>
                <w:szCs w:val="18"/>
                <w:color w:val="auto"/>
              </w:rPr>
              <w:t>Obligations of Lenders Several</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2.25.</w:t>
            </w:r>
          </w:p>
        </w:tc>
        <w:tc>
          <w:tcPr>
            <w:tcW w:w="7260" w:type="dxa"/>
            <w:vAlign w:val="bottom"/>
          </w:tcPr>
          <w:p>
            <w:pPr>
              <w:ind w:left="400"/>
              <w:spacing w:after="0"/>
              <w:rPr>
                <w:sz w:val="20"/>
                <w:szCs w:val="20"/>
                <w:color w:val="auto"/>
              </w:rPr>
            </w:pPr>
            <w:r>
              <w:rPr>
                <w:rFonts w:ascii="Arial" w:cs="Arial" w:eastAsia="Arial" w:hAnsi="Arial"/>
                <w:sz w:val="18"/>
                <w:szCs w:val="18"/>
                <w:color w:val="auto"/>
              </w:rPr>
              <w:t>Closing Date Transactions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24"/>
        </w:trPr>
        <w:tc>
          <w:tcPr>
            <w:tcW w:w="9260" w:type="dxa"/>
            <w:vAlign w:val="bottom"/>
            <w:gridSpan w:val="2"/>
          </w:tcPr>
          <w:p>
            <w:pPr>
              <w:spacing w:after="0"/>
              <w:rPr>
                <w:sz w:val="20"/>
                <w:szCs w:val="20"/>
                <w:color w:val="auto"/>
              </w:rPr>
            </w:pPr>
            <w:r>
              <w:rPr>
                <w:rFonts w:ascii="Arial" w:cs="Arial" w:eastAsia="Arial" w:hAnsi="Arial"/>
                <w:sz w:val="18"/>
                <w:szCs w:val="18"/>
                <w:color w:val="010000"/>
              </w:rPr>
              <w:t xml:space="preserve">ARTICLE III </w:t>
            </w:r>
            <w:r>
              <w:rPr>
                <w:rFonts w:ascii="Arial" w:cs="Arial" w:eastAsia="Arial" w:hAnsi="Arial"/>
                <w:sz w:val="18"/>
                <w:szCs w:val="18"/>
                <w:color w:val="000000"/>
              </w:rPr>
              <w:t>CONDITIONS TO EFFECTIVENESS AND LENDING</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322"/>
        </w:trPr>
        <w:tc>
          <w:tcPr>
            <w:tcW w:w="2000" w:type="dxa"/>
            <w:vAlign w:val="bottom"/>
          </w:tcPr>
          <w:p>
            <w:pPr>
              <w:ind w:left="440"/>
              <w:spacing w:after="0"/>
              <w:rPr>
                <w:sz w:val="20"/>
                <w:szCs w:val="20"/>
                <w:color w:val="auto"/>
              </w:rPr>
            </w:pPr>
            <w:r>
              <w:rPr>
                <w:rFonts w:ascii="Arial" w:cs="Arial" w:eastAsia="Arial" w:hAnsi="Arial"/>
                <w:sz w:val="18"/>
                <w:szCs w:val="18"/>
                <w:color w:val="010000"/>
              </w:rPr>
              <w:t>SECTION 3.01.</w:t>
            </w:r>
          </w:p>
        </w:tc>
        <w:tc>
          <w:tcPr>
            <w:tcW w:w="7260" w:type="dxa"/>
            <w:vAlign w:val="bottom"/>
          </w:tcPr>
          <w:p>
            <w:pPr>
              <w:ind w:left="400"/>
              <w:spacing w:after="0"/>
              <w:rPr>
                <w:sz w:val="20"/>
                <w:szCs w:val="20"/>
                <w:color w:val="auto"/>
              </w:rPr>
            </w:pPr>
            <w:r>
              <w:rPr>
                <w:rFonts w:ascii="Arial" w:cs="Arial" w:eastAsia="Arial" w:hAnsi="Arial"/>
                <w:sz w:val="18"/>
                <w:szCs w:val="18"/>
                <w:color w:val="auto"/>
              </w:rPr>
              <w:t>Conditions Precedent to Effectiveness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3.02.</w:t>
            </w:r>
          </w:p>
        </w:tc>
        <w:tc>
          <w:tcPr>
            <w:tcW w:w="7260" w:type="dxa"/>
            <w:vAlign w:val="bottom"/>
          </w:tcPr>
          <w:p>
            <w:pPr>
              <w:ind w:left="400"/>
              <w:spacing w:after="0"/>
              <w:rPr>
                <w:sz w:val="20"/>
                <w:szCs w:val="20"/>
                <w:color w:val="auto"/>
              </w:rPr>
            </w:pPr>
            <w:r>
              <w:rPr>
                <w:rFonts w:ascii="Arial" w:cs="Arial" w:eastAsia="Arial" w:hAnsi="Arial"/>
                <w:sz w:val="18"/>
                <w:szCs w:val="18"/>
                <w:color w:val="auto"/>
              </w:rPr>
              <w:t>Conditions Precedent to Each Borrowing and Issuance</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57</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3.03.</w:t>
            </w:r>
          </w:p>
        </w:tc>
        <w:tc>
          <w:tcPr>
            <w:tcW w:w="7260" w:type="dxa"/>
            <w:vAlign w:val="bottom"/>
          </w:tcPr>
          <w:p>
            <w:pPr>
              <w:ind w:left="400"/>
              <w:spacing w:after="0"/>
              <w:rPr>
                <w:sz w:val="20"/>
                <w:szCs w:val="20"/>
                <w:color w:val="auto"/>
              </w:rPr>
            </w:pPr>
            <w:r>
              <w:rPr>
                <w:rFonts w:ascii="Arial" w:cs="Arial" w:eastAsia="Arial" w:hAnsi="Arial"/>
                <w:sz w:val="18"/>
                <w:szCs w:val="18"/>
                <w:color w:val="auto"/>
              </w:rPr>
              <w:t>Additional Conditions to Issuances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57</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3.04.</w:t>
            </w:r>
          </w:p>
        </w:tc>
        <w:tc>
          <w:tcPr>
            <w:tcW w:w="7260" w:type="dxa"/>
            <w:vAlign w:val="bottom"/>
          </w:tcPr>
          <w:p>
            <w:pPr>
              <w:ind w:left="400"/>
              <w:spacing w:after="0"/>
              <w:rPr>
                <w:sz w:val="20"/>
                <w:szCs w:val="20"/>
                <w:color w:val="auto"/>
              </w:rPr>
            </w:pPr>
            <w:r>
              <w:rPr>
                <w:rFonts w:ascii="Arial" w:cs="Arial" w:eastAsia="Arial" w:hAnsi="Arial"/>
                <w:sz w:val="18"/>
                <w:szCs w:val="18"/>
                <w:color w:val="auto"/>
              </w:rPr>
              <w:t>Determinations Under this Agreement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224"/>
        </w:trPr>
        <w:tc>
          <w:tcPr>
            <w:tcW w:w="9260" w:type="dxa"/>
            <w:vAlign w:val="bottom"/>
            <w:gridSpan w:val="2"/>
          </w:tcPr>
          <w:p>
            <w:pPr>
              <w:spacing w:after="0"/>
              <w:rPr>
                <w:sz w:val="20"/>
                <w:szCs w:val="20"/>
                <w:color w:val="auto"/>
              </w:rPr>
            </w:pPr>
            <w:r>
              <w:rPr>
                <w:rFonts w:ascii="Arial" w:cs="Arial" w:eastAsia="Arial" w:hAnsi="Arial"/>
                <w:sz w:val="18"/>
                <w:szCs w:val="18"/>
                <w:color w:val="010000"/>
              </w:rPr>
              <w:t xml:space="preserve">ARTICLE IV </w:t>
            </w:r>
            <w:r>
              <w:rPr>
                <w:rFonts w:ascii="Arial" w:cs="Arial" w:eastAsia="Arial" w:hAnsi="Arial"/>
                <w:sz w:val="18"/>
                <w:szCs w:val="18"/>
                <w:color w:val="000000"/>
              </w:rPr>
              <w:t>REPRESENTATIONS AND WARRANTIES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322"/>
        </w:trPr>
        <w:tc>
          <w:tcPr>
            <w:tcW w:w="2000" w:type="dxa"/>
            <w:vAlign w:val="bottom"/>
          </w:tcPr>
          <w:p>
            <w:pPr>
              <w:ind w:left="440"/>
              <w:spacing w:after="0"/>
              <w:rPr>
                <w:sz w:val="20"/>
                <w:szCs w:val="20"/>
                <w:color w:val="auto"/>
              </w:rPr>
            </w:pPr>
            <w:r>
              <w:rPr>
                <w:rFonts w:ascii="Arial" w:cs="Arial" w:eastAsia="Arial" w:hAnsi="Arial"/>
                <w:sz w:val="18"/>
                <w:szCs w:val="18"/>
                <w:color w:val="010000"/>
              </w:rPr>
              <w:t>SECTION 4.01.</w:t>
            </w:r>
          </w:p>
        </w:tc>
        <w:tc>
          <w:tcPr>
            <w:tcW w:w="7260" w:type="dxa"/>
            <w:vAlign w:val="bottom"/>
          </w:tcPr>
          <w:p>
            <w:pPr>
              <w:ind w:left="400"/>
              <w:spacing w:after="0"/>
              <w:rPr>
                <w:sz w:val="20"/>
                <w:szCs w:val="20"/>
                <w:color w:val="auto"/>
              </w:rPr>
            </w:pPr>
            <w:r>
              <w:rPr>
                <w:rFonts w:ascii="Arial" w:cs="Arial" w:eastAsia="Arial" w:hAnsi="Arial"/>
                <w:sz w:val="18"/>
                <w:szCs w:val="18"/>
                <w:color w:val="auto"/>
              </w:rPr>
              <w:t>Representations and Warranties of the Company</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224"/>
        </w:trPr>
        <w:tc>
          <w:tcPr>
            <w:tcW w:w="9260" w:type="dxa"/>
            <w:vAlign w:val="bottom"/>
            <w:gridSpan w:val="2"/>
          </w:tcPr>
          <w:p>
            <w:pPr>
              <w:spacing w:after="0"/>
              <w:rPr>
                <w:sz w:val="20"/>
                <w:szCs w:val="20"/>
                <w:color w:val="auto"/>
              </w:rPr>
            </w:pPr>
            <w:r>
              <w:rPr>
                <w:rFonts w:ascii="Arial" w:cs="Arial" w:eastAsia="Arial" w:hAnsi="Arial"/>
                <w:sz w:val="18"/>
                <w:szCs w:val="18"/>
                <w:color w:val="010000"/>
              </w:rPr>
              <w:t xml:space="preserve">ARTICLE V </w:t>
            </w:r>
            <w:r>
              <w:rPr>
                <w:rFonts w:ascii="Arial" w:cs="Arial" w:eastAsia="Arial" w:hAnsi="Arial"/>
                <w:sz w:val="18"/>
                <w:szCs w:val="18"/>
                <w:color w:val="000000"/>
              </w:rPr>
              <w:t>COVENANTS OF THE LOAN PARTIES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322"/>
        </w:trPr>
        <w:tc>
          <w:tcPr>
            <w:tcW w:w="2000" w:type="dxa"/>
            <w:vAlign w:val="bottom"/>
          </w:tcPr>
          <w:p>
            <w:pPr>
              <w:ind w:left="440"/>
              <w:spacing w:after="0"/>
              <w:rPr>
                <w:sz w:val="20"/>
                <w:szCs w:val="20"/>
                <w:color w:val="auto"/>
              </w:rPr>
            </w:pPr>
            <w:r>
              <w:rPr>
                <w:rFonts w:ascii="Arial" w:cs="Arial" w:eastAsia="Arial" w:hAnsi="Arial"/>
                <w:sz w:val="18"/>
                <w:szCs w:val="18"/>
                <w:color w:val="010000"/>
              </w:rPr>
              <w:t>SECTION 5.01.</w:t>
            </w:r>
          </w:p>
        </w:tc>
        <w:tc>
          <w:tcPr>
            <w:tcW w:w="7260" w:type="dxa"/>
            <w:vAlign w:val="bottom"/>
          </w:tcPr>
          <w:p>
            <w:pPr>
              <w:ind w:left="400"/>
              <w:spacing w:after="0"/>
              <w:rPr>
                <w:sz w:val="20"/>
                <w:szCs w:val="20"/>
                <w:color w:val="auto"/>
              </w:rPr>
            </w:pPr>
            <w:r>
              <w:rPr>
                <w:rFonts w:ascii="Arial" w:cs="Arial" w:eastAsia="Arial" w:hAnsi="Arial"/>
                <w:sz w:val="18"/>
                <w:szCs w:val="18"/>
                <w:color w:val="auto"/>
              </w:rPr>
              <w:t>Affirmative Covenants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5.02.</w:t>
            </w:r>
          </w:p>
        </w:tc>
        <w:tc>
          <w:tcPr>
            <w:tcW w:w="7260" w:type="dxa"/>
            <w:vAlign w:val="bottom"/>
          </w:tcPr>
          <w:p>
            <w:pPr>
              <w:ind w:left="400"/>
              <w:spacing w:after="0"/>
              <w:rPr>
                <w:sz w:val="20"/>
                <w:szCs w:val="20"/>
                <w:color w:val="auto"/>
              </w:rPr>
            </w:pPr>
            <w:r>
              <w:rPr>
                <w:rFonts w:ascii="Arial" w:cs="Arial" w:eastAsia="Arial" w:hAnsi="Arial"/>
                <w:sz w:val="18"/>
                <w:szCs w:val="18"/>
                <w:color w:val="auto"/>
              </w:rPr>
              <w:t>Negative Covenants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68</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5.03.</w:t>
            </w:r>
          </w:p>
        </w:tc>
        <w:tc>
          <w:tcPr>
            <w:tcW w:w="7260" w:type="dxa"/>
            <w:vAlign w:val="bottom"/>
          </w:tcPr>
          <w:p>
            <w:pPr>
              <w:ind w:left="400"/>
              <w:spacing w:after="0"/>
              <w:rPr>
                <w:sz w:val="20"/>
                <w:szCs w:val="20"/>
                <w:color w:val="auto"/>
              </w:rPr>
            </w:pPr>
            <w:r>
              <w:rPr>
                <w:rFonts w:ascii="Arial" w:cs="Arial" w:eastAsia="Arial" w:hAnsi="Arial"/>
                <w:sz w:val="18"/>
                <w:szCs w:val="18"/>
                <w:color w:val="auto"/>
              </w:rPr>
              <w:t>Financial Covenant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76</w:t>
            </w:r>
          </w:p>
        </w:tc>
      </w:tr>
      <w:tr>
        <w:trPr>
          <w:trHeight w:val="224"/>
        </w:trPr>
        <w:tc>
          <w:tcPr>
            <w:tcW w:w="9260" w:type="dxa"/>
            <w:vAlign w:val="bottom"/>
            <w:gridSpan w:val="2"/>
          </w:tcPr>
          <w:p>
            <w:pPr>
              <w:spacing w:after="0"/>
              <w:rPr>
                <w:sz w:val="20"/>
                <w:szCs w:val="20"/>
                <w:color w:val="auto"/>
              </w:rPr>
            </w:pPr>
            <w:r>
              <w:rPr>
                <w:rFonts w:ascii="Arial" w:cs="Arial" w:eastAsia="Arial" w:hAnsi="Arial"/>
                <w:sz w:val="18"/>
                <w:szCs w:val="18"/>
                <w:color w:val="010000"/>
              </w:rPr>
              <w:t xml:space="preserve">ARTICLE VI </w:t>
            </w:r>
            <w:r>
              <w:rPr>
                <w:rFonts w:ascii="Arial" w:cs="Arial" w:eastAsia="Arial" w:hAnsi="Arial"/>
                <w:sz w:val="18"/>
                <w:szCs w:val="18"/>
                <w:color w:val="000000"/>
              </w:rPr>
              <w:t>EVENTS OF DEFAULT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76</w:t>
            </w:r>
          </w:p>
        </w:tc>
      </w:tr>
      <w:tr>
        <w:trPr>
          <w:trHeight w:val="322"/>
        </w:trPr>
        <w:tc>
          <w:tcPr>
            <w:tcW w:w="2000" w:type="dxa"/>
            <w:vAlign w:val="bottom"/>
          </w:tcPr>
          <w:p>
            <w:pPr>
              <w:ind w:left="440"/>
              <w:spacing w:after="0"/>
              <w:rPr>
                <w:sz w:val="20"/>
                <w:szCs w:val="20"/>
                <w:color w:val="auto"/>
              </w:rPr>
            </w:pPr>
            <w:r>
              <w:rPr>
                <w:rFonts w:ascii="Arial" w:cs="Arial" w:eastAsia="Arial" w:hAnsi="Arial"/>
                <w:sz w:val="18"/>
                <w:szCs w:val="18"/>
                <w:color w:val="010000"/>
              </w:rPr>
              <w:t>SECTION 6.01.</w:t>
            </w:r>
          </w:p>
        </w:tc>
        <w:tc>
          <w:tcPr>
            <w:tcW w:w="7260" w:type="dxa"/>
            <w:vAlign w:val="bottom"/>
          </w:tcPr>
          <w:p>
            <w:pPr>
              <w:ind w:left="400"/>
              <w:spacing w:after="0"/>
              <w:rPr>
                <w:sz w:val="20"/>
                <w:szCs w:val="20"/>
                <w:color w:val="auto"/>
              </w:rPr>
            </w:pPr>
            <w:r>
              <w:rPr>
                <w:rFonts w:ascii="Arial" w:cs="Arial" w:eastAsia="Arial" w:hAnsi="Arial"/>
                <w:sz w:val="18"/>
                <w:szCs w:val="18"/>
                <w:color w:val="auto"/>
              </w:rPr>
              <w:t>Events of Default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76</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6.02.</w:t>
            </w:r>
          </w:p>
        </w:tc>
        <w:tc>
          <w:tcPr>
            <w:tcW w:w="7260" w:type="dxa"/>
            <w:vAlign w:val="bottom"/>
          </w:tcPr>
          <w:p>
            <w:pPr>
              <w:ind w:left="400"/>
              <w:spacing w:after="0"/>
              <w:rPr>
                <w:sz w:val="20"/>
                <w:szCs w:val="20"/>
                <w:color w:val="auto"/>
              </w:rPr>
            </w:pPr>
            <w:r>
              <w:rPr>
                <w:rFonts w:ascii="Arial" w:cs="Arial" w:eastAsia="Arial" w:hAnsi="Arial"/>
                <w:sz w:val="18"/>
                <w:szCs w:val="18"/>
                <w:color w:val="auto"/>
              </w:rPr>
              <w:t>Actions in Respect of the Letters of Credit upon Default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213"/>
        </w:trPr>
        <w:tc>
          <w:tcPr>
            <w:tcW w:w="2000" w:type="dxa"/>
            <w:vAlign w:val="bottom"/>
          </w:tcPr>
          <w:p>
            <w:pPr>
              <w:ind w:left="440"/>
              <w:spacing w:after="0"/>
              <w:rPr>
                <w:sz w:val="20"/>
                <w:szCs w:val="20"/>
                <w:color w:val="auto"/>
              </w:rPr>
            </w:pPr>
            <w:r>
              <w:rPr>
                <w:rFonts w:ascii="Arial" w:cs="Arial" w:eastAsia="Arial" w:hAnsi="Arial"/>
                <w:sz w:val="18"/>
                <w:szCs w:val="18"/>
                <w:color w:val="010000"/>
              </w:rPr>
              <w:t>SECTION 6.03.</w:t>
            </w:r>
          </w:p>
        </w:tc>
        <w:tc>
          <w:tcPr>
            <w:tcW w:w="7260" w:type="dxa"/>
            <w:vAlign w:val="bottom"/>
          </w:tcPr>
          <w:p>
            <w:pPr>
              <w:ind w:left="400"/>
              <w:spacing w:after="0"/>
              <w:rPr>
                <w:sz w:val="20"/>
                <w:szCs w:val="20"/>
                <w:color w:val="auto"/>
              </w:rPr>
            </w:pPr>
            <w:r>
              <w:rPr>
                <w:rFonts w:ascii="Arial" w:cs="Arial" w:eastAsia="Arial" w:hAnsi="Arial"/>
                <w:sz w:val="18"/>
                <w:szCs w:val="18"/>
                <w:color w:val="auto"/>
              </w:rPr>
              <w:t>[Reserved]</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78</w:t>
            </w:r>
          </w:p>
        </w:tc>
      </w:tr>
      <w:tr>
        <w:trPr>
          <w:trHeight w:val="224"/>
        </w:trPr>
        <w:tc>
          <w:tcPr>
            <w:tcW w:w="2000" w:type="dxa"/>
            <w:vAlign w:val="bottom"/>
          </w:tcPr>
          <w:p>
            <w:pPr>
              <w:ind w:left="440"/>
              <w:spacing w:after="0"/>
              <w:rPr>
                <w:sz w:val="20"/>
                <w:szCs w:val="20"/>
                <w:color w:val="auto"/>
              </w:rPr>
            </w:pPr>
            <w:r>
              <w:rPr>
                <w:rFonts w:ascii="Arial" w:cs="Arial" w:eastAsia="Arial" w:hAnsi="Arial"/>
                <w:sz w:val="18"/>
                <w:szCs w:val="18"/>
                <w:color w:val="010000"/>
              </w:rPr>
              <w:t>SECTION 6.04.</w:t>
            </w:r>
          </w:p>
        </w:tc>
        <w:tc>
          <w:tcPr>
            <w:tcW w:w="7260" w:type="dxa"/>
            <w:vAlign w:val="bottom"/>
          </w:tcPr>
          <w:p>
            <w:pPr>
              <w:ind w:left="400"/>
              <w:spacing w:after="0"/>
              <w:rPr>
                <w:sz w:val="20"/>
                <w:szCs w:val="20"/>
                <w:color w:val="auto"/>
              </w:rPr>
            </w:pPr>
            <w:r>
              <w:rPr>
                <w:rFonts w:ascii="Arial" w:cs="Arial" w:eastAsia="Arial" w:hAnsi="Arial"/>
                <w:sz w:val="18"/>
                <w:szCs w:val="18"/>
                <w:color w:val="auto"/>
              </w:rPr>
              <w:t>Application of Funds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78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4"/>
        </w:trPr>
        <w:tc>
          <w:tcPr>
            <w:tcW w:w="2280" w:type="dxa"/>
            <w:vAlign w:val="bottom"/>
          </w:tcPr>
          <w:p>
            <w:pPr>
              <w:spacing w:after="0"/>
              <w:rPr>
                <w:sz w:val="20"/>
                <w:szCs w:val="20"/>
                <w:color w:val="auto"/>
              </w:rPr>
            </w:pPr>
            <w:r>
              <w:rPr>
                <w:rFonts w:ascii="Arial" w:cs="Arial" w:eastAsia="Arial" w:hAnsi="Arial"/>
                <w:sz w:val="18"/>
                <w:szCs w:val="18"/>
                <w:color w:val="010000"/>
              </w:rPr>
              <w:t xml:space="preserve">ARTICLE VII </w:t>
            </w:r>
            <w:r>
              <w:rPr>
                <w:rFonts w:ascii="Arial" w:cs="Arial" w:eastAsia="Arial" w:hAnsi="Arial"/>
                <w:sz w:val="18"/>
                <w:szCs w:val="18"/>
                <w:color w:val="000000"/>
              </w:rPr>
              <w:t>GUARANTY</w:t>
            </w:r>
          </w:p>
        </w:tc>
        <w:tc>
          <w:tcPr>
            <w:tcW w:w="70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2"/>
        </w:trPr>
        <w:tc>
          <w:tcPr>
            <w:tcW w:w="2280" w:type="dxa"/>
            <w:vAlign w:val="bottom"/>
          </w:tcPr>
          <w:p>
            <w:pPr>
              <w:ind w:left="440"/>
              <w:spacing w:after="0"/>
              <w:rPr>
                <w:sz w:val="20"/>
                <w:szCs w:val="20"/>
                <w:color w:val="auto"/>
              </w:rPr>
            </w:pPr>
            <w:r>
              <w:rPr>
                <w:rFonts w:ascii="Arial" w:cs="Arial" w:eastAsia="Arial" w:hAnsi="Arial"/>
                <w:sz w:val="18"/>
                <w:szCs w:val="18"/>
                <w:color w:val="010000"/>
              </w:rPr>
              <w:t>SECTION 7.01.</w:t>
            </w:r>
          </w:p>
        </w:tc>
        <w:tc>
          <w:tcPr>
            <w:tcW w:w="7060" w:type="dxa"/>
            <w:vAlign w:val="bottom"/>
          </w:tcPr>
          <w:p>
            <w:pPr>
              <w:ind w:left="120"/>
              <w:spacing w:after="0"/>
              <w:rPr>
                <w:sz w:val="20"/>
                <w:szCs w:val="20"/>
                <w:color w:val="auto"/>
              </w:rPr>
            </w:pPr>
            <w:r>
              <w:rPr>
                <w:rFonts w:ascii="Arial" w:cs="Arial" w:eastAsia="Arial" w:hAnsi="Arial"/>
                <w:sz w:val="18"/>
                <w:szCs w:val="18"/>
                <w:color w:val="auto"/>
              </w:rPr>
              <w:t>Guaranty; Limitation of Liability</w:t>
            </w: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7.02.</w:t>
            </w:r>
          </w:p>
        </w:tc>
        <w:tc>
          <w:tcPr>
            <w:tcW w:w="7060" w:type="dxa"/>
            <w:vAlign w:val="bottom"/>
          </w:tcPr>
          <w:p>
            <w:pPr>
              <w:ind w:left="120"/>
              <w:spacing w:after="0"/>
              <w:rPr>
                <w:sz w:val="20"/>
                <w:szCs w:val="20"/>
                <w:color w:val="auto"/>
              </w:rPr>
            </w:pPr>
            <w:r>
              <w:rPr>
                <w:rFonts w:ascii="Arial" w:cs="Arial" w:eastAsia="Arial" w:hAnsi="Arial"/>
                <w:sz w:val="18"/>
                <w:szCs w:val="18"/>
                <w:color w:val="auto"/>
              </w:rPr>
              <w:t>Guaranty Absolute</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7.03.</w:t>
            </w:r>
          </w:p>
        </w:tc>
        <w:tc>
          <w:tcPr>
            <w:tcW w:w="7060" w:type="dxa"/>
            <w:vAlign w:val="bottom"/>
          </w:tcPr>
          <w:p>
            <w:pPr>
              <w:ind w:left="120"/>
              <w:spacing w:after="0"/>
              <w:rPr>
                <w:sz w:val="20"/>
                <w:szCs w:val="20"/>
                <w:color w:val="auto"/>
              </w:rPr>
            </w:pPr>
            <w:r>
              <w:rPr>
                <w:rFonts w:ascii="Arial" w:cs="Arial" w:eastAsia="Arial" w:hAnsi="Arial"/>
                <w:sz w:val="18"/>
                <w:szCs w:val="18"/>
                <w:color w:val="auto"/>
              </w:rPr>
              <w:t>Waivers and Acknowledgments</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7.04.</w:t>
            </w:r>
          </w:p>
        </w:tc>
        <w:tc>
          <w:tcPr>
            <w:tcW w:w="7060" w:type="dxa"/>
            <w:vAlign w:val="bottom"/>
          </w:tcPr>
          <w:p>
            <w:pPr>
              <w:ind w:left="120"/>
              <w:spacing w:after="0"/>
              <w:rPr>
                <w:sz w:val="20"/>
                <w:szCs w:val="20"/>
                <w:color w:val="auto"/>
              </w:rPr>
            </w:pPr>
            <w:r>
              <w:rPr>
                <w:rFonts w:ascii="Arial" w:cs="Arial" w:eastAsia="Arial" w:hAnsi="Arial"/>
                <w:sz w:val="18"/>
                <w:szCs w:val="18"/>
                <w:color w:val="auto"/>
              </w:rPr>
              <w:t>Subrogation</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7.05.</w:t>
            </w:r>
          </w:p>
        </w:tc>
        <w:tc>
          <w:tcPr>
            <w:tcW w:w="7060" w:type="dxa"/>
            <w:vAlign w:val="bottom"/>
          </w:tcPr>
          <w:p>
            <w:pPr>
              <w:ind w:left="120"/>
              <w:spacing w:after="0"/>
              <w:rPr>
                <w:sz w:val="20"/>
                <w:szCs w:val="20"/>
                <w:color w:val="auto"/>
              </w:rPr>
            </w:pPr>
            <w:r>
              <w:rPr>
                <w:rFonts w:ascii="Arial" w:cs="Arial" w:eastAsia="Arial" w:hAnsi="Arial"/>
                <w:sz w:val="18"/>
                <w:szCs w:val="18"/>
                <w:color w:val="auto"/>
              </w:rPr>
              <w:t>Guaranty Supplements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7.06.</w:t>
            </w:r>
          </w:p>
        </w:tc>
        <w:tc>
          <w:tcPr>
            <w:tcW w:w="7060" w:type="dxa"/>
            <w:vAlign w:val="bottom"/>
          </w:tcPr>
          <w:p>
            <w:pPr>
              <w:ind w:left="120"/>
              <w:spacing w:after="0"/>
              <w:rPr>
                <w:sz w:val="20"/>
                <w:szCs w:val="20"/>
                <w:color w:val="auto"/>
              </w:rPr>
            </w:pPr>
            <w:r>
              <w:rPr>
                <w:rFonts w:ascii="Arial" w:cs="Arial" w:eastAsia="Arial" w:hAnsi="Arial"/>
                <w:sz w:val="18"/>
                <w:szCs w:val="18"/>
                <w:color w:val="auto"/>
              </w:rPr>
              <w:t>Subordination</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7.07.</w:t>
            </w:r>
          </w:p>
        </w:tc>
        <w:tc>
          <w:tcPr>
            <w:tcW w:w="7060" w:type="dxa"/>
            <w:vAlign w:val="bottom"/>
          </w:tcPr>
          <w:p>
            <w:pPr>
              <w:ind w:left="120"/>
              <w:spacing w:after="0"/>
              <w:rPr>
                <w:sz w:val="20"/>
                <w:szCs w:val="20"/>
                <w:color w:val="auto"/>
              </w:rPr>
            </w:pPr>
            <w:r>
              <w:rPr>
                <w:rFonts w:ascii="Arial" w:cs="Arial" w:eastAsia="Arial" w:hAnsi="Arial"/>
                <w:sz w:val="18"/>
                <w:szCs w:val="18"/>
                <w:color w:val="auto"/>
              </w:rPr>
              <w:t>Continuing Guaranty; Assignments</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7.08.</w:t>
            </w:r>
          </w:p>
        </w:tc>
        <w:tc>
          <w:tcPr>
            <w:tcW w:w="7060" w:type="dxa"/>
            <w:vAlign w:val="bottom"/>
          </w:tcPr>
          <w:p>
            <w:pPr>
              <w:ind w:left="120"/>
              <w:spacing w:after="0"/>
              <w:rPr>
                <w:sz w:val="20"/>
                <w:szCs w:val="20"/>
                <w:color w:val="auto"/>
              </w:rPr>
            </w:pPr>
            <w:r>
              <w:rPr>
                <w:rFonts w:ascii="Arial" w:cs="Arial" w:eastAsia="Arial" w:hAnsi="Arial"/>
                <w:sz w:val="18"/>
                <w:szCs w:val="18"/>
                <w:color w:val="auto"/>
              </w:rPr>
              <w:t>Qualified ECPs</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010000"/>
              </w:rPr>
              <w:t xml:space="preserve">ARTICLE VIII </w:t>
            </w:r>
            <w:r>
              <w:rPr>
                <w:rFonts w:ascii="Arial" w:cs="Arial" w:eastAsia="Arial" w:hAnsi="Arial"/>
                <w:sz w:val="18"/>
                <w:szCs w:val="18"/>
                <w:color w:val="000000"/>
              </w:rPr>
              <w:t>THE AGENT</w:t>
            </w:r>
          </w:p>
        </w:tc>
        <w:tc>
          <w:tcPr>
            <w:tcW w:w="70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2"/>
        </w:trPr>
        <w:tc>
          <w:tcPr>
            <w:tcW w:w="2280" w:type="dxa"/>
            <w:vAlign w:val="bottom"/>
          </w:tcPr>
          <w:p>
            <w:pPr>
              <w:ind w:left="440"/>
              <w:spacing w:after="0"/>
              <w:rPr>
                <w:sz w:val="20"/>
                <w:szCs w:val="20"/>
                <w:color w:val="auto"/>
              </w:rPr>
            </w:pPr>
            <w:r>
              <w:rPr>
                <w:rFonts w:ascii="Arial" w:cs="Arial" w:eastAsia="Arial" w:hAnsi="Arial"/>
                <w:sz w:val="18"/>
                <w:szCs w:val="18"/>
                <w:color w:val="010000"/>
              </w:rPr>
              <w:t>SECTION 8.01.</w:t>
            </w:r>
          </w:p>
        </w:tc>
        <w:tc>
          <w:tcPr>
            <w:tcW w:w="7060" w:type="dxa"/>
            <w:vAlign w:val="bottom"/>
          </w:tcPr>
          <w:p>
            <w:pPr>
              <w:ind w:left="120"/>
              <w:spacing w:after="0"/>
              <w:rPr>
                <w:sz w:val="20"/>
                <w:szCs w:val="20"/>
                <w:color w:val="auto"/>
              </w:rPr>
            </w:pPr>
            <w:r>
              <w:rPr>
                <w:rFonts w:ascii="Arial" w:cs="Arial" w:eastAsia="Arial" w:hAnsi="Arial"/>
                <w:sz w:val="18"/>
                <w:szCs w:val="18"/>
                <w:color w:val="auto"/>
              </w:rPr>
              <w:t>Authorization and Action</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8.02.</w:t>
            </w:r>
          </w:p>
        </w:tc>
        <w:tc>
          <w:tcPr>
            <w:tcW w:w="7060" w:type="dxa"/>
            <w:vAlign w:val="bottom"/>
          </w:tcPr>
          <w:p>
            <w:pPr>
              <w:ind w:left="120"/>
              <w:spacing w:after="0"/>
              <w:rPr>
                <w:sz w:val="20"/>
                <w:szCs w:val="20"/>
                <w:color w:val="auto"/>
              </w:rPr>
            </w:pPr>
            <w:r>
              <w:rPr>
                <w:rFonts w:ascii="Arial" w:cs="Arial" w:eastAsia="Arial" w:hAnsi="Arial"/>
                <w:sz w:val="18"/>
                <w:szCs w:val="18"/>
                <w:color w:val="auto"/>
              </w:rPr>
              <w:t>Agent Individually</w:t>
            </w:r>
          </w:p>
        </w:tc>
        <w:tc>
          <w:tcPr>
            <w:tcW w:w="2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8.03.</w:t>
            </w:r>
          </w:p>
        </w:tc>
        <w:tc>
          <w:tcPr>
            <w:tcW w:w="7060" w:type="dxa"/>
            <w:vAlign w:val="bottom"/>
          </w:tcPr>
          <w:p>
            <w:pPr>
              <w:ind w:left="120"/>
              <w:spacing w:after="0"/>
              <w:rPr>
                <w:sz w:val="20"/>
                <w:szCs w:val="20"/>
                <w:color w:val="auto"/>
              </w:rPr>
            </w:pPr>
            <w:r>
              <w:rPr>
                <w:rFonts w:ascii="Arial" w:cs="Arial" w:eastAsia="Arial" w:hAnsi="Arial"/>
                <w:sz w:val="18"/>
                <w:szCs w:val="18"/>
                <w:color w:val="auto"/>
              </w:rPr>
              <w:t>Duties of Agent; Exculpatory Provisions</w:t>
            </w:r>
          </w:p>
        </w:tc>
        <w:tc>
          <w:tcPr>
            <w:tcW w:w="2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8.04.</w:t>
            </w:r>
          </w:p>
        </w:tc>
        <w:tc>
          <w:tcPr>
            <w:tcW w:w="7060" w:type="dxa"/>
            <w:vAlign w:val="bottom"/>
          </w:tcPr>
          <w:p>
            <w:pPr>
              <w:ind w:left="120"/>
              <w:spacing w:after="0"/>
              <w:rPr>
                <w:sz w:val="20"/>
                <w:szCs w:val="20"/>
                <w:color w:val="auto"/>
              </w:rPr>
            </w:pPr>
            <w:r>
              <w:rPr>
                <w:rFonts w:ascii="Arial" w:cs="Arial" w:eastAsia="Arial" w:hAnsi="Arial"/>
                <w:sz w:val="18"/>
                <w:szCs w:val="18"/>
                <w:color w:val="auto"/>
              </w:rPr>
              <w:t>Reliance by Agent</w:t>
            </w: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8.05.</w:t>
            </w:r>
          </w:p>
        </w:tc>
        <w:tc>
          <w:tcPr>
            <w:tcW w:w="706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8.06.</w:t>
            </w:r>
          </w:p>
        </w:tc>
        <w:tc>
          <w:tcPr>
            <w:tcW w:w="706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8.07.</w:t>
            </w:r>
          </w:p>
        </w:tc>
        <w:tc>
          <w:tcPr>
            <w:tcW w:w="7060" w:type="dxa"/>
            <w:vAlign w:val="bottom"/>
          </w:tcPr>
          <w:p>
            <w:pPr>
              <w:ind w:left="120"/>
              <w:spacing w:after="0"/>
              <w:rPr>
                <w:sz w:val="20"/>
                <w:szCs w:val="20"/>
                <w:color w:val="auto"/>
              </w:rPr>
            </w:pPr>
            <w:r>
              <w:rPr>
                <w:rFonts w:ascii="Arial" w:cs="Arial" w:eastAsia="Arial" w:hAnsi="Arial"/>
                <w:sz w:val="18"/>
                <w:szCs w:val="18"/>
                <w:color w:val="auto"/>
              </w:rPr>
              <w:t>Resignation of Agent</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8.08.</w:t>
            </w:r>
          </w:p>
        </w:tc>
        <w:tc>
          <w:tcPr>
            <w:tcW w:w="7060" w:type="dxa"/>
            <w:vAlign w:val="bottom"/>
          </w:tcPr>
          <w:p>
            <w:pPr>
              <w:ind w:left="120"/>
              <w:spacing w:after="0"/>
              <w:rPr>
                <w:sz w:val="20"/>
                <w:szCs w:val="20"/>
                <w:color w:val="auto"/>
              </w:rPr>
            </w:pPr>
            <w:r>
              <w:rPr>
                <w:rFonts w:ascii="Arial" w:cs="Arial" w:eastAsia="Arial" w:hAnsi="Arial"/>
                <w:sz w:val="18"/>
                <w:szCs w:val="18"/>
                <w:color w:val="auto"/>
              </w:rPr>
              <w:t>Non-Reliance on Agent and Other Lenders</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8.09.</w:t>
            </w:r>
          </w:p>
        </w:tc>
        <w:tc>
          <w:tcPr>
            <w:tcW w:w="7060" w:type="dxa"/>
            <w:vAlign w:val="bottom"/>
          </w:tcPr>
          <w:p>
            <w:pPr>
              <w:ind w:left="120"/>
              <w:spacing w:after="0"/>
              <w:rPr>
                <w:sz w:val="20"/>
                <w:szCs w:val="20"/>
                <w:color w:val="auto"/>
              </w:rPr>
            </w:pPr>
            <w:r>
              <w:rPr>
                <w:rFonts w:ascii="Arial" w:cs="Arial" w:eastAsia="Arial" w:hAnsi="Arial"/>
                <w:sz w:val="18"/>
                <w:szCs w:val="18"/>
                <w:color w:val="auto"/>
              </w:rPr>
              <w:t>No Other Duties, etc</w:t>
            </w:r>
          </w:p>
        </w:tc>
        <w:tc>
          <w:tcPr>
            <w:tcW w:w="2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8.10.</w:t>
            </w:r>
          </w:p>
        </w:tc>
        <w:tc>
          <w:tcPr>
            <w:tcW w:w="7060" w:type="dxa"/>
            <w:vAlign w:val="bottom"/>
          </w:tcPr>
          <w:p>
            <w:pPr>
              <w:ind w:left="120"/>
              <w:spacing w:after="0"/>
              <w:rPr>
                <w:sz w:val="20"/>
                <w:szCs w:val="20"/>
                <w:color w:val="auto"/>
              </w:rPr>
            </w:pPr>
            <w:r>
              <w:rPr>
                <w:rFonts w:ascii="Arial" w:cs="Arial" w:eastAsia="Arial" w:hAnsi="Arial"/>
                <w:sz w:val="18"/>
                <w:szCs w:val="18"/>
                <w:color w:val="auto"/>
              </w:rPr>
              <w:t>Agent May File Proofs of Claim</w:t>
            </w:r>
          </w:p>
        </w:tc>
        <w:tc>
          <w:tcPr>
            <w:tcW w:w="2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8.11.</w:t>
            </w:r>
          </w:p>
        </w:tc>
        <w:tc>
          <w:tcPr>
            <w:tcW w:w="7060" w:type="dxa"/>
            <w:vAlign w:val="bottom"/>
          </w:tcPr>
          <w:p>
            <w:pPr>
              <w:ind w:left="120"/>
              <w:spacing w:after="0"/>
              <w:rPr>
                <w:sz w:val="20"/>
                <w:szCs w:val="20"/>
                <w:color w:val="auto"/>
              </w:rPr>
            </w:pPr>
            <w:r>
              <w:rPr>
                <w:rFonts w:ascii="Arial" w:cs="Arial" w:eastAsia="Arial" w:hAnsi="Arial"/>
                <w:sz w:val="18"/>
                <w:szCs w:val="18"/>
                <w:color w:val="auto"/>
              </w:rPr>
              <w:t>Intercreditor Arrangements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8.12.</w:t>
            </w:r>
          </w:p>
        </w:tc>
        <w:tc>
          <w:tcPr>
            <w:tcW w:w="70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0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8.13.</w:t>
            </w:r>
          </w:p>
        </w:tc>
        <w:tc>
          <w:tcPr>
            <w:tcW w:w="7060" w:type="dxa"/>
            <w:vAlign w:val="bottom"/>
          </w:tcPr>
          <w:p>
            <w:pPr>
              <w:ind w:left="120"/>
              <w:spacing w:after="0"/>
              <w:rPr>
                <w:sz w:val="20"/>
                <w:szCs w:val="20"/>
                <w:color w:val="auto"/>
              </w:rPr>
            </w:pPr>
            <w:r>
              <w:rPr>
                <w:rFonts w:ascii="Arial" w:cs="Arial" w:eastAsia="Arial" w:hAnsi="Arial"/>
                <w:sz w:val="18"/>
                <w:szCs w:val="18"/>
                <w:color w:val="auto"/>
              </w:rPr>
              <w:t>Bank Product Obligations and Specified Secured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8.14.</w:t>
            </w:r>
          </w:p>
        </w:tc>
        <w:tc>
          <w:tcPr>
            <w:tcW w:w="7060" w:type="dxa"/>
            <w:vAlign w:val="bottom"/>
          </w:tcPr>
          <w:p>
            <w:pPr>
              <w:ind w:left="120"/>
              <w:spacing w:after="0"/>
              <w:rPr>
                <w:sz w:val="20"/>
                <w:szCs w:val="20"/>
                <w:color w:val="auto"/>
              </w:rPr>
            </w:pPr>
            <w:r>
              <w:rPr>
                <w:rFonts w:ascii="Arial" w:cs="Arial" w:eastAsia="Arial" w:hAnsi="Arial"/>
                <w:sz w:val="18"/>
                <w:szCs w:val="18"/>
                <w:color w:val="auto"/>
              </w:rPr>
              <w:t>Parallel Debt and Dutch Security Rights</w:t>
            </w:r>
          </w:p>
        </w:tc>
        <w:tc>
          <w:tcPr>
            <w:tcW w:w="20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8.15.</w:t>
            </w:r>
          </w:p>
        </w:tc>
        <w:tc>
          <w:tcPr>
            <w:tcW w:w="7060" w:type="dxa"/>
            <w:vAlign w:val="bottom"/>
          </w:tcPr>
          <w:p>
            <w:pPr>
              <w:ind w:left="120"/>
              <w:spacing w:after="0"/>
              <w:rPr>
                <w:sz w:val="20"/>
                <w:szCs w:val="20"/>
                <w:color w:val="auto"/>
              </w:rPr>
            </w:pPr>
            <w:r>
              <w:rPr>
                <w:rFonts w:ascii="Arial" w:cs="Arial" w:eastAsia="Arial" w:hAnsi="Arial"/>
                <w:sz w:val="18"/>
                <w:szCs w:val="18"/>
                <w:color w:val="auto"/>
              </w:rPr>
              <w:t>Certain Matters Relating to German Law</w:t>
            </w:r>
          </w:p>
        </w:tc>
        <w:tc>
          <w:tcPr>
            <w:tcW w:w="20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8.16.</w:t>
            </w:r>
          </w:p>
        </w:tc>
        <w:tc>
          <w:tcPr>
            <w:tcW w:w="7060" w:type="dxa"/>
            <w:vAlign w:val="bottom"/>
          </w:tcPr>
          <w:p>
            <w:pPr>
              <w:ind w:left="120"/>
              <w:spacing w:after="0"/>
              <w:rPr>
                <w:sz w:val="20"/>
                <w:szCs w:val="20"/>
                <w:color w:val="auto"/>
              </w:rPr>
            </w:pPr>
            <w:r>
              <w:rPr>
                <w:rFonts w:ascii="Arial" w:cs="Arial" w:eastAsia="Arial" w:hAnsi="Arial"/>
                <w:sz w:val="18"/>
                <w:szCs w:val="18"/>
                <w:color w:val="auto"/>
              </w:rPr>
              <w:t>German Parallel Debt</w:t>
            </w:r>
          </w:p>
        </w:tc>
        <w:tc>
          <w:tcPr>
            <w:tcW w:w="20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4"/>
        </w:trPr>
        <w:tc>
          <w:tcPr>
            <w:tcW w:w="9340" w:type="dxa"/>
            <w:vAlign w:val="bottom"/>
            <w:gridSpan w:val="2"/>
          </w:tcPr>
          <w:p>
            <w:pPr>
              <w:spacing w:after="0"/>
              <w:rPr>
                <w:sz w:val="20"/>
                <w:szCs w:val="20"/>
                <w:color w:val="auto"/>
              </w:rPr>
            </w:pPr>
            <w:r>
              <w:rPr>
                <w:rFonts w:ascii="Arial" w:cs="Arial" w:eastAsia="Arial" w:hAnsi="Arial"/>
                <w:sz w:val="18"/>
                <w:szCs w:val="18"/>
                <w:color w:val="010000"/>
              </w:rPr>
              <w:t xml:space="preserve">ARTICLE IX </w:t>
            </w:r>
            <w:r>
              <w:rPr>
                <w:rFonts w:ascii="Arial" w:cs="Arial" w:eastAsia="Arial" w:hAnsi="Arial"/>
                <w:sz w:val="18"/>
                <w:szCs w:val="18"/>
                <w:color w:val="000000"/>
              </w:rPr>
              <w:t>MISCELLANEOUS</w:t>
            </w:r>
          </w:p>
        </w:tc>
        <w:tc>
          <w:tcPr>
            <w:tcW w:w="20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2"/>
        </w:trPr>
        <w:tc>
          <w:tcPr>
            <w:tcW w:w="2280" w:type="dxa"/>
            <w:vAlign w:val="bottom"/>
          </w:tcPr>
          <w:p>
            <w:pPr>
              <w:ind w:left="440"/>
              <w:spacing w:after="0"/>
              <w:rPr>
                <w:sz w:val="20"/>
                <w:szCs w:val="20"/>
                <w:color w:val="auto"/>
              </w:rPr>
            </w:pPr>
            <w:r>
              <w:rPr>
                <w:rFonts w:ascii="Arial" w:cs="Arial" w:eastAsia="Arial" w:hAnsi="Arial"/>
                <w:sz w:val="18"/>
                <w:szCs w:val="18"/>
                <w:color w:val="010000"/>
              </w:rPr>
              <w:t>SECTION 9.01.</w:t>
            </w:r>
          </w:p>
        </w:tc>
        <w:tc>
          <w:tcPr>
            <w:tcW w:w="7060" w:type="dxa"/>
            <w:vAlign w:val="bottom"/>
          </w:tcPr>
          <w:p>
            <w:pPr>
              <w:ind w:left="120"/>
              <w:spacing w:after="0"/>
              <w:rPr>
                <w:sz w:val="20"/>
                <w:szCs w:val="20"/>
                <w:color w:val="auto"/>
              </w:rPr>
            </w:pPr>
            <w:r>
              <w:rPr>
                <w:rFonts w:ascii="Arial" w:cs="Arial" w:eastAsia="Arial" w:hAnsi="Arial"/>
                <w:sz w:val="18"/>
                <w:szCs w:val="18"/>
                <w:color w:val="auto"/>
              </w:rPr>
              <w:t>Amendments, Waivers</w:t>
            </w:r>
          </w:p>
        </w:tc>
        <w:tc>
          <w:tcPr>
            <w:tcW w:w="20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9.02.</w:t>
            </w:r>
          </w:p>
        </w:tc>
        <w:tc>
          <w:tcPr>
            <w:tcW w:w="7060" w:type="dxa"/>
            <w:vAlign w:val="bottom"/>
          </w:tcPr>
          <w:p>
            <w:pPr>
              <w:ind w:left="120"/>
              <w:spacing w:after="0"/>
              <w:rPr>
                <w:sz w:val="20"/>
                <w:szCs w:val="20"/>
                <w:color w:val="auto"/>
              </w:rPr>
            </w:pPr>
            <w:r>
              <w:rPr>
                <w:rFonts w:ascii="Arial" w:cs="Arial" w:eastAsia="Arial" w:hAnsi="Arial"/>
                <w:sz w:val="18"/>
                <w:szCs w:val="18"/>
                <w:color w:val="auto"/>
              </w:rPr>
              <w:t>Notices, Etc.</w:t>
            </w:r>
          </w:p>
        </w:tc>
        <w:tc>
          <w:tcPr>
            <w:tcW w:w="20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9.03.</w:t>
            </w:r>
          </w:p>
        </w:tc>
        <w:tc>
          <w:tcPr>
            <w:tcW w:w="7060" w:type="dxa"/>
            <w:vAlign w:val="bottom"/>
          </w:tcPr>
          <w:p>
            <w:pPr>
              <w:ind w:left="120"/>
              <w:spacing w:after="0"/>
              <w:rPr>
                <w:sz w:val="20"/>
                <w:szCs w:val="20"/>
                <w:color w:val="auto"/>
              </w:rPr>
            </w:pPr>
            <w:r>
              <w:rPr>
                <w:rFonts w:ascii="Arial" w:cs="Arial" w:eastAsia="Arial" w:hAnsi="Arial"/>
                <w:sz w:val="18"/>
                <w:szCs w:val="18"/>
                <w:color w:val="auto"/>
              </w:rPr>
              <w:t>No Waiver; Remedies</w:t>
            </w:r>
          </w:p>
        </w:tc>
        <w:tc>
          <w:tcPr>
            <w:tcW w:w="2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9.04.</w:t>
            </w:r>
          </w:p>
        </w:tc>
        <w:tc>
          <w:tcPr>
            <w:tcW w:w="7060" w:type="dxa"/>
            <w:vAlign w:val="bottom"/>
          </w:tcPr>
          <w:p>
            <w:pPr>
              <w:ind w:left="120"/>
              <w:spacing w:after="0"/>
              <w:rPr>
                <w:sz w:val="20"/>
                <w:szCs w:val="20"/>
                <w:color w:val="auto"/>
              </w:rPr>
            </w:pPr>
            <w:r>
              <w:rPr>
                <w:rFonts w:ascii="Arial" w:cs="Arial" w:eastAsia="Arial" w:hAnsi="Arial"/>
                <w:sz w:val="18"/>
                <w:szCs w:val="18"/>
                <w:color w:val="auto"/>
              </w:rPr>
              <w:t>Costs and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9.05.</w:t>
            </w:r>
          </w:p>
        </w:tc>
        <w:tc>
          <w:tcPr>
            <w:tcW w:w="7060" w:type="dxa"/>
            <w:vAlign w:val="bottom"/>
          </w:tcPr>
          <w:p>
            <w:pPr>
              <w:ind w:left="120"/>
              <w:spacing w:after="0"/>
              <w:rPr>
                <w:sz w:val="20"/>
                <w:szCs w:val="20"/>
                <w:color w:val="auto"/>
              </w:rPr>
            </w:pPr>
            <w:r>
              <w:rPr>
                <w:rFonts w:ascii="Arial" w:cs="Arial" w:eastAsia="Arial" w:hAnsi="Arial"/>
                <w:sz w:val="18"/>
                <w:szCs w:val="18"/>
                <w:color w:val="auto"/>
              </w:rPr>
              <w:t>Payments Set Aside</w:t>
            </w:r>
          </w:p>
        </w:tc>
        <w:tc>
          <w:tcPr>
            <w:tcW w:w="2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9.06.</w:t>
            </w:r>
          </w:p>
        </w:tc>
        <w:tc>
          <w:tcPr>
            <w:tcW w:w="7060" w:type="dxa"/>
            <w:vAlign w:val="bottom"/>
          </w:tcPr>
          <w:p>
            <w:pPr>
              <w:ind w:left="120"/>
              <w:spacing w:after="0"/>
              <w:rPr>
                <w:sz w:val="20"/>
                <w:szCs w:val="20"/>
                <w:color w:val="auto"/>
              </w:rPr>
            </w:pPr>
            <w:r>
              <w:rPr>
                <w:rFonts w:ascii="Arial" w:cs="Arial" w:eastAsia="Arial" w:hAnsi="Arial"/>
                <w:sz w:val="18"/>
                <w:szCs w:val="18"/>
                <w:color w:val="auto"/>
              </w:rPr>
              <w:t>Right of Set-off</w:t>
            </w:r>
          </w:p>
        </w:tc>
        <w:tc>
          <w:tcPr>
            <w:tcW w:w="2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9.07.</w:t>
            </w:r>
          </w:p>
        </w:tc>
        <w:tc>
          <w:tcPr>
            <w:tcW w:w="7060" w:type="dxa"/>
            <w:vAlign w:val="bottom"/>
          </w:tcPr>
          <w:p>
            <w:pPr>
              <w:ind w:left="120"/>
              <w:spacing w:after="0"/>
              <w:rPr>
                <w:sz w:val="20"/>
                <w:szCs w:val="20"/>
                <w:color w:val="auto"/>
              </w:rPr>
            </w:pPr>
            <w:r>
              <w:rPr>
                <w:rFonts w:ascii="Arial" w:cs="Arial" w:eastAsia="Arial" w:hAnsi="Arial"/>
                <w:sz w:val="18"/>
                <w:szCs w:val="18"/>
                <w:color w:val="auto"/>
              </w:rPr>
              <w:t>Binding Effect</w:t>
            </w:r>
          </w:p>
        </w:tc>
        <w:tc>
          <w:tcPr>
            <w:tcW w:w="2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9.08.</w:t>
            </w:r>
          </w:p>
        </w:tc>
        <w:tc>
          <w:tcPr>
            <w:tcW w:w="7060" w:type="dxa"/>
            <w:vAlign w:val="bottom"/>
          </w:tcPr>
          <w:p>
            <w:pPr>
              <w:ind w:left="120"/>
              <w:spacing w:after="0"/>
              <w:rPr>
                <w:sz w:val="20"/>
                <w:szCs w:val="20"/>
                <w:color w:val="auto"/>
              </w:rPr>
            </w:pPr>
            <w:r>
              <w:rPr>
                <w:rFonts w:ascii="Arial" w:cs="Arial" w:eastAsia="Arial" w:hAnsi="Arial"/>
                <w:sz w:val="18"/>
                <w:szCs w:val="18"/>
                <w:color w:val="auto"/>
              </w:rPr>
              <w:t>Assignments and Participations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9.09.</w:t>
            </w:r>
          </w:p>
        </w:tc>
        <w:tc>
          <w:tcPr>
            <w:tcW w:w="70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20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9.10.</w:t>
            </w:r>
          </w:p>
        </w:tc>
        <w:tc>
          <w:tcPr>
            <w:tcW w:w="7060" w:type="dxa"/>
            <w:vAlign w:val="bottom"/>
          </w:tcPr>
          <w:p>
            <w:pPr>
              <w:ind w:left="120"/>
              <w:spacing w:after="0"/>
              <w:rPr>
                <w:sz w:val="20"/>
                <w:szCs w:val="20"/>
                <w:color w:val="auto"/>
              </w:rPr>
            </w:pPr>
            <w:r>
              <w:rPr>
                <w:rFonts w:ascii="Arial" w:cs="Arial" w:eastAsia="Arial" w:hAnsi="Arial"/>
                <w:sz w:val="18"/>
                <w:szCs w:val="18"/>
                <w:color w:val="auto"/>
              </w:rPr>
              <w:t>Execution in Counterparts</w:t>
            </w:r>
          </w:p>
        </w:tc>
        <w:tc>
          <w:tcPr>
            <w:tcW w:w="20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9.11.</w:t>
            </w:r>
          </w:p>
        </w:tc>
        <w:tc>
          <w:tcPr>
            <w:tcW w:w="7060" w:type="dxa"/>
            <w:vAlign w:val="bottom"/>
          </w:tcPr>
          <w:p>
            <w:pPr>
              <w:ind w:left="120"/>
              <w:spacing w:after="0"/>
              <w:rPr>
                <w:sz w:val="20"/>
                <w:szCs w:val="20"/>
                <w:color w:val="auto"/>
              </w:rPr>
            </w:pPr>
            <w:r>
              <w:rPr>
                <w:rFonts w:ascii="Arial" w:cs="Arial" w:eastAsia="Arial" w:hAnsi="Arial"/>
                <w:sz w:val="18"/>
                <w:szCs w:val="18"/>
                <w:color w:val="auto"/>
              </w:rPr>
              <w:t>Survival of Representations and Warranties</w:t>
            </w:r>
          </w:p>
        </w:tc>
        <w:tc>
          <w:tcPr>
            <w:tcW w:w="20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9.12.</w:t>
            </w:r>
          </w:p>
        </w:tc>
        <w:tc>
          <w:tcPr>
            <w:tcW w:w="70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0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9.13.</w:t>
            </w:r>
          </w:p>
        </w:tc>
        <w:tc>
          <w:tcPr>
            <w:tcW w:w="7060" w:type="dxa"/>
            <w:vAlign w:val="bottom"/>
          </w:tcPr>
          <w:p>
            <w:pPr>
              <w:ind w:left="120"/>
              <w:spacing w:after="0"/>
              <w:rPr>
                <w:sz w:val="20"/>
                <w:szCs w:val="20"/>
                <w:color w:val="auto"/>
              </w:rPr>
            </w:pPr>
            <w:r>
              <w:rPr>
                <w:rFonts w:ascii="Arial" w:cs="Arial" w:eastAsia="Arial" w:hAnsi="Arial"/>
                <w:sz w:val="18"/>
                <w:szCs w:val="18"/>
                <w:color w:val="auto"/>
              </w:rPr>
              <w:t>Jurisdiction</w:t>
            </w:r>
          </w:p>
        </w:tc>
        <w:tc>
          <w:tcPr>
            <w:tcW w:w="20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9.14.</w:t>
            </w:r>
          </w:p>
        </w:tc>
        <w:tc>
          <w:tcPr>
            <w:tcW w:w="7060" w:type="dxa"/>
            <w:vAlign w:val="bottom"/>
          </w:tcPr>
          <w:p>
            <w:pPr>
              <w:ind w:left="120"/>
              <w:spacing w:after="0"/>
              <w:rPr>
                <w:sz w:val="20"/>
                <w:szCs w:val="20"/>
                <w:color w:val="auto"/>
              </w:rPr>
            </w:pPr>
            <w:r>
              <w:rPr>
                <w:rFonts w:ascii="Arial" w:cs="Arial" w:eastAsia="Arial" w:hAnsi="Arial"/>
                <w:sz w:val="18"/>
                <w:szCs w:val="18"/>
                <w:color w:val="auto"/>
              </w:rPr>
              <w:t>No Liability of the Issuing Banks</w:t>
            </w:r>
          </w:p>
        </w:tc>
        <w:tc>
          <w:tcPr>
            <w:tcW w:w="20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9.15.</w:t>
            </w:r>
          </w:p>
        </w:tc>
        <w:tc>
          <w:tcPr>
            <w:tcW w:w="7060" w:type="dxa"/>
            <w:vAlign w:val="bottom"/>
          </w:tcPr>
          <w:p>
            <w:pPr>
              <w:ind w:left="120"/>
              <w:spacing w:after="0"/>
              <w:rPr>
                <w:sz w:val="20"/>
                <w:szCs w:val="20"/>
                <w:color w:val="auto"/>
              </w:rPr>
            </w:pPr>
            <w:r>
              <w:rPr>
                <w:rFonts w:ascii="Arial" w:cs="Arial" w:eastAsia="Arial" w:hAnsi="Arial"/>
                <w:sz w:val="18"/>
                <w:szCs w:val="18"/>
                <w:color w:val="auto"/>
              </w:rPr>
              <w:t>PATRIOT Act Notice</w:t>
            </w:r>
          </w:p>
        </w:tc>
        <w:tc>
          <w:tcPr>
            <w:tcW w:w="2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9.16.</w:t>
            </w:r>
          </w:p>
        </w:tc>
        <w:tc>
          <w:tcPr>
            <w:tcW w:w="7060" w:type="dxa"/>
            <w:vAlign w:val="bottom"/>
          </w:tcPr>
          <w:p>
            <w:pPr>
              <w:ind w:left="120"/>
              <w:spacing w:after="0"/>
              <w:rPr>
                <w:sz w:val="20"/>
                <w:szCs w:val="20"/>
                <w:color w:val="auto"/>
              </w:rPr>
            </w:pPr>
            <w:r>
              <w:rPr>
                <w:rFonts w:ascii="Arial" w:cs="Arial" w:eastAsia="Arial" w:hAnsi="Arial"/>
                <w:sz w:val="18"/>
                <w:szCs w:val="18"/>
                <w:color w:val="auto"/>
              </w:rPr>
              <w:t>Release of Collateral; Termination of Loan 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9.17.</w:t>
            </w:r>
          </w:p>
        </w:tc>
        <w:tc>
          <w:tcPr>
            <w:tcW w:w="7060" w:type="dxa"/>
            <w:vAlign w:val="bottom"/>
          </w:tcPr>
          <w:p>
            <w:pPr>
              <w:ind w:left="120"/>
              <w:spacing w:after="0"/>
              <w:rPr>
                <w:sz w:val="20"/>
                <w:szCs w:val="20"/>
                <w:color w:val="auto"/>
              </w:rPr>
            </w:pPr>
            <w:r>
              <w:rPr>
                <w:rFonts w:ascii="Arial" w:cs="Arial" w:eastAsia="Arial" w:hAnsi="Arial"/>
                <w:sz w:val="18"/>
                <w:szCs w:val="18"/>
                <w:color w:val="auto"/>
              </w:rPr>
              <w:t>Judgment Currency</w:t>
            </w:r>
          </w:p>
        </w:tc>
        <w:tc>
          <w:tcPr>
            <w:tcW w:w="2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9.18.</w:t>
            </w:r>
          </w:p>
        </w:tc>
        <w:tc>
          <w:tcPr>
            <w:tcW w:w="7060" w:type="dxa"/>
            <w:vAlign w:val="bottom"/>
          </w:tcPr>
          <w:p>
            <w:pPr>
              <w:ind w:left="120"/>
              <w:spacing w:after="0"/>
              <w:rPr>
                <w:sz w:val="20"/>
                <w:szCs w:val="20"/>
                <w:color w:val="auto"/>
              </w:rPr>
            </w:pPr>
            <w:r>
              <w:rPr>
                <w:rFonts w:ascii="Arial" w:cs="Arial" w:eastAsia="Arial" w:hAnsi="Arial"/>
                <w:sz w:val="18"/>
                <w:szCs w:val="18"/>
                <w:color w:val="auto"/>
              </w:rPr>
              <w:t>No Fiduciary Duty</w:t>
            </w:r>
          </w:p>
        </w:tc>
        <w:tc>
          <w:tcPr>
            <w:tcW w:w="2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9.19.</w:t>
            </w:r>
          </w:p>
        </w:tc>
        <w:tc>
          <w:tcPr>
            <w:tcW w:w="7060" w:type="dxa"/>
            <w:vAlign w:val="bottom"/>
          </w:tcPr>
          <w:p>
            <w:pPr>
              <w:ind w:left="120"/>
              <w:spacing w:after="0"/>
              <w:rPr>
                <w:sz w:val="20"/>
                <w:szCs w:val="20"/>
                <w:color w:val="auto"/>
              </w:rPr>
            </w:pPr>
            <w:r>
              <w:rPr>
                <w:rFonts w:ascii="Arial" w:cs="Arial" w:eastAsia="Arial" w:hAnsi="Arial"/>
                <w:sz w:val="18"/>
                <w:szCs w:val="18"/>
                <w:color w:val="auto"/>
              </w:rPr>
              <w:t>Electronic Execution of Assignments and Certain Other 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3"/>
        </w:trPr>
        <w:tc>
          <w:tcPr>
            <w:tcW w:w="2280" w:type="dxa"/>
            <w:vAlign w:val="bottom"/>
          </w:tcPr>
          <w:p>
            <w:pPr>
              <w:ind w:left="440"/>
              <w:spacing w:after="0"/>
              <w:rPr>
                <w:sz w:val="20"/>
                <w:szCs w:val="20"/>
                <w:color w:val="auto"/>
              </w:rPr>
            </w:pPr>
            <w:r>
              <w:rPr>
                <w:rFonts w:ascii="Arial" w:cs="Arial" w:eastAsia="Arial" w:hAnsi="Arial"/>
                <w:sz w:val="18"/>
                <w:szCs w:val="18"/>
                <w:color w:val="010000"/>
              </w:rPr>
              <w:t>SECTION 9.20.</w:t>
            </w:r>
          </w:p>
        </w:tc>
        <w:tc>
          <w:tcPr>
            <w:tcW w:w="7060" w:type="dxa"/>
            <w:vAlign w:val="bottom"/>
          </w:tcPr>
          <w:p>
            <w:pPr>
              <w:ind w:left="1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4"/>
        </w:trPr>
        <w:tc>
          <w:tcPr>
            <w:tcW w:w="2280" w:type="dxa"/>
            <w:vAlign w:val="bottom"/>
          </w:tcPr>
          <w:p>
            <w:pPr>
              <w:ind w:left="440"/>
              <w:spacing w:after="0"/>
              <w:rPr>
                <w:sz w:val="20"/>
                <w:szCs w:val="20"/>
                <w:color w:val="auto"/>
              </w:rPr>
            </w:pPr>
            <w:r>
              <w:rPr>
                <w:rFonts w:ascii="Arial" w:cs="Arial" w:eastAsia="Arial" w:hAnsi="Arial"/>
                <w:sz w:val="18"/>
                <w:szCs w:val="18"/>
                <w:color w:val="010000"/>
              </w:rPr>
              <w:t>SECTION 9.21.</w:t>
            </w:r>
          </w:p>
        </w:tc>
        <w:tc>
          <w:tcPr>
            <w:tcW w:w="7060" w:type="dxa"/>
            <w:vAlign w:val="bottom"/>
          </w:tcPr>
          <w:p>
            <w:pPr>
              <w:ind w:left="120"/>
              <w:spacing w:after="0"/>
              <w:rPr>
                <w:sz w:val="20"/>
                <w:szCs w:val="20"/>
                <w:color w:val="auto"/>
              </w:rPr>
            </w:pPr>
            <w:r>
              <w:rPr>
                <w:rFonts w:ascii="Arial" w:cs="Arial" w:eastAsia="Arial" w:hAnsi="Arial"/>
                <w:sz w:val="18"/>
                <w:szCs w:val="18"/>
                <w:color w:val="auto"/>
              </w:rPr>
              <w:t>No Novation</w:t>
            </w:r>
          </w:p>
        </w:tc>
        <w:tc>
          <w:tcPr>
            <w:tcW w:w="20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520" w:type="dxa"/>
            <w:vAlign w:val="bottom"/>
          </w:tcPr>
          <w:p>
            <w:pPr>
              <w:spacing w:after="0"/>
              <w:rPr>
                <w:sz w:val="17"/>
                <w:szCs w:val="17"/>
                <w:color w:val="auto"/>
              </w:rPr>
            </w:pPr>
          </w:p>
        </w:tc>
        <w:tc>
          <w:tcPr>
            <w:tcW w:w="9300" w:type="dxa"/>
            <w:vAlign w:val="bottom"/>
          </w:tcPr>
          <w:p>
            <w:pPr>
              <w:spacing w:after="0"/>
              <w:rPr>
                <w:sz w:val="17"/>
                <w:szCs w:val="17"/>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434"/>
        </w:trPr>
        <w:tc>
          <w:tcPr>
            <w:tcW w:w="1620" w:type="dxa"/>
            <w:vAlign w:val="bottom"/>
            <w:gridSpan w:val="2"/>
          </w:tcPr>
          <w:p>
            <w:pPr>
              <w:spacing w:after="0"/>
              <w:rPr>
                <w:sz w:val="20"/>
                <w:szCs w:val="20"/>
                <w:color w:val="auto"/>
              </w:rPr>
            </w:pPr>
            <w:r>
              <w:rPr>
                <w:rFonts w:ascii="Arial" w:cs="Arial" w:eastAsia="Arial" w:hAnsi="Arial"/>
                <w:sz w:val="18"/>
                <w:szCs w:val="18"/>
                <w:color w:val="auto"/>
              </w:rPr>
              <w:t>Schedule I</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Commitments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II</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Subsidiary Guarantors and Restricted Subsidiaries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III</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Deposit Accounts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1.01(a)</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Acceptable Foreign Currencies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1.01(d)</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Designated Guarantors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1.01(m)</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[Reserved]</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1.01(u)</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Unrestricted Subsidiaries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4.01(f)</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Litigation</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4.01(i)</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Intellectual Property</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4.01(q)</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Collective Bargaining Agreements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4.01(dd)</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Labor Matters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5.01(k)</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5.01(m)</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Foreign Security Interests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5.01(r)</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Post-Closing Obligations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5.02(a)</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Existing Liens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5.02(d)</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Existing Debt</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5.02(e)</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Dispositions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6.01(f)</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Judgments and Orders</w:t>
            </w:r>
          </w:p>
        </w:tc>
      </w:tr>
      <w:tr>
        <w:trPr>
          <w:trHeight w:val="213"/>
        </w:trPr>
        <w:tc>
          <w:tcPr>
            <w:tcW w:w="1620" w:type="dxa"/>
            <w:vAlign w:val="bottom"/>
            <w:gridSpan w:val="2"/>
          </w:tcPr>
          <w:p>
            <w:pPr>
              <w:spacing w:after="0"/>
              <w:rPr>
                <w:sz w:val="20"/>
                <w:szCs w:val="20"/>
                <w:color w:val="auto"/>
              </w:rPr>
            </w:pPr>
            <w:r>
              <w:rPr>
                <w:rFonts w:ascii="Arial" w:cs="Arial" w:eastAsia="Arial" w:hAnsi="Arial"/>
                <w:sz w:val="18"/>
                <w:szCs w:val="18"/>
                <w:color w:val="auto"/>
              </w:rPr>
              <w:t>Schedule 9.02</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Agent’s Office; Certain Address for Notices</w:t>
            </w:r>
          </w:p>
        </w:tc>
      </w:tr>
      <w:tr>
        <w:trPr>
          <w:trHeight w:val="224"/>
        </w:trPr>
        <w:tc>
          <w:tcPr>
            <w:tcW w:w="1620" w:type="dxa"/>
            <w:vAlign w:val="bottom"/>
            <w:gridSpan w:val="2"/>
          </w:tcPr>
          <w:p>
            <w:pPr>
              <w:spacing w:after="0"/>
              <w:rPr>
                <w:sz w:val="20"/>
                <w:szCs w:val="20"/>
                <w:color w:val="auto"/>
              </w:rPr>
            </w:pPr>
            <w:r>
              <w:rPr>
                <w:rFonts w:ascii="Arial" w:cs="Arial" w:eastAsia="Arial" w:hAnsi="Arial"/>
                <w:sz w:val="18"/>
                <w:szCs w:val="18"/>
                <w:color w:val="auto"/>
              </w:rPr>
              <w:t>Schedule S-1</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300" w:type="dxa"/>
            <w:vAlign w:val="bottom"/>
          </w:tcPr>
          <w:p>
            <w:pPr>
              <w:ind w:left="160"/>
              <w:spacing w:after="0"/>
              <w:rPr>
                <w:sz w:val="20"/>
                <w:szCs w:val="20"/>
                <w:color w:val="auto"/>
              </w:rPr>
            </w:pPr>
            <w:r>
              <w:rPr>
                <w:rFonts w:ascii="Arial" w:cs="Arial" w:eastAsia="Arial" w:hAnsi="Arial"/>
                <w:sz w:val="18"/>
                <w:szCs w:val="18"/>
                <w:color w:val="auto"/>
              </w:rPr>
              <w:t>Specified Secured Obligations</w:t>
            </w:r>
          </w:p>
        </w:tc>
      </w:tr>
      <w:tr>
        <w:trPr>
          <w:trHeight w:val="427"/>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00" w:type="dxa"/>
            <w:vAlign w:val="bottom"/>
          </w:tcPr>
          <w:p>
            <w:pPr>
              <w:ind w:left="3500"/>
              <w:spacing w:after="0"/>
              <w:rPr>
                <w:sz w:val="20"/>
                <w:szCs w:val="20"/>
                <w:color w:val="auto"/>
              </w:rPr>
            </w:pPr>
            <w:r>
              <w:rPr>
                <w:rFonts w:ascii="Arial" w:cs="Arial" w:eastAsia="Arial" w:hAnsi="Arial"/>
                <w:sz w:val="18"/>
                <w:szCs w:val="18"/>
                <w:color w:val="auto"/>
              </w:rPr>
              <w:t>iii</w:t>
            </w:r>
          </w:p>
        </w:tc>
      </w:tr>
      <w:tr>
        <w:trPr>
          <w:trHeight w:val="115"/>
        </w:trPr>
        <w:tc>
          <w:tcPr>
            <w:tcW w:w="7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434"/>
        </w:trPr>
        <w:tc>
          <w:tcPr>
            <w:tcW w:w="13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Form of Note</w:t>
            </w:r>
          </w:p>
        </w:tc>
      </w:tr>
      <w:tr>
        <w:trPr>
          <w:trHeight w:val="213"/>
        </w:trPr>
        <w:tc>
          <w:tcPr>
            <w:tcW w:w="138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Form of Notice of Borrowing</w:t>
            </w:r>
          </w:p>
        </w:tc>
      </w:tr>
      <w:tr>
        <w:trPr>
          <w:trHeight w:val="213"/>
        </w:trPr>
        <w:tc>
          <w:tcPr>
            <w:tcW w:w="138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Form of Swingline Loan Notice</w:t>
            </w:r>
          </w:p>
        </w:tc>
      </w:tr>
      <w:tr>
        <w:trPr>
          <w:trHeight w:val="213"/>
        </w:trPr>
        <w:tc>
          <w:tcPr>
            <w:tcW w:w="138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Form of Assignment and Acceptance</w:t>
            </w:r>
          </w:p>
        </w:tc>
      </w:tr>
      <w:tr>
        <w:trPr>
          <w:trHeight w:val="213"/>
        </w:trPr>
        <w:tc>
          <w:tcPr>
            <w:tcW w:w="138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Form of Solvency Certificate</w:t>
            </w:r>
          </w:p>
        </w:tc>
      </w:tr>
      <w:tr>
        <w:trPr>
          <w:trHeight w:val="213"/>
        </w:trPr>
        <w:tc>
          <w:tcPr>
            <w:tcW w:w="138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Form of Guaranty Supplement</w:t>
            </w:r>
          </w:p>
        </w:tc>
      </w:tr>
      <w:tr>
        <w:trPr>
          <w:trHeight w:val="213"/>
        </w:trPr>
        <w:tc>
          <w:tcPr>
            <w:tcW w:w="138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Form of Borrowing Base Certificate</w:t>
            </w:r>
          </w:p>
        </w:tc>
      </w:tr>
      <w:tr>
        <w:trPr>
          <w:trHeight w:val="213"/>
        </w:trPr>
        <w:tc>
          <w:tcPr>
            <w:tcW w:w="138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w w:val="96"/>
              </w:rPr>
              <w:t>Form of Bank Products Obligations Agreement</w:t>
            </w:r>
          </w:p>
        </w:tc>
      </w:tr>
      <w:tr>
        <w:trPr>
          <w:trHeight w:val="213"/>
        </w:trPr>
        <w:tc>
          <w:tcPr>
            <w:tcW w:w="138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Form of Compliance Certificate</w:t>
            </w:r>
          </w:p>
        </w:tc>
      </w:tr>
      <w:tr>
        <w:trPr>
          <w:trHeight w:val="213"/>
        </w:trPr>
        <w:tc>
          <w:tcPr>
            <w:tcW w:w="138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Form of Release Notice</w:t>
            </w:r>
          </w:p>
        </w:tc>
      </w:tr>
      <w:tr>
        <w:trPr>
          <w:trHeight w:val="224"/>
        </w:trPr>
        <w:tc>
          <w:tcPr>
            <w:tcW w:w="1380" w:type="dxa"/>
            <w:vAlign w:val="bottom"/>
            <w:gridSpan w:val="2"/>
          </w:tcPr>
          <w:p>
            <w:pPr>
              <w:spacing w:after="0"/>
              <w:rPr>
                <w:sz w:val="20"/>
                <w:szCs w:val="20"/>
                <w:color w:val="auto"/>
              </w:rPr>
            </w:pPr>
            <w:r>
              <w:rPr>
                <w:rFonts w:ascii="Arial" w:cs="Arial" w:eastAsia="Arial" w:hAnsi="Arial"/>
                <w:sz w:val="18"/>
                <w:szCs w:val="18"/>
                <w:color w:val="auto"/>
              </w:rPr>
              <w:t>Exhibit J</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w w:val="89"/>
              </w:rPr>
              <w:t>Form of Specified Secured Obligations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319"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May 26, 2016</w:t>
      </w:r>
    </w:p>
    <w:p>
      <w:pPr>
        <w:spacing w:after="0" w:line="220"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EASTMAN KODAK COMPANY, a New Jersey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or “</w:t>
      </w:r>
      <w:r>
        <w:rPr>
          <w:rFonts w:ascii="Arial" w:cs="Arial" w:eastAsia="Arial" w:hAnsi="Arial"/>
          <w:sz w:val="18"/>
          <w:szCs w:val="18"/>
          <w:u w:val="single" w:color="auto"/>
          <w:color w:val="auto"/>
        </w:rPr>
        <w:t>Company</w:t>
      </w:r>
      <w:r>
        <w:rPr>
          <w:rFonts w:ascii="Arial" w:cs="Arial" w:eastAsia="Arial" w:hAnsi="Arial"/>
          <w:sz w:val="18"/>
          <w:szCs w:val="18"/>
          <w:color w:val="auto"/>
        </w:rPr>
        <w:t>”), the Guarantors (as hereinafter defined), the banks, financial institutions and other institutional lenders (excluding the Non-Consenting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issuers of letters of credit from time to time party hereto, BANK OF AMERICA, N.A. and JPMORGAN CHASE BANK, N.A., as joint lead arrangers and joint bookrunners, BANK OF AMERICA, N.A., as administrative agent and collateral agent for the Lenders, and each bank that submits a signature page hereto as a non-consenting lender (the “</w:t>
      </w:r>
      <w:r>
        <w:rPr>
          <w:rFonts w:ascii="Arial" w:cs="Arial" w:eastAsia="Arial" w:hAnsi="Arial"/>
          <w:sz w:val="18"/>
          <w:szCs w:val="18"/>
          <w:u w:val="single" w:color="auto"/>
          <w:color w:val="auto"/>
        </w:rPr>
        <w:t>Non-Consenting Lenders</w:t>
      </w:r>
      <w:r>
        <w:rPr>
          <w:rFonts w:ascii="Arial" w:cs="Arial" w:eastAsia="Arial" w:hAnsi="Arial"/>
          <w:sz w:val="18"/>
          <w:szCs w:val="18"/>
          <w:color w:val="auto"/>
        </w:rPr>
        <w:t>”) solely for purposes of Section 2.25, agree as follows:</w:t>
      </w:r>
    </w:p>
    <w:p>
      <w:pPr>
        <w:spacing w:after="0" w:line="193"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WHEREAS, the Borrower entered into that certain Credit Agreement, dated as of September 3, 2013, among the Borrower, the Guarantors, the banks, financial institutions and other institutional lenders and issuers of letters of credit from time to time party thereto, Merrill Lynch, Pierce, Fenner &amp; Smith Incorporated, Barclays Bank PLC and J.P. Morgan Securities LLC, as joint lead arrangers and joint bookrunners, Barclays Bank PLC, as syndication agent, and Bank of America, N.A., as administrative agent and collateral agent for the Lenders (as amended, supplemented or otherwise modified prior to the Closing Date,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9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WHEREAS, this Agreement amends and restates the Existing Credit Agreement in its entirety and without novation and shall, upon execution by all parties to the Existing Credit Agreement (and the Non-Consenting Lenders solely for purposes of Section 2.25) and the satisfaction or waiver of the conditions set forth in Section 3.01, be binding on all parties hereto;</w:t>
      </w:r>
    </w:p>
    <w:p>
      <w:pPr>
        <w:spacing w:after="0" w:line="188" w:lineRule="exact"/>
        <w:rPr>
          <w:sz w:val="20"/>
          <w:szCs w:val="20"/>
          <w:color w:val="auto"/>
        </w:rPr>
      </w:pPr>
    </w:p>
    <w:p>
      <w:pPr>
        <w:ind w:right="200" w:firstLine="518"/>
        <w:spacing w:after="0" w:line="26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that on the Closing Date, the Existing Credit Agreement shall be amended and restated in its entirety as follows: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10000"/>
        </w:rPr>
        <w:t>ARTICLE 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 AND ACCOUNTING TERMS</w:t>
      </w:r>
    </w:p>
    <w:p>
      <w:pPr>
        <w:spacing w:after="0" w:line="220" w:lineRule="exact"/>
        <w:rPr>
          <w:sz w:val="20"/>
          <w:szCs w:val="20"/>
          <w:color w:val="auto"/>
        </w:rPr>
      </w:pPr>
    </w:p>
    <w:p>
      <w:pPr>
        <w:ind w:right="540" w:firstLine="518"/>
        <w:spacing w:after="0" w:line="267" w:lineRule="auto"/>
        <w:rPr>
          <w:sz w:val="20"/>
          <w:szCs w:val="20"/>
          <w:color w:val="auto"/>
        </w:rPr>
      </w:pPr>
      <w:r>
        <w:rPr>
          <w:rFonts w:ascii="Arial" w:cs="Arial" w:eastAsia="Arial" w:hAnsi="Arial"/>
          <w:sz w:val="18"/>
          <w:szCs w:val="18"/>
          <w:color w:val="010000"/>
        </w:rPr>
        <w:t xml:space="preserve">SECTION 1.01. </w:t>
      </w:r>
      <w:r>
        <w:rPr>
          <w:rFonts w:ascii="Arial" w:cs="Arial" w:eastAsia="Arial" w:hAnsi="Arial"/>
          <w:sz w:val="18"/>
          <w:szCs w:val="18"/>
          <w:u w:val="single" w:color="auto"/>
          <w:color w:val="010000"/>
        </w:rPr>
        <w:t>Certain Defined Terms</w:t>
      </w:r>
      <w:r>
        <w:rPr>
          <w:rFonts w:ascii="Arial" w:cs="Arial" w:eastAsia="Arial" w:hAnsi="Arial"/>
          <w:sz w:val="18"/>
          <w:szCs w:val="18"/>
          <w:color w:val="010000"/>
        </w:rPr>
        <w:t>. As used in this Agreement, the following terms shall have the following meanings (such meanings to be equally applicable to both the singular and plural forms of the terms defined):</w:t>
      </w:r>
    </w:p>
    <w:p>
      <w:pPr>
        <w:spacing w:after="0" w:line="180" w:lineRule="exact"/>
        <w:rPr>
          <w:sz w:val="20"/>
          <w:szCs w:val="20"/>
          <w:color w:val="auto"/>
        </w:rPr>
      </w:pPr>
    </w:p>
    <w:p>
      <w:pPr>
        <w:ind w:right="5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has the meaning set forth in the Term Loan Intercreditor Agreement and after the termination of the Term Loan Intercreditor Agreement, shall mean all Collateral.</w:t>
      </w:r>
    </w:p>
    <w:p>
      <w:pPr>
        <w:spacing w:after="0" w:line="180" w:lineRule="exact"/>
        <w:rPr>
          <w:sz w:val="20"/>
          <w:szCs w:val="20"/>
          <w:color w:val="auto"/>
        </w:rPr>
      </w:pPr>
    </w:p>
    <w:p>
      <w:pPr>
        <w:ind w:right="6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Foreign Currency</w:t>
      </w:r>
      <w:r>
        <w:rPr>
          <w:rFonts w:ascii="Arial" w:cs="Arial" w:eastAsia="Arial" w:hAnsi="Arial"/>
          <w:sz w:val="18"/>
          <w:szCs w:val="18"/>
          <w:color w:val="auto"/>
        </w:rPr>
        <w:t xml:space="preserve">” means Pounds Sterling, Euros, the currencies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 any other currency used in the ordinary course of business of the Company and its Restricted Subsidiaries for cash management purposes outside the United States and any other currency as may be approved by the Agent from time to time in its sole discretion.</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each Person obligated on an Account.</w:t>
      </w:r>
    </w:p>
    <w:p>
      <w:pPr>
        <w:spacing w:after="0" w:line="220" w:lineRule="exact"/>
        <w:rPr>
          <w:sz w:val="20"/>
          <w:szCs w:val="20"/>
          <w:color w:val="auto"/>
        </w:rPr>
      </w:pPr>
    </w:p>
    <w:p>
      <w:pPr>
        <w:ind w:right="12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transaction or series of transactions resulting in (a) acquisition of a business, division or substantially all assets of a Person; (b) record or beneficial ownership of 50% or more of the equity interests of a Person; or (c) merger, consolidation or combination of the Borrower or a Restricted Subsidiary with another Person.</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specified in the UCC.</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w:t>
      </w:r>
      <w:r>
        <w:rPr>
          <w:rFonts w:ascii="Arial" w:cs="Arial" w:eastAsia="Arial" w:hAnsi="Arial"/>
          <w:sz w:val="18"/>
          <w:szCs w:val="18"/>
          <w:color w:val="auto"/>
        </w:rPr>
        <w:t>” means automated clearinghouse transfers.</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Activities</w:t>
      </w:r>
      <w:r>
        <w:rPr>
          <w:rFonts w:ascii="Arial" w:cs="Arial" w:eastAsia="Arial" w:hAnsi="Arial"/>
          <w:sz w:val="18"/>
          <w:szCs w:val="18"/>
          <w:color w:val="auto"/>
        </w:rPr>
        <w:t>” has the meaning specified in Section 8.02(b).</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has the meaning specified in Section 7.05.</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has the meaning specified in the definition of “Applicable Margin”.</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337820</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45" w:name="page46"/>
    <w:bookmarkEnd w:id="45"/>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has the meaning specified in Section 2.20.</w:t>
      </w:r>
    </w:p>
    <w:p>
      <w:pPr>
        <w:spacing w:after="0" w:line="220" w:lineRule="exact"/>
        <w:rPr>
          <w:sz w:val="20"/>
          <w:szCs w:val="20"/>
          <w:color w:val="auto"/>
        </w:rPr>
      </w:pPr>
    </w:p>
    <w:p>
      <w:pPr>
        <w:ind w:firstLine="103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77" w:lineRule="exact"/>
        <w:rPr>
          <w:sz w:val="20"/>
          <w:szCs w:val="20"/>
          <w:color w:val="auto"/>
        </w:rPr>
      </w:pPr>
    </w:p>
    <w:p>
      <w:pPr>
        <w:ind w:right="9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Bank of America, in its capacity as administrative and collateral agent under the Loan Documents, or any successor administrative agent appointed in accordance with Section 8.07.</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specified in Section 9.02(d).</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xml:space="preserve">” means the account of the Agent maintained by the Agent at its office as set forth on </w:t>
      </w:r>
      <w:r>
        <w:rPr>
          <w:rFonts w:ascii="Arial" w:cs="Arial" w:eastAsia="Arial" w:hAnsi="Arial"/>
          <w:sz w:val="18"/>
          <w:szCs w:val="18"/>
          <w:u w:val="single" w:color="auto"/>
          <w:color w:val="auto"/>
        </w:rPr>
        <w:t>Schedule 9.02</w:t>
      </w:r>
      <w:r>
        <w:rPr>
          <w:rFonts w:ascii="Arial" w:cs="Arial" w:eastAsia="Arial" w:hAnsi="Arial"/>
          <w:sz w:val="18"/>
          <w:szCs w:val="18"/>
          <w:color w:val="auto"/>
        </w:rPr>
        <w:t>.</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Group</w:t>
      </w:r>
      <w:r>
        <w:rPr>
          <w:rFonts w:ascii="Arial" w:cs="Arial" w:eastAsia="Arial" w:hAnsi="Arial"/>
          <w:sz w:val="18"/>
          <w:szCs w:val="18"/>
          <w:color w:val="auto"/>
        </w:rPr>
        <w:t>” has the meaning specified in Section 8.02(b).</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Sweep Account</w:t>
      </w:r>
      <w:r>
        <w:rPr>
          <w:rFonts w:ascii="Arial" w:cs="Arial" w:eastAsia="Arial" w:hAnsi="Arial"/>
          <w:sz w:val="18"/>
          <w:szCs w:val="18"/>
          <w:color w:val="auto"/>
        </w:rPr>
        <w:t>” has the meaning specified in Section 2.18(b).</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Amended and Restated Credit Agreement, as amended, restated, supplemented or otherwise modified from time to time.</w:t>
      </w:r>
    </w:p>
    <w:p>
      <w:pPr>
        <w:spacing w:after="0" w:line="24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AlixPartners</w:t>
      </w:r>
      <w:r>
        <w:rPr>
          <w:rFonts w:ascii="Arial" w:cs="Arial" w:eastAsia="Arial" w:hAnsi="Arial"/>
          <w:sz w:val="18"/>
          <w:szCs w:val="18"/>
          <w:color w:val="auto"/>
        </w:rPr>
        <w:t>” means AP Services, LLC, AlixPartners, LLP, and their subsidiary affiliates.</w:t>
      </w:r>
    </w:p>
    <w:p>
      <w:pPr>
        <w:spacing w:after="0" w:line="220" w:lineRule="exact"/>
        <w:rPr>
          <w:sz w:val="20"/>
          <w:szCs w:val="20"/>
          <w:color w:val="auto"/>
        </w:rPr>
      </w:pPr>
    </w:p>
    <w:p>
      <w:pPr>
        <w:ind w:right="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applicable to the Borrower or any of its Subsidiaries from time to time concerning or relating to bribery or corruption.</w:t>
      </w:r>
    </w:p>
    <w:p>
      <w:pPr>
        <w:spacing w:after="0" w:line="180" w:lineRule="exact"/>
        <w:rPr>
          <w:sz w:val="20"/>
          <w:szCs w:val="20"/>
          <w:color w:val="auto"/>
        </w:rPr>
      </w:pPr>
    </w:p>
    <w:p>
      <w:pPr>
        <w:ind w:right="14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with respect to each Lender, such Lender’s Domestic Lending Office in the case of a Base Rate Revolving Loan and such Lender’s Eurodollar Lending Office in the case of a Eurodollar Rate Revolving Loan.</w:t>
      </w:r>
    </w:p>
    <w:p>
      <w:pPr>
        <w:spacing w:after="0" w:line="180" w:lineRule="exact"/>
        <w:rPr>
          <w:sz w:val="20"/>
          <w:szCs w:val="20"/>
          <w:color w:val="auto"/>
        </w:rPr>
      </w:pPr>
    </w:p>
    <w:p>
      <w:pPr>
        <w:ind w:right="20" w:firstLine="1034"/>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xml:space="preserve">” means 2.75% per annum, in the case of Eurodollar Rate Revolving Loans, and 1.75% per annum, in the case of Base Rate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on and after the first Adjustment Date, the Applicable Margin will be the rate per annum as determined pursuant to the pricing grid below based upon the average daily Excess Availability for the most recently ended fiscal quarter immediately preceding such Adjustment Date:</w:t>
      </w:r>
    </w:p>
    <w:p>
      <w:pPr>
        <w:spacing w:after="0" w:line="147" w:lineRule="exact"/>
        <w:rPr>
          <w:sz w:val="20"/>
          <w:szCs w:val="20"/>
          <w:color w:val="auto"/>
        </w:rPr>
      </w:pPr>
    </w:p>
    <w:tbl>
      <w:tblPr>
        <w:tblLayout w:type="fixed"/>
        <w:tblInd w:w="590" w:type="dxa"/>
        <w:tblCellMar>
          <w:top w:w="0" w:type="dxa"/>
          <w:left w:w="0" w:type="dxa"/>
          <w:bottom w:w="0" w:type="dxa"/>
          <w:right w:w="0" w:type="dxa"/>
        </w:tblCellMar>
      </w:tblPr>
      <w:tr>
        <w:trPr>
          <w:trHeight w:val="141"/>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5920" w:type="dxa"/>
            <w:vAlign w:val="bottom"/>
            <w:tcBorders>
              <w:top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5"/>
              </w:rPr>
              <w:t>Applicable Margin</w:t>
            </w:r>
          </w:p>
        </w:tc>
        <w:tc>
          <w:tcPr>
            <w:tcW w:w="172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Applicable Margin</w:t>
            </w:r>
          </w:p>
        </w:tc>
      </w:tr>
      <w:tr>
        <w:trPr>
          <w:trHeight w:val="147"/>
        </w:trPr>
        <w:tc>
          <w:tcPr>
            <w:tcW w:w="920" w:type="dxa"/>
            <w:vAlign w:val="bottom"/>
            <w:tcBorders>
              <w:left w:val="single" w:sz="8" w:color="auto"/>
              <w:right w:val="single" w:sz="8" w:color="auto"/>
            </w:tcBorders>
          </w:tcPr>
          <w:p>
            <w:pPr>
              <w:spacing w:after="0"/>
              <w:rPr>
                <w:sz w:val="12"/>
                <w:szCs w:val="12"/>
                <w:color w:val="auto"/>
              </w:rPr>
            </w:pPr>
          </w:p>
        </w:tc>
        <w:tc>
          <w:tcPr>
            <w:tcW w:w="5920" w:type="dxa"/>
            <w:vAlign w:val="bottom"/>
            <w:tcBorders>
              <w:right w:val="single" w:sz="8" w:color="auto"/>
            </w:tcBorders>
          </w:tcPr>
          <w:p>
            <w:pPr>
              <w:ind w:left="2320"/>
              <w:spacing w:after="0" w:line="147" w:lineRule="exact"/>
              <w:rPr>
                <w:sz w:val="20"/>
                <w:szCs w:val="20"/>
                <w:color w:val="auto"/>
              </w:rPr>
            </w:pPr>
            <w:r>
              <w:rPr>
                <w:rFonts w:ascii="Arial" w:cs="Arial" w:eastAsia="Arial" w:hAnsi="Arial"/>
                <w:sz w:val="14"/>
                <w:szCs w:val="14"/>
                <w:color w:val="auto"/>
              </w:rPr>
              <w:t>Average Daily Excess</w:t>
            </w:r>
          </w:p>
        </w:tc>
        <w:tc>
          <w:tcPr>
            <w:tcW w:w="1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w w:val="91"/>
              </w:rPr>
              <w:t>for Base Rate</w:t>
            </w:r>
          </w:p>
        </w:tc>
        <w:tc>
          <w:tcPr>
            <w:tcW w:w="1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w w:val="93"/>
              </w:rPr>
              <w:t>for Eurodollar Rate</w:t>
            </w:r>
          </w:p>
        </w:tc>
      </w:tr>
      <w:tr>
        <w:trPr>
          <w:trHeight w:val="165"/>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Tier</w:t>
            </w:r>
          </w:p>
        </w:tc>
        <w:tc>
          <w:tcPr>
            <w:tcW w:w="5920" w:type="dxa"/>
            <w:vAlign w:val="bottom"/>
            <w:tcBorders>
              <w:bottom w:val="single" w:sz="8" w:color="auto"/>
              <w:right w:val="single" w:sz="8" w:color="auto"/>
            </w:tcBorders>
          </w:tcPr>
          <w:p>
            <w:pPr>
              <w:ind w:left="2620"/>
              <w:spacing w:after="0"/>
              <w:rPr>
                <w:sz w:val="20"/>
                <w:szCs w:val="20"/>
                <w:color w:val="auto"/>
              </w:rPr>
            </w:pPr>
            <w:r>
              <w:rPr>
                <w:rFonts w:ascii="Arial" w:cs="Arial" w:eastAsia="Arial" w:hAnsi="Arial"/>
                <w:sz w:val="14"/>
                <w:szCs w:val="14"/>
                <w:color w:val="auto"/>
              </w:rPr>
              <w:t>Availability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Revolving Loans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Revolving Loans</w:t>
            </w:r>
          </w:p>
        </w:tc>
      </w:tr>
      <w:tr>
        <w:trPr>
          <w:trHeight w:val="313"/>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8"/>
              </w:rPr>
              <w:t>I</w:t>
            </w:r>
          </w:p>
        </w:tc>
        <w:tc>
          <w:tcPr>
            <w:tcW w:w="5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Greater than 66 2/3% of the Revolving Credit Facility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r>
      <w:tr>
        <w:trPr>
          <w:trHeight w:val="30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Equal to or greater than 33% of the Revolving Credit Facility but less than or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r>
      <w:tr>
        <w:trPr>
          <w:trHeight w:val="225"/>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equal to 66 2/3% of the Revolving Credit Facility</w:t>
            </w:r>
          </w:p>
        </w:tc>
        <w:tc>
          <w:tcPr>
            <w:tcW w:w="17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r>
      <w:tr>
        <w:trPr>
          <w:trHeight w:val="313"/>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5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Less than 33% of the Revolving Credit Facility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2.75%</w:t>
            </w:r>
          </w:p>
        </w:tc>
      </w:tr>
    </w:tbl>
    <w:p>
      <w:pPr>
        <w:spacing w:after="0" w:line="201" w:lineRule="exact"/>
        <w:rPr>
          <w:sz w:val="20"/>
          <w:szCs w:val="20"/>
          <w:color w:val="auto"/>
        </w:rPr>
      </w:pPr>
    </w:p>
    <w:p>
      <w:pPr>
        <w:ind w:right="140" w:firstLine="1034"/>
        <w:spacing w:after="0" w:line="251" w:lineRule="auto"/>
        <w:rPr>
          <w:sz w:val="20"/>
          <w:szCs w:val="20"/>
          <w:color w:val="auto"/>
        </w:rPr>
      </w:pPr>
      <w:r>
        <w:rPr>
          <w:rFonts w:ascii="Arial" w:cs="Arial" w:eastAsia="Arial" w:hAnsi="Arial"/>
          <w:sz w:val="18"/>
          <w:szCs w:val="18"/>
          <w:color w:val="auto"/>
        </w:rPr>
        <w:t>Any change in the Applicable Margin resulting from changes in average daily Excess Availability shall become effective on the first day of the calendar month following each fiscal quarter (the “</w:t>
      </w:r>
      <w:r>
        <w:rPr>
          <w:rFonts w:ascii="Arial" w:cs="Arial" w:eastAsia="Arial" w:hAnsi="Arial"/>
          <w:sz w:val="18"/>
          <w:szCs w:val="18"/>
          <w:u w:val="single" w:color="auto"/>
          <w:color w:val="auto"/>
        </w:rPr>
        <w:t>Adjustment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first Adjustment Date shall occur on the first day of the calendar month following the first full fiscal quarter after the Closing Date. If the Agent is unable to calculate average daily Excess Availability for a fiscal quarter due to Borrower’s failure to deliver any Borrowing Base Certificate when required hereunder, then, at the option of the Agent or the Required Lenders, margins shall be determined as if Tier III (rather than the Tier applicable for the prior period) were applicable until the first day of the calendar month following the receipt of the applicable Borrowing Base Certificate.</w:t>
      </w:r>
    </w:p>
    <w:p>
      <w:pPr>
        <w:spacing w:after="0" w:line="195" w:lineRule="exact"/>
        <w:rPr>
          <w:sz w:val="20"/>
          <w:szCs w:val="20"/>
          <w:color w:val="auto"/>
        </w:rPr>
      </w:pPr>
    </w:p>
    <w:p>
      <w:pPr>
        <w:ind w:right="20" w:firstLine="1034"/>
        <w:spacing w:after="0" w:line="252" w:lineRule="auto"/>
        <w:rPr>
          <w:sz w:val="20"/>
          <w:szCs w:val="20"/>
          <w:color w:val="auto"/>
        </w:rPr>
      </w:pPr>
      <w:r>
        <w:rPr>
          <w:rFonts w:ascii="Arial" w:cs="Arial" w:eastAsia="Arial" w:hAnsi="Arial"/>
          <w:sz w:val="18"/>
          <w:szCs w:val="18"/>
          <w:color w:val="auto"/>
        </w:rPr>
        <w:t>In the event that at any time after the end of a fiscal quarter it is discovered that the average daily Excess Availability for such fiscal quarter used for the determination of the Applicable Margin was less than the actual amount of the average daily Excess Availability for such fiscal quarter used to calculate the Applicable Margin, the Applicable Margin for such prior fiscal quarter shall be adjusted to the applicable percentage based on such actual average daily Excess Availability for such fiscal quarter and any additional interest for the applicable period payable as a result of such recalculation shall be promptly paid to the Lenders.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46" w:name="page47"/>
    <w:bookmarkEnd w:id="46"/>
    <w:p>
      <w:pPr>
        <w:ind w:right="2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 0.375% per annum when the aggregate amount of the Unused Revolving Credit Commitments is less than or equal to 50% of the Revolving Credit Facility or (b) 0.50% per annum when the aggregate amount of the Unused Revolving Credit Commitments is greater than 50% of the Revolving Credit Facility.</w:t>
      </w:r>
    </w:p>
    <w:p>
      <w:pPr>
        <w:spacing w:after="0" w:line="188" w:lineRule="exact"/>
        <w:rPr>
          <w:sz w:val="20"/>
          <w:szCs w:val="20"/>
          <w:color w:val="auto"/>
        </w:rPr>
      </w:pPr>
    </w:p>
    <w:p>
      <w:pPr>
        <w:ind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means any Fund that is administered or managed by (i) a Lender, (ii) an Affiliate of a Lender or (iii) an entity or an Affiliate of an entity that administers or manages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 Approved Fund shall not include any Disqualified Institution.</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Arrangers</w:t>
      </w:r>
      <w:r>
        <w:rPr>
          <w:rFonts w:ascii="Arial" w:cs="Arial" w:eastAsia="Arial" w:hAnsi="Arial"/>
          <w:sz w:val="17"/>
          <w:szCs w:val="17"/>
          <w:color w:val="auto"/>
        </w:rPr>
        <w:t>” means Bank of America, N.A. and JPMorgan Chase Bank, N.A. in their respective capacities as joint lead arrangers and joint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bookrunners.</w:t>
      </w:r>
    </w:p>
    <w:p>
      <w:pPr>
        <w:spacing w:after="0" w:line="209" w:lineRule="exact"/>
        <w:rPr>
          <w:sz w:val="20"/>
          <w:szCs w:val="20"/>
          <w:color w:val="auto"/>
        </w:rPr>
      </w:pPr>
    </w:p>
    <w:p>
      <w:pPr>
        <w:ind w:right="3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entered into by a Lender and an Eligible Assignee, and accepted by the Agent,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has the meaning specified in Section 2.21(d).</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has the meaning specified in Section 2.21(d).</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has the meaning specified in Section 2.03(a).</w:t>
      </w:r>
    </w:p>
    <w:p>
      <w:pPr>
        <w:spacing w:after="0" w:line="220" w:lineRule="exact"/>
        <w:rPr>
          <w:sz w:val="20"/>
          <w:szCs w:val="20"/>
          <w:color w:val="auto"/>
        </w:rPr>
      </w:pPr>
    </w:p>
    <w:p>
      <w:pPr>
        <w:ind w:right="1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of any Letter of Credit means, at any time, the maximum amount available to be drawn under such Letter of Credit at such time (assuming compliance at such time with all conditions to drawing).</w:t>
      </w:r>
    </w:p>
    <w:p>
      <w:pPr>
        <w:spacing w:after="0" w:line="180" w:lineRule="exact"/>
        <w:rPr>
          <w:sz w:val="20"/>
          <w:szCs w:val="20"/>
          <w:color w:val="auto"/>
        </w:rPr>
      </w:pPr>
    </w:p>
    <w:p>
      <w:pPr>
        <w:ind w:right="1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80" w:lineRule="exact"/>
        <w:rPr>
          <w:sz w:val="20"/>
          <w:szCs w:val="20"/>
          <w:color w:val="auto"/>
        </w:rPr>
      </w:pPr>
    </w:p>
    <w:p>
      <w:pPr>
        <w:ind w:right="26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0" w:lineRule="exact"/>
        <w:rPr>
          <w:sz w:val="20"/>
          <w:szCs w:val="20"/>
          <w:color w:val="auto"/>
        </w:rPr>
      </w:pPr>
    </w:p>
    <w:p>
      <w:pPr>
        <w:ind w:right="140" w:firstLine="1034"/>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 Agreements</w:t>
      </w:r>
      <w:r>
        <w:rPr>
          <w:rFonts w:ascii="Arial" w:cs="Arial" w:eastAsia="Arial" w:hAnsi="Arial"/>
          <w:sz w:val="17"/>
          <w:szCs w:val="17"/>
          <w:color w:val="auto"/>
        </w:rPr>
        <w:t>” means, those agreements entered into from time to time by any Loan Party or its Subsidiaries with a Bank Product Provider in connection with the obtaining of any of the Bank Products to the extent designated in a Bank Products Obligations Agreement.</w:t>
      </w:r>
    </w:p>
    <w:p>
      <w:pPr>
        <w:spacing w:after="0" w:line="156" w:lineRule="exact"/>
        <w:rPr>
          <w:sz w:val="20"/>
          <w:szCs w:val="20"/>
          <w:color w:val="auto"/>
        </w:rPr>
      </w:pPr>
    </w:p>
    <w:p>
      <w:pPr>
        <w:jc w:val="both"/>
        <w:ind w:right="34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Products</w:t>
      </w:r>
      <w:r>
        <w:rPr>
          <w:rFonts w:ascii="Arial" w:cs="Arial" w:eastAsia="Arial" w:hAnsi="Arial"/>
          <w:sz w:val="18"/>
          <w:szCs w:val="18"/>
          <w:color w:val="auto"/>
        </w:rPr>
        <w:t>” means any of the following products, services or facilities extended to a Loan Party or Affiliate of a Loan Party by a Bank Product Provider: (a) Cash Management Services; (b) products under Hedging Agreements; (c) commercial credit card and merchant card services; and (d) other banking products or services, other than Specified Secured Obligations.</w:t>
      </w:r>
    </w:p>
    <w:p>
      <w:pPr>
        <w:spacing w:after="0" w:line="188" w:lineRule="exact"/>
        <w:rPr>
          <w:sz w:val="20"/>
          <w:szCs w:val="20"/>
          <w:color w:val="auto"/>
        </w:rPr>
      </w:pPr>
    </w:p>
    <w:p>
      <w:pPr>
        <w:ind w:right="8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Obligations</w:t>
      </w:r>
      <w:r>
        <w:rPr>
          <w:rFonts w:ascii="Arial" w:cs="Arial" w:eastAsia="Arial" w:hAnsi="Arial"/>
          <w:sz w:val="18"/>
          <w:szCs w:val="18"/>
          <w:color w:val="auto"/>
        </w:rPr>
        <w:t xml:space="preserve">” means Debt, obligations and other liabilities with respect to Bank Products owing by a Loan Party or an Affiliate of a Loan Party to a Bank Product Provider; to the extent designated as such by the Company in writing to the Agent from time to time in accordance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Bank Product Obligations of a Loan Party shall not include its Excluded Swap Obligations.</w:t>
      </w:r>
    </w:p>
    <w:p>
      <w:pPr>
        <w:spacing w:after="0" w:line="188" w:lineRule="exact"/>
        <w:rPr>
          <w:sz w:val="20"/>
          <w:szCs w:val="20"/>
          <w:color w:val="auto"/>
        </w:rPr>
      </w:pPr>
    </w:p>
    <w:p>
      <w:pPr>
        <w:ind w:right="200" w:firstLine="103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Products Obligations Agreement</w:t>
      </w:r>
      <w:r>
        <w:rPr>
          <w:rFonts w:ascii="Arial" w:cs="Arial" w:eastAsia="Arial" w:hAnsi="Arial"/>
          <w:sz w:val="17"/>
          <w:szCs w:val="17"/>
          <w:color w:val="auto"/>
        </w:rPr>
        <w:t xml:space="preserve">” means an agreement in substantially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in form and substance satisfactory to the Agent, duly executed by the applicable Bank Product Provider, the Company, and the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 Bank Products Obligations Agreement shall be required with respect to Bank Products provided by Bank of America, N.A. or any of its Affiliates.</w:t>
      </w:r>
    </w:p>
    <w:p>
      <w:pPr>
        <w:spacing w:after="0" w:line="172" w:lineRule="exact"/>
        <w:rPr>
          <w:sz w:val="20"/>
          <w:szCs w:val="20"/>
          <w:color w:val="auto"/>
        </w:rPr>
      </w:pPr>
    </w:p>
    <w:p>
      <w:pPr>
        <w:ind w:firstLine="10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 Provider</w:t>
      </w:r>
      <w:r>
        <w:rPr>
          <w:rFonts w:ascii="Arial" w:cs="Arial" w:eastAsia="Arial" w:hAnsi="Arial"/>
          <w:sz w:val="17"/>
          <w:szCs w:val="17"/>
          <w:color w:val="auto"/>
        </w:rPr>
        <w:t xml:space="preserve">” means (a) Bank of America or any of its Affiliates; and (b) any other Lender or Affiliate of a Lender to the extent of any Bank Products furnished by such Lender or Affiliate of a Lender on the Initial Closing Date or, if such Bank Products are established by a Lender or Affiliate of a Lender after the Initial Closing Date, to the extent such Person was a Lender or an Affiliate of a Lender on the date such Bank Product is established;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each case a Bank Product Obligations Agreement has been duly executed and delivered to the Agent within 10 days following the later of the Initial Closing Date or creation of the Bank Product, (i) describing the Bank Product and setting forth the maximum amount to be secured by the Collateral and the methodology to be used in calculating such amount, and (ii) agreeing to be bound by Section 8.13.</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47" w:name="page48"/>
    <w:bookmarkEnd w:id="47"/>
    <w:p>
      <w:pPr>
        <w:ind w:right="2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Reserve</w:t>
      </w:r>
      <w:r>
        <w:rPr>
          <w:rFonts w:ascii="Arial" w:cs="Arial" w:eastAsia="Arial" w:hAnsi="Arial"/>
          <w:sz w:val="18"/>
          <w:szCs w:val="18"/>
          <w:color w:val="auto"/>
        </w:rPr>
        <w:t>” means the aggregate amount of reserves established by the Agent against the Borrowing Base from time to time in its Permitted Discretion in respect of Bank Product Obligations.</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shall mean title 11 of the United States Code, as in effect from time to time.</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shall mean the United States Bankruptcy Court for the Southern District of New York.</w:t>
      </w:r>
    </w:p>
    <w:p>
      <w:pPr>
        <w:spacing w:after="0" w:line="220" w:lineRule="exact"/>
        <w:rPr>
          <w:sz w:val="20"/>
          <w:szCs w:val="20"/>
          <w:color w:val="auto"/>
        </w:rPr>
      </w:pPr>
    </w:p>
    <w:p>
      <w:pPr>
        <w:ind w:right="3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any proceeding of the type referred to in Section 6.01(e) of this Agreement or the Bankruptcy Code or any similar foreign, federal, provincial or state law for the relief of debtors.</w:t>
      </w:r>
    </w:p>
    <w:p>
      <w:pPr>
        <w:spacing w:after="0" w:line="180" w:lineRule="exact"/>
        <w:rPr>
          <w:sz w:val="20"/>
          <w:szCs w:val="20"/>
          <w:color w:val="auto"/>
        </w:rPr>
      </w:pPr>
    </w:p>
    <w:p>
      <w:pPr>
        <w:ind w:right="20" w:firstLine="103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plus 1/2 of 1%, (b) the rate of interest in effect for such day as publicly announced from time to time by the Agent as its “prime rate” and (c) the Eurodollar Rate for a one-month Interest Period on such day (or if such day is not a Business Day, the immediately preceding Business Day) plus 1.00%. The “prime rate” and the “base rate” is a rate set by the Agent based upon various factors including the Agent’s costs and desired return, general economic conditions and other factors, and is used as a reference point for pricing some loans, which may be priced at, above, or below such announced rate. Any change in such prime rate or base rate announced by the Agent shall take effect at the opening of business on the day specified in the announcement of such change.</w:t>
      </w:r>
    </w:p>
    <w:p>
      <w:pPr>
        <w:spacing w:after="0" w:line="16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Revolving Loan</w:t>
      </w:r>
      <w:r>
        <w:rPr>
          <w:rFonts w:ascii="Arial" w:cs="Arial" w:eastAsia="Arial" w:hAnsi="Arial"/>
          <w:sz w:val="18"/>
          <w:szCs w:val="18"/>
          <w:color w:val="auto"/>
        </w:rPr>
        <w:t>” means a Revolving Loan that bears interest as provided in Section 2.07(a)(i).</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w:t>
      </w:r>
    </w:p>
    <w:p>
      <w:pPr>
        <w:spacing w:after="0" w:line="220" w:lineRule="exact"/>
        <w:rPr>
          <w:sz w:val="20"/>
          <w:szCs w:val="20"/>
          <w:color w:val="auto"/>
        </w:rPr>
      </w:pPr>
    </w:p>
    <w:p>
      <w:pPr>
        <w:ind w:right="12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means a debt fund or other investment vehicle engaged in the making, purchasing, holding or otherwise investing in commercial loans, bonds or similar extensions of credit in the ordinary course of business and whose managers have fiduciary duties to third party investors in such fund or investment vehicle.</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in the introductory paragraph hereto.</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Information</w:t>
      </w:r>
      <w:r>
        <w:rPr>
          <w:rFonts w:ascii="Arial" w:cs="Arial" w:eastAsia="Arial" w:hAnsi="Arial"/>
          <w:sz w:val="18"/>
          <w:szCs w:val="18"/>
          <w:color w:val="auto"/>
        </w:rPr>
        <w:t>” has the meaning specified in Section 9.09.</w:t>
      </w:r>
    </w:p>
    <w:p>
      <w:pPr>
        <w:spacing w:after="0" w:line="220" w:lineRule="exact"/>
        <w:rPr>
          <w:sz w:val="20"/>
          <w:szCs w:val="20"/>
          <w:color w:val="auto"/>
        </w:rPr>
      </w:pPr>
    </w:p>
    <w:p>
      <w:pPr>
        <w:ind w:right="4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Revolving Loans of the same Type made on the same day by each of the Lenders pursuant to Section 2.01(a).</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means, at any time, the amount equal to the Loan Value less applicable Reserves.</w:t>
      </w:r>
    </w:p>
    <w:p>
      <w:pPr>
        <w:spacing w:after="0" w:line="220" w:lineRule="exact"/>
        <w:rPr>
          <w:sz w:val="20"/>
          <w:szCs w:val="20"/>
          <w:color w:val="auto"/>
        </w:rPr>
      </w:pPr>
    </w:p>
    <w:p>
      <w:pPr>
        <w:ind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in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(with such changes therein as may be required by the Agent in its Permitted Discretion to reflect the components of, and Reserves against, the Borrowing Base as provided for hereunder from time to time), executed and certified as accurate and complete by a Responsible Officer of the Company, which shall include detailed calculations as to the Borrowing Base as reasonably requested by the Agent.</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 Deficiency</w:t>
      </w:r>
      <w:r>
        <w:rPr>
          <w:rFonts w:ascii="Arial" w:cs="Arial" w:eastAsia="Arial" w:hAnsi="Arial"/>
          <w:sz w:val="17"/>
          <w:szCs w:val="17"/>
          <w:color w:val="auto"/>
        </w:rPr>
        <w:t>” means, at any time, the failure of the Borrowing Base to equal or exceed Revolving Credit Facility Usage.</w:t>
      </w:r>
    </w:p>
    <w:p>
      <w:pPr>
        <w:spacing w:after="0" w:line="231" w:lineRule="exact"/>
        <w:rPr>
          <w:sz w:val="20"/>
          <w:szCs w:val="20"/>
          <w:color w:val="auto"/>
        </w:rPr>
      </w:pPr>
    </w:p>
    <w:p>
      <w:pPr>
        <w:ind w:right="200" w:firstLine="103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the states of North Carolina and New York and, if the applicable Business Day relates to any Eurodollar Rate Revolving Loans, on which dealings are carried on in the London interbank market.</w:t>
      </w:r>
    </w:p>
    <w:p>
      <w:pPr>
        <w:spacing w:after="0" w:line="133" w:lineRule="exact"/>
        <w:rPr>
          <w:sz w:val="20"/>
          <w:szCs w:val="20"/>
          <w:color w:val="auto"/>
        </w:rPr>
      </w:pPr>
    </w:p>
    <w:p>
      <w:pPr>
        <w:ind w:right="100" w:firstLine="103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xml:space="preserve">” means, without duplication, any expenditure of money for any purchase or other acquisition of any asset which, in conformity with GAAP, would be required to be classified as a capital expenditure on the Consolidated statement of cash flows of the Company and its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the term “Capital Expenditures” shall not include (i) any additions to property, plant and equipment and other expenditures made in connection with the replacement, substitution, restoration, repair or improvement of assets to the extent made with (w) the proceeds of equity issuances of, or capital contributions to the Company, provided those expenditures are made substantially contemporaneously with the equity issuances or capital contributions as the case may be, (x) Debt borrowed (excluding borrowings under this Agreement and the Exit Term Loan Agreements) by the Company or any Restricted Subsidiary in connection with such capital expenditures, (y) the proceeds from any casualty insurance or condemnation or eminent domain paid on account of the loss of or damage to the assets being replaced, substituted, restored, repaired or improved, to the extent that the proceeds therefrom are utilized or committed to be utilized for capital expenditures within twelve (12) months of the receipt of such proceeds and (if so committed) are so utilized within twelve (12) months of the receipt of such</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48" w:name="page49"/>
    <w:bookmarkEnd w:id="48"/>
    <w:p>
      <w:pPr>
        <w:ind w:right="20"/>
        <w:spacing w:after="0" w:line="265" w:lineRule="auto"/>
        <w:rPr>
          <w:sz w:val="20"/>
          <w:szCs w:val="20"/>
          <w:color w:val="auto"/>
        </w:rPr>
      </w:pPr>
      <w:r>
        <w:rPr>
          <w:rFonts w:ascii="Arial" w:cs="Arial" w:eastAsia="Arial" w:hAnsi="Arial"/>
          <w:sz w:val="17"/>
          <w:szCs w:val="17"/>
          <w:color w:val="auto"/>
        </w:rPr>
        <w:t>proceeds, or (z) the proceeds from any sale or other Disposition of the Company’s or any Restricted Subsidiary’s assets (other than assets constituting Collateral consisting of Accounts and the proceeds thereof), to the extent that the proceeds therefrom are utilized or committed to be utilized for capital expenditures within twelve (12) months of the receipt of such proceeds and (if so committed) are so utilized within twelve (12) months of the receipt of such proceeds, (ii) the purchase price of equipment that is purchased substantially contemporaneously with the trade-in of existing equipment solely to the extent of the amount of such purchase price reduced by the credit granted by the seller of such equipment for the equipment being traded in at such time, (iii) expenditures that constitute operating lease expenses in accordance with GAAP, (iv) expenditures that constitute Permitted Acquisitions or other investments that consist of the purchase of a business unit, line of business or a division of a Person or all or substantially all of the assets of a Person, (v) any expenditures which are paid by a third party or which are contractually required to be, and are, reimbursed to the Loan Parties in cash by a third party (including landlords) during such period of calculation or (vi) any non-cash capitalized interest expense reflected as additions to property, plant or equipment in the consolidated balance sheet of the Company and the Restricted Subsidiaries.</w:t>
      </w:r>
    </w:p>
    <w:p>
      <w:pPr>
        <w:spacing w:after="0" w:line="189" w:lineRule="exact"/>
        <w:rPr>
          <w:sz w:val="20"/>
          <w:szCs w:val="20"/>
          <w:color w:val="auto"/>
        </w:rPr>
      </w:pPr>
    </w:p>
    <w:p>
      <w:pPr>
        <w:ind w:right="20"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a capital lease on a balance sheet of such Person under GAAP (as of the date hereof) and the amount of which obligations shall be the capitalized amount thereof determined in accordance with GAAP. For the avoidance of doubt, operating leases shall also be accounted for in accordance with GAAP in effect as of the date hereof.</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any Subsidiary that is subject to regulation as an insurance company.</w:t>
      </w:r>
    </w:p>
    <w:p>
      <w:pPr>
        <w:spacing w:after="0" w:line="220" w:lineRule="exact"/>
        <w:rPr>
          <w:sz w:val="20"/>
          <w:szCs w:val="20"/>
          <w:color w:val="auto"/>
        </w:rPr>
      </w:pPr>
    </w:p>
    <w:p>
      <w:pPr>
        <w:ind w:right="420" w:firstLine="1034"/>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Cases</w:t>
      </w:r>
      <w:r>
        <w:rPr>
          <w:rFonts w:ascii="Arial" w:cs="Arial" w:eastAsia="Arial" w:hAnsi="Arial"/>
          <w:sz w:val="17"/>
          <w:szCs w:val="17"/>
          <w:color w:val="auto"/>
        </w:rPr>
        <w:t>” means the cases under Chapter 11 of the Bankruptcy Code of Borrower and certain of the Guarantors, each as debtor-in-possession, which have been jointly administered as Chapter 11 Case No. 12-10201(ALG) and which are pending in the Bankruptcy Court.</w:t>
      </w:r>
    </w:p>
    <w:p>
      <w:pPr>
        <w:spacing w:after="0" w:line="156" w:lineRule="exact"/>
        <w:rPr>
          <w:sz w:val="20"/>
          <w:szCs w:val="20"/>
          <w:color w:val="auto"/>
        </w:rPr>
      </w:pPr>
    </w:p>
    <w:p>
      <w:pPr>
        <w:ind w:right="8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in respect of an Obligation, provide and pledge (as a first priority perfected security interest) cash collateral in Dollars in an amount equal to 105% of such Obligation, at a location and pursuant to documentation in form and substance reasonably satisfactory to the Agent (and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has a corresponding meaning).</w:t>
      </w:r>
    </w:p>
    <w:p>
      <w:pPr>
        <w:spacing w:after="0" w:line="188" w:lineRule="exact"/>
        <w:rPr>
          <w:sz w:val="20"/>
          <w:szCs w:val="20"/>
          <w:color w:val="auto"/>
        </w:rPr>
      </w:pPr>
    </w:p>
    <w:p>
      <w:pPr>
        <w:ind w:right="320" w:firstLine="103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Control Trigger Event</w:t>
      </w:r>
      <w:r>
        <w:rPr>
          <w:rFonts w:ascii="Arial" w:cs="Arial" w:eastAsia="Arial" w:hAnsi="Arial"/>
          <w:sz w:val="17"/>
          <w:szCs w:val="17"/>
          <w:color w:val="auto"/>
        </w:rPr>
        <w:t>” means either (a) the occurrence and continuance of an Event of Default or (b) the failure of the Borrower to maintain Excess Availability of at least 12.5% of the Revolving Credit Facility. For purposes of this Agreement, the occurrence of a Cash Control Trigger Event shall be deemed to be continuing (x) until such Event of Default has been cured or waived and/or (y) if the Cash Control Trigger Event arises under clause (b) above, until Excess Availability is equal to or greater than 12.5% of the Revolving Credit Facility for sixty (60) consecutive days, at which time a Cash Control Trigger Event shall no longer be deemed to be occurring for purposes of this Agreement.</w:t>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w:t>
      </w:r>
    </w:p>
    <w:p>
      <w:pPr>
        <w:spacing w:after="0" w:line="113" w:lineRule="exact"/>
        <w:rPr>
          <w:sz w:val="20"/>
          <w:szCs w:val="20"/>
          <w:color w:val="auto"/>
        </w:rPr>
      </w:pPr>
    </w:p>
    <w:p>
      <w:pPr>
        <w:ind w:left="1280" w:hanging="239"/>
        <w:spacing w:after="0"/>
        <w:tabs>
          <w:tab w:leader="none" w:pos="1280" w:val="left"/>
        </w:tabs>
        <w:numPr>
          <w:ilvl w:val="0"/>
          <w:numId w:val="24"/>
        </w:numPr>
        <w:rPr>
          <w:rFonts w:ascii="Arial" w:cs="Arial" w:eastAsia="Arial" w:hAnsi="Arial"/>
          <w:sz w:val="18"/>
          <w:szCs w:val="18"/>
          <w:color w:val="010000"/>
        </w:rPr>
      </w:pPr>
      <w:r>
        <w:rPr>
          <w:rFonts w:ascii="Arial" w:cs="Arial" w:eastAsia="Arial" w:hAnsi="Arial"/>
          <w:sz w:val="18"/>
          <w:szCs w:val="18"/>
          <w:color w:val="010000"/>
        </w:rPr>
        <w:t>Acceptable Foreign Currencies;</w:t>
      </w:r>
    </w:p>
    <w:p>
      <w:pPr>
        <w:spacing w:after="0" w:line="113" w:lineRule="exact"/>
        <w:rPr>
          <w:rFonts w:ascii="Arial" w:cs="Arial" w:eastAsia="Arial" w:hAnsi="Arial"/>
          <w:sz w:val="18"/>
          <w:szCs w:val="18"/>
          <w:color w:val="010000"/>
        </w:rPr>
      </w:pPr>
    </w:p>
    <w:p>
      <w:pPr>
        <w:ind w:right="40" w:firstLine="1041"/>
        <w:spacing w:after="0" w:line="257" w:lineRule="auto"/>
        <w:tabs>
          <w:tab w:leader="none" w:pos="1286" w:val="left"/>
        </w:tabs>
        <w:numPr>
          <w:ilvl w:val="0"/>
          <w:numId w:val="24"/>
        </w:numPr>
        <w:rPr>
          <w:rFonts w:ascii="Arial" w:cs="Arial" w:eastAsia="Arial" w:hAnsi="Arial"/>
          <w:sz w:val="18"/>
          <w:szCs w:val="18"/>
          <w:color w:val="010000"/>
        </w:rPr>
      </w:pPr>
      <w:r>
        <w:rPr>
          <w:rFonts w:ascii="Arial" w:cs="Arial" w:eastAsia="Arial" w:hAnsi="Arial"/>
          <w:sz w:val="18"/>
          <w:szCs w:val="18"/>
          <w:color w:val="010000"/>
        </w:rPr>
        <w:t>securities issued or directly and fully guaranteed or insured by the United States of America or any agency or instrumentality of the United States of America (provided that the full faith and credit of the United States of America is pledged in support of those securities) having maturities of not more than twenty-four (24) months from the date of acquisition;</w:t>
      </w:r>
    </w:p>
    <w:p>
      <w:pPr>
        <w:spacing w:after="0" w:line="81" w:lineRule="exact"/>
        <w:rPr>
          <w:rFonts w:ascii="Arial" w:cs="Arial" w:eastAsia="Arial" w:hAnsi="Arial"/>
          <w:sz w:val="18"/>
          <w:szCs w:val="18"/>
          <w:color w:val="010000"/>
        </w:rPr>
      </w:pPr>
    </w:p>
    <w:p>
      <w:pPr>
        <w:ind w:firstLine="1041"/>
        <w:spacing w:after="0" w:line="257" w:lineRule="auto"/>
        <w:tabs>
          <w:tab w:leader="none" w:pos="1276" w:val="left"/>
        </w:tabs>
        <w:numPr>
          <w:ilvl w:val="0"/>
          <w:numId w:val="24"/>
        </w:numPr>
        <w:rPr>
          <w:rFonts w:ascii="Arial" w:cs="Arial" w:eastAsia="Arial" w:hAnsi="Arial"/>
          <w:sz w:val="18"/>
          <w:szCs w:val="18"/>
          <w:color w:val="010000"/>
        </w:rPr>
      </w:pPr>
      <w:r>
        <w:rPr>
          <w:rFonts w:ascii="Arial" w:cs="Arial" w:eastAsia="Arial" w:hAnsi="Arial"/>
          <w:sz w:val="18"/>
          <w:szCs w:val="18"/>
          <w:color w:val="010000"/>
        </w:rPr>
        <w:t>obligations issued or fully guaranteed by any state of the United States of America or any political subdivision of any such state or province or any instrumentality thereof maturing within one year from the date of acquisition and having a rating of either “A” or better from S&amp;P or A2 or better from Moody’s;</w:t>
      </w:r>
    </w:p>
    <w:p>
      <w:pPr>
        <w:spacing w:after="0" w:line="81" w:lineRule="exact"/>
        <w:rPr>
          <w:rFonts w:ascii="Arial" w:cs="Arial" w:eastAsia="Arial" w:hAnsi="Arial"/>
          <w:sz w:val="18"/>
          <w:szCs w:val="18"/>
          <w:color w:val="010000"/>
        </w:rPr>
      </w:pPr>
    </w:p>
    <w:p>
      <w:pPr>
        <w:ind w:right="120" w:firstLine="1041"/>
        <w:spacing w:after="0" w:line="257" w:lineRule="auto"/>
        <w:tabs>
          <w:tab w:leader="none" w:pos="1286" w:val="left"/>
        </w:tabs>
        <w:numPr>
          <w:ilvl w:val="0"/>
          <w:numId w:val="24"/>
        </w:numPr>
        <w:rPr>
          <w:rFonts w:ascii="Arial" w:cs="Arial" w:eastAsia="Arial" w:hAnsi="Arial"/>
          <w:sz w:val="18"/>
          <w:szCs w:val="18"/>
          <w:color w:val="010000"/>
        </w:rPr>
      </w:pPr>
      <w:r>
        <w:rPr>
          <w:rFonts w:ascii="Arial" w:cs="Arial" w:eastAsia="Arial" w:hAnsi="Arial"/>
          <w:sz w:val="18"/>
          <w:szCs w:val="18"/>
          <w:color w:val="010000"/>
        </w:rPr>
        <w:t>certificates of deposit and eurodollar time deposits with maturities of one year or less from the date of acquisition, banker’s acceptances with maturities not exceeding one year and overnight bank deposits, in each case, with any Lender or with any United States commercial bank having capital and surplus in excess of $250,000,000;</w:t>
      </w:r>
    </w:p>
    <w:p>
      <w:pPr>
        <w:spacing w:after="0" w:line="81" w:lineRule="exact"/>
        <w:rPr>
          <w:rFonts w:ascii="Arial" w:cs="Arial" w:eastAsia="Arial" w:hAnsi="Arial"/>
          <w:sz w:val="18"/>
          <w:szCs w:val="18"/>
          <w:color w:val="010000"/>
        </w:rPr>
      </w:pPr>
    </w:p>
    <w:p>
      <w:pPr>
        <w:ind w:right="120" w:firstLine="1041"/>
        <w:spacing w:after="0" w:line="267" w:lineRule="auto"/>
        <w:tabs>
          <w:tab w:leader="none" w:pos="1276" w:val="left"/>
        </w:tabs>
        <w:numPr>
          <w:ilvl w:val="0"/>
          <w:numId w:val="24"/>
        </w:numPr>
        <w:rPr>
          <w:rFonts w:ascii="Arial" w:cs="Arial" w:eastAsia="Arial" w:hAnsi="Arial"/>
          <w:sz w:val="18"/>
          <w:szCs w:val="18"/>
          <w:color w:val="010000"/>
        </w:rPr>
      </w:pPr>
      <w:r>
        <w:rPr>
          <w:rFonts w:ascii="Arial" w:cs="Arial" w:eastAsia="Arial" w:hAnsi="Arial"/>
          <w:sz w:val="18"/>
          <w:szCs w:val="18"/>
          <w:color w:val="010000"/>
        </w:rPr>
        <w:t>repurchase obligations with a term of not more than seven (7) days for underlying securities of the types described in clauses (b), (c), and (d) above entered into with any financial institution meeting the qualifications specified in clause (d) above;</w:t>
      </w:r>
    </w:p>
    <w:p>
      <w:pPr>
        <w:spacing w:after="0" w:line="72" w:lineRule="exact"/>
        <w:rPr>
          <w:rFonts w:ascii="Arial" w:cs="Arial" w:eastAsia="Arial" w:hAnsi="Arial"/>
          <w:sz w:val="18"/>
          <w:szCs w:val="18"/>
          <w:color w:val="010000"/>
        </w:rPr>
      </w:pPr>
    </w:p>
    <w:p>
      <w:pPr>
        <w:ind w:left="1260" w:hanging="219"/>
        <w:spacing w:after="0"/>
        <w:tabs>
          <w:tab w:leader="none" w:pos="1260" w:val="left"/>
        </w:tabs>
        <w:numPr>
          <w:ilvl w:val="0"/>
          <w:numId w:val="24"/>
        </w:numPr>
        <w:rPr>
          <w:rFonts w:ascii="Arial" w:cs="Arial" w:eastAsia="Arial" w:hAnsi="Arial"/>
          <w:sz w:val="17"/>
          <w:szCs w:val="17"/>
          <w:color w:val="010000"/>
        </w:rPr>
      </w:pPr>
      <w:r>
        <w:rPr>
          <w:rFonts w:ascii="Arial" w:cs="Arial" w:eastAsia="Arial" w:hAnsi="Arial"/>
          <w:sz w:val="17"/>
          <w:szCs w:val="17"/>
          <w:color w:val="010000"/>
        </w:rPr>
        <w:t>commercial paper rated at least “P-2” by Moody’s or at least “A-2” by S&amp;P, in each case, maturing within one year after the date of</w:t>
      </w:r>
    </w:p>
    <w:p>
      <w:pPr>
        <w:spacing w:after="0" w:line="28"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010000"/>
        </w:rPr>
        <w:t>acquisition;</w:t>
      </w:r>
    </w:p>
    <w:p>
      <w:pPr>
        <w:spacing w:after="0" w:line="102" w:lineRule="exact"/>
        <w:rPr>
          <w:rFonts w:ascii="Arial" w:cs="Arial" w:eastAsia="Arial" w:hAnsi="Arial"/>
          <w:sz w:val="17"/>
          <w:szCs w:val="17"/>
          <w:color w:val="010000"/>
        </w:rPr>
      </w:pPr>
    </w:p>
    <w:p>
      <w:pPr>
        <w:ind w:right="200" w:firstLine="1041"/>
        <w:spacing w:after="0" w:line="297" w:lineRule="auto"/>
        <w:tabs>
          <w:tab w:leader="none" w:pos="1286" w:val="left"/>
        </w:tabs>
        <w:numPr>
          <w:ilvl w:val="0"/>
          <w:numId w:val="24"/>
        </w:numPr>
        <w:rPr>
          <w:rFonts w:ascii="Arial" w:cs="Arial" w:eastAsia="Arial" w:hAnsi="Arial"/>
          <w:sz w:val="17"/>
          <w:szCs w:val="17"/>
          <w:color w:val="010000"/>
        </w:rPr>
      </w:pPr>
      <w:r>
        <w:rPr>
          <w:rFonts w:ascii="Arial" w:cs="Arial" w:eastAsia="Arial" w:hAnsi="Arial"/>
          <w:sz w:val="17"/>
          <w:szCs w:val="17"/>
          <w:color w:val="010000"/>
        </w:rPr>
        <w:t>money market funds that either are (x) SEC.270.2a-7 compliant, (y) enhanced cash funds having a weighted average maturity of not greater than 120 days or (z) investing at least 95% of their assets in securities of the types described in clauses (a) through (f) above;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9" w:name="page50"/>
    <w:bookmarkEnd w:id="49"/>
    <w:p>
      <w:pPr>
        <w:ind w:left="1300" w:hanging="259"/>
        <w:spacing w:after="0"/>
        <w:tabs>
          <w:tab w:leader="none" w:pos="1300" w:val="left"/>
        </w:tabs>
        <w:numPr>
          <w:ilvl w:val="0"/>
          <w:numId w:val="25"/>
        </w:numPr>
        <w:rPr>
          <w:rFonts w:ascii="Arial" w:cs="Arial" w:eastAsia="Arial" w:hAnsi="Arial"/>
          <w:sz w:val="18"/>
          <w:szCs w:val="18"/>
          <w:color w:val="010000"/>
        </w:rPr>
      </w:pPr>
      <w:r>
        <w:rPr>
          <w:rFonts w:ascii="Arial" w:cs="Arial" w:eastAsia="Arial" w:hAnsi="Arial"/>
          <w:sz w:val="18"/>
          <w:szCs w:val="18"/>
          <w:color w:val="010000"/>
        </w:rPr>
        <w:t>offshore overnight interest bearing deposits in foreign branches of the Agent, any Lender or an Affiliate of a Lender; or</w:t>
      </w:r>
    </w:p>
    <w:p>
      <w:pPr>
        <w:spacing w:after="0" w:line="113" w:lineRule="exact"/>
        <w:rPr>
          <w:rFonts w:ascii="Arial" w:cs="Arial" w:eastAsia="Arial" w:hAnsi="Arial"/>
          <w:sz w:val="18"/>
          <w:szCs w:val="18"/>
          <w:color w:val="010000"/>
        </w:rPr>
      </w:pPr>
    </w:p>
    <w:p>
      <w:pPr>
        <w:jc w:val="both"/>
        <w:ind w:right="20" w:firstLine="1041"/>
        <w:spacing w:after="0" w:line="254" w:lineRule="auto"/>
        <w:tabs>
          <w:tab w:leader="none" w:pos="1246" w:val="left"/>
        </w:tabs>
        <w:numPr>
          <w:ilvl w:val="0"/>
          <w:numId w:val="25"/>
        </w:numPr>
        <w:rPr>
          <w:rFonts w:ascii="Arial" w:cs="Arial" w:eastAsia="Arial" w:hAnsi="Arial"/>
          <w:sz w:val="18"/>
          <w:szCs w:val="18"/>
          <w:color w:val="010000"/>
        </w:rPr>
      </w:pPr>
      <w:r>
        <w:rPr>
          <w:rFonts w:ascii="Arial" w:cs="Arial" w:eastAsia="Arial" w:hAnsi="Arial"/>
          <w:sz w:val="18"/>
          <w:szCs w:val="18"/>
          <w:color w:val="010000"/>
        </w:rPr>
        <w:t>instruments equivalent to those referred to in clauses (a) through (h) above of comparable tenor to those referred to above, denominated in any Acceptable Foreign Currency and used in the ordinary course of business of the Borrower and its Subsidiaries for cash management purposes in any jurisdiction outside the United States of America to the extent reasonably required or advisable in connection with any business conducted by the Borrower or any Subsidiary.</w:t>
      </w:r>
    </w:p>
    <w:p>
      <w:pPr>
        <w:spacing w:after="0" w:line="191" w:lineRule="exact"/>
        <w:rPr>
          <w:sz w:val="20"/>
          <w:szCs w:val="20"/>
          <w:color w:val="auto"/>
        </w:rPr>
      </w:pPr>
    </w:p>
    <w:p>
      <w:pPr>
        <w:ind w:right="32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means services relating to operating, collections, payroll, trust, or other depository or disbursement accounts, including automated clearinghouse, e-payable, electronic funds transfer, wire transfer, controlled disbursement, overdraft, depository, information reporting, lockbox and stop payment services.</w:t>
      </w:r>
    </w:p>
    <w:p>
      <w:pPr>
        <w:spacing w:after="0" w:line="188" w:lineRule="exact"/>
        <w:rPr>
          <w:sz w:val="20"/>
          <w:szCs w:val="20"/>
          <w:color w:val="auto"/>
        </w:rPr>
      </w:pPr>
    </w:p>
    <w:p>
      <w:pPr>
        <w:ind w:right="18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an entity that is a “controlled foreign corporation” of the Company under Section 957 of the Code or an entity all or substantially all of the assets of which consist of equity interests in one or more CFCs, and any entity which would be a “controlled foreign corporation” except for any alternate classification under Treasury Regulation 301.7701-3, or any successor provisions to the foregoing.</w:t>
      </w:r>
    </w:p>
    <w:p>
      <w:pPr>
        <w:spacing w:after="0" w:line="188" w:lineRule="exact"/>
        <w:rPr>
          <w:sz w:val="20"/>
          <w:szCs w:val="20"/>
          <w:color w:val="auto"/>
        </w:rPr>
      </w:pPr>
    </w:p>
    <w:p>
      <w:pPr>
        <w:ind w:firstLine="103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at any time, (a) any “person” or “group” (as such terms are used in Sections 13(d) and 14(d) of the Securities and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other than a Permitted Holder (or group consisting of Permitted Holders), (x) is or becomes the beneficial owner (as defined in Rules 13d-3 and 13d-5 under the Exchange Act, except that a person or group shall be deemed to have “beneficial ownership” of all shares that any such person or group has the right to acquire, whether such right is exercisable immediately or only after the passage of time), directly or indirectly, of Voting Stock of the Company representing more than 35% of the voting power of all Voting Stock of the Company and (y) shall have acquired a beneficial ownership of more Voting Stock of the Company than the Specified Holders, and (b) during any period of two consecutive years (commencing immediately following the Closing Date), individuals who at the beginning of such period constituted the board of directors of the Company (together with any new directors whose election by such board of directors or whose nomination for election by the Company’s shareholders was approved by a vote of a majority of the Company’s directors then still in office who either were directors at the beginning of such period or whose election or nomination for election was previously so approved) cease for any reason to constitute a majority of the Company’s directors then in office (excluding any directors from the numerator and denominator of such calculation to the extent such director is or was designated by a Permitted Holder (or group consisting of Permitted Holders) or pursuant to a contractual agreement with the Company existing on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for the avoidance of doubt, none of the transactions contemplated or expressly authorized by the Chapter 11 Plan shall constitute, or be deemed to constitute, a Change of Control.</w:t>
      </w:r>
    </w:p>
    <w:p>
      <w:pPr>
        <w:spacing w:after="0" w:line="177" w:lineRule="exact"/>
        <w:rPr>
          <w:sz w:val="20"/>
          <w:szCs w:val="20"/>
          <w:color w:val="auto"/>
        </w:rPr>
      </w:pPr>
    </w:p>
    <w:p>
      <w:pPr>
        <w:ind w:right="42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Chapter 11 Plan</w:t>
      </w:r>
      <w:r>
        <w:rPr>
          <w:rFonts w:ascii="Arial" w:cs="Arial" w:eastAsia="Arial" w:hAnsi="Arial"/>
          <w:sz w:val="18"/>
          <w:szCs w:val="18"/>
          <w:color w:val="auto"/>
        </w:rPr>
        <w:t>” means the First Amended Joint Chapter 11 Plan of Reorganization of Eastman Kodak Company and its Debtor Affiliates, dated August 21, 2013, as amended, supplemented or otherwise modified from time to time in accordance with Section 3.01(f) of the Existing Credit Agreement, and together with all exhibits, schedules, annexes, supplements and other attachments thereto.</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first date on which all of the conditions precedent in Article III are satisfied or waived in accordance with Article III.</w:t>
      </w:r>
    </w:p>
    <w:p>
      <w:pPr>
        <w:spacing w:after="0" w:line="243" w:lineRule="exact"/>
        <w:rPr>
          <w:sz w:val="20"/>
          <w:szCs w:val="20"/>
          <w:color w:val="auto"/>
        </w:rPr>
      </w:pPr>
    </w:p>
    <w:p>
      <w:pPr>
        <w:ind w:right="6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Transactions</w:t>
      </w:r>
      <w:r>
        <w:rPr>
          <w:rFonts w:ascii="Arial" w:cs="Arial" w:eastAsia="Arial" w:hAnsi="Arial"/>
          <w:sz w:val="18"/>
          <w:szCs w:val="18"/>
          <w:color w:val="auto"/>
        </w:rPr>
        <w:t>” shall mean, collectively, (a) the execution, delivery and performance of, this Agreement and the other Loan Documents and (b) all other related transactions including the payment of fees and expenses in connection therewith.</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United States Internal Revenue Code of 1986, as amended from time to time, and the regulations promulgated thereunder.</w:t>
      </w:r>
    </w:p>
    <w:p>
      <w:pPr>
        <w:spacing w:after="0" w:line="24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“Collateral” as defined in the Security Agreement and the other Collateral Documents.</w:t>
      </w:r>
    </w:p>
    <w:p>
      <w:pPr>
        <w:spacing w:after="0" w:line="220" w:lineRule="exact"/>
        <w:rPr>
          <w:sz w:val="20"/>
          <w:szCs w:val="20"/>
          <w:color w:val="auto"/>
        </w:rPr>
      </w:pPr>
    </w:p>
    <w:p>
      <w:pPr>
        <w:ind w:right="2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the Security Agreement, the Control Agreements, the Pledged Cash Account Agreement (Eligible Cash), each of the other collateral documents, instruments and agreements delivered pursuant to Section 5.01(i) or (j), and each other security agreement or other instrument or document executed and delivered by any Loan Party to secure any of the Obligations or, with respect to Collateral Documents governed by the laws of the Netherlands, the Obligations of Borrower under the Parallel Debt.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50" w:name="page51"/>
    <w:bookmarkEnd w:id="50"/>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Letter of Credit Commitment and/or a Revolving Credit Commitment, as the context may require.</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2.21(a).</w:t>
      </w:r>
    </w:p>
    <w:p>
      <w:pPr>
        <w:spacing w:after="0" w:line="220" w:lineRule="exact"/>
        <w:rPr>
          <w:sz w:val="20"/>
          <w:szCs w:val="20"/>
          <w:color w:val="auto"/>
        </w:rPr>
      </w:pPr>
    </w:p>
    <w:p>
      <w:pPr>
        <w:ind w:right="4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that certain Commitment Letter, dated as of April 28, 2016 among Bank of America, N.A., as an Arranger, the Agent, and the Company (as amended, supplemented or otherwise modified from time to time).</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in the introductory paragraph hereto.</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Competitor</w:t>
      </w:r>
      <w:r>
        <w:rPr>
          <w:rFonts w:ascii="Arial" w:cs="Arial" w:eastAsia="Arial" w:hAnsi="Arial"/>
          <w:sz w:val="17"/>
          <w:szCs w:val="17"/>
          <w:color w:val="auto"/>
        </w:rPr>
        <w:t>” means those Persons who are directly or indirectly engaged in the same or similar line of business as the Company or its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09" w:lineRule="exact"/>
        <w:rPr>
          <w:sz w:val="20"/>
          <w:szCs w:val="20"/>
          <w:color w:val="auto"/>
        </w:rPr>
      </w:pPr>
    </w:p>
    <w:p>
      <w:pPr>
        <w:ind w:right="3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attached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or in such other form as reasonably agreed by the Agent and the Company, by which Company certifies compliance of the Borrower in accordance with Section 5.03.</w:t>
      </w:r>
    </w:p>
    <w:p>
      <w:pPr>
        <w:spacing w:after="0" w:line="180" w:lineRule="exact"/>
        <w:rPr>
          <w:sz w:val="20"/>
          <w:szCs w:val="20"/>
          <w:color w:val="auto"/>
        </w:rPr>
      </w:pPr>
    </w:p>
    <w:p>
      <w:pPr>
        <w:ind w:right="3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Account</w:t>
      </w:r>
      <w:r>
        <w:rPr>
          <w:rFonts w:ascii="Arial" w:cs="Arial" w:eastAsia="Arial" w:hAnsi="Arial"/>
          <w:sz w:val="18"/>
          <w:szCs w:val="18"/>
          <w:color w:val="auto"/>
        </w:rPr>
        <w:t>” means each Deposit Account, other than an Excluded Account, maintained by a Loan Party in which funds of such Loan Party from one or more Deposit Accounts are concentrated.</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Confirmation Order</w:t>
      </w:r>
      <w:r>
        <w:rPr>
          <w:rFonts w:ascii="Arial" w:cs="Arial" w:eastAsia="Arial" w:hAnsi="Arial"/>
          <w:sz w:val="17"/>
          <w:szCs w:val="17"/>
          <w:color w:val="auto"/>
        </w:rPr>
        <w:t>” means the Order Confirming the Chapter 11 Plan entered by the Bankruptcy Court in the Cases on August 23, 2013.</w:t>
      </w:r>
    </w:p>
    <w:p>
      <w:pPr>
        <w:spacing w:after="0" w:line="2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at any date of determination, an amount equal to Consolidated Net Income for the most recently completed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Measurement Period, plus the following to the extent reducing Consolidated Net Income (without duplication):</w:t>
      </w:r>
    </w:p>
    <w:p>
      <w:pPr>
        <w:spacing w:after="0" w:line="102" w:lineRule="exact"/>
        <w:rPr>
          <w:sz w:val="20"/>
          <w:szCs w:val="20"/>
          <w:color w:val="auto"/>
        </w:rPr>
      </w:pPr>
    </w:p>
    <w:p>
      <w:pPr>
        <w:ind w:left="1460" w:hanging="419"/>
        <w:spacing w:after="0"/>
        <w:tabs>
          <w:tab w:leader="none" w:pos="1460" w:val="left"/>
        </w:tabs>
        <w:numPr>
          <w:ilvl w:val="0"/>
          <w:numId w:val="26"/>
        </w:numPr>
        <w:rPr>
          <w:rFonts w:ascii="Arial" w:cs="Arial" w:eastAsia="Arial" w:hAnsi="Arial"/>
          <w:sz w:val="18"/>
          <w:szCs w:val="18"/>
          <w:color w:val="010000"/>
        </w:rPr>
      </w:pPr>
      <w:r>
        <w:rPr>
          <w:rFonts w:ascii="Arial" w:cs="Arial" w:eastAsia="Arial" w:hAnsi="Arial"/>
          <w:sz w:val="18"/>
          <w:szCs w:val="18"/>
          <w:color w:val="010000"/>
        </w:rPr>
        <w:t>(i) Consolidated Interest Charges,</w:t>
      </w:r>
    </w:p>
    <w:p>
      <w:pPr>
        <w:spacing w:after="0" w:line="113" w:lineRule="exact"/>
        <w:rPr>
          <w:rFonts w:ascii="Arial" w:cs="Arial" w:eastAsia="Arial" w:hAnsi="Arial"/>
          <w:sz w:val="18"/>
          <w:szCs w:val="18"/>
          <w:color w:val="010000"/>
        </w:rPr>
      </w:pPr>
    </w:p>
    <w:p>
      <w:pPr>
        <w:ind w:right="180" w:firstLine="1559"/>
        <w:spacing w:after="0" w:line="331" w:lineRule="auto"/>
        <w:tabs>
          <w:tab w:leader="none" w:pos="1814" w:val="left"/>
        </w:tabs>
        <w:numPr>
          <w:ilvl w:val="1"/>
          <w:numId w:val="26"/>
        </w:numPr>
        <w:rPr>
          <w:rFonts w:ascii="Arial" w:cs="Arial" w:eastAsia="Arial" w:hAnsi="Arial"/>
          <w:sz w:val="16"/>
          <w:szCs w:val="16"/>
          <w:color w:val="010000"/>
        </w:rPr>
      </w:pPr>
      <w:r>
        <w:rPr>
          <w:rFonts w:ascii="Arial" w:cs="Arial" w:eastAsia="Arial" w:hAnsi="Arial"/>
          <w:sz w:val="16"/>
          <w:szCs w:val="16"/>
          <w:color w:val="010000"/>
        </w:rPr>
        <w:t>provision for taxes based on income, profits or capital gains, including foreign, federal, state, franchise and similar taxes and foreign withholding taxes (including penalties and interest related to such taxes or arising from tax examinations) of such Person paid or accrued during such period,</w:t>
      </w:r>
    </w:p>
    <w:p>
      <w:pPr>
        <w:spacing w:after="0" w:line="25" w:lineRule="exact"/>
        <w:rPr>
          <w:rFonts w:ascii="Arial" w:cs="Arial" w:eastAsia="Arial" w:hAnsi="Arial"/>
          <w:sz w:val="16"/>
          <w:szCs w:val="16"/>
          <w:color w:val="010000"/>
        </w:rPr>
      </w:pPr>
    </w:p>
    <w:p>
      <w:pPr>
        <w:ind w:right="140" w:firstLine="1559"/>
        <w:spacing w:after="0" w:line="331" w:lineRule="auto"/>
        <w:tabs>
          <w:tab w:leader="none" w:pos="1863" w:val="left"/>
        </w:tabs>
        <w:numPr>
          <w:ilvl w:val="1"/>
          <w:numId w:val="26"/>
        </w:numPr>
        <w:rPr>
          <w:rFonts w:ascii="Arial" w:cs="Arial" w:eastAsia="Arial" w:hAnsi="Arial"/>
          <w:sz w:val="16"/>
          <w:szCs w:val="16"/>
          <w:color w:val="010000"/>
        </w:rPr>
      </w:pPr>
      <w:r>
        <w:rPr>
          <w:rFonts w:ascii="Arial" w:cs="Arial" w:eastAsia="Arial" w:hAnsi="Arial"/>
          <w:sz w:val="16"/>
          <w:szCs w:val="16"/>
          <w:color w:val="010000"/>
        </w:rPr>
        <w:t>accretion, depreciation and amortization expense (excluding amortization of a prepaid cash item that was paid and not expensed in a prior period, other than in respect of licenses provided to the Company or a Restricted Subsidiary in connection with the settlement of litigation),</w:t>
      </w:r>
    </w:p>
    <w:p>
      <w:pPr>
        <w:spacing w:after="0" w:line="25" w:lineRule="exact"/>
        <w:rPr>
          <w:rFonts w:ascii="Arial" w:cs="Arial" w:eastAsia="Arial" w:hAnsi="Arial"/>
          <w:sz w:val="16"/>
          <w:szCs w:val="16"/>
          <w:color w:val="010000"/>
        </w:rPr>
      </w:pPr>
    </w:p>
    <w:p>
      <w:pPr>
        <w:ind w:right="60" w:firstLine="1559"/>
        <w:spacing w:after="0" w:line="285" w:lineRule="auto"/>
        <w:tabs>
          <w:tab w:leader="none" w:pos="1853" w:val="left"/>
        </w:tabs>
        <w:numPr>
          <w:ilvl w:val="1"/>
          <w:numId w:val="26"/>
        </w:numPr>
        <w:rPr>
          <w:rFonts w:ascii="Arial" w:cs="Arial" w:eastAsia="Arial" w:hAnsi="Arial"/>
          <w:sz w:val="16"/>
          <w:szCs w:val="16"/>
          <w:color w:val="010000"/>
        </w:rPr>
      </w:pPr>
      <w:r>
        <w:rPr>
          <w:rFonts w:ascii="Arial" w:cs="Arial" w:eastAsia="Arial" w:hAnsi="Arial"/>
          <w:sz w:val="16"/>
          <w:szCs w:val="16"/>
          <w:color w:val="010000"/>
        </w:rPr>
        <w:t xml:space="preserve">any non-cash charges (other than (1) amortization of a prepaid cash item that was paid and not expensed in a prior period and (2) write down of current assets) including: (a) write-downs of property, plant and equipment and other assets, (b) impairment of intangible assets, (c) losses resulting from cumulative effect of changes in accounting principles, (d) net foreign currency reevaluation of intercompany indebtedness and remeasurement losses or gains related to the balance sheet of the Company and its Restricted Subsidiaries, (e) losses on sales of accounts receivable, (f) provisions for asset retirement obligations, (g) provisions for environmental restoration and remedial action, (h) net non-cash mark-to-market charges relating to hedging arrangements, (i) unrealized losses from Hedging Agreements and unrealized losses from foreign currency transactions and (j) commercial capital expenses not included in depreciation expenses for such period;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if such non-cash charges represent an accrual or reserve for potential cash items in any future period, the cash payment in respect thereof in such future period shall be subtracted from Consolidated EBITDA to such extent,</w:t>
      </w:r>
    </w:p>
    <w:p>
      <w:pPr>
        <w:spacing w:after="0" w:line="65" w:lineRule="exact"/>
        <w:rPr>
          <w:rFonts w:ascii="Arial" w:cs="Arial" w:eastAsia="Arial" w:hAnsi="Arial"/>
          <w:sz w:val="16"/>
          <w:szCs w:val="16"/>
          <w:color w:val="010000"/>
        </w:rPr>
      </w:pPr>
    </w:p>
    <w:p>
      <w:pPr>
        <w:ind w:firstLine="1559"/>
        <w:spacing w:after="0" w:line="266" w:lineRule="auto"/>
        <w:tabs>
          <w:tab w:leader="none" w:pos="1804" w:val="left"/>
        </w:tabs>
        <w:numPr>
          <w:ilvl w:val="1"/>
          <w:numId w:val="26"/>
        </w:numPr>
        <w:rPr>
          <w:rFonts w:ascii="Arial" w:cs="Arial" w:eastAsia="Arial" w:hAnsi="Arial"/>
          <w:sz w:val="17"/>
          <w:szCs w:val="17"/>
          <w:color w:val="010000"/>
        </w:rPr>
      </w:pPr>
      <w:r>
        <w:rPr>
          <w:rFonts w:ascii="Arial" w:cs="Arial" w:eastAsia="Arial" w:hAnsi="Arial"/>
          <w:sz w:val="17"/>
          <w:szCs w:val="17"/>
          <w:color w:val="010000"/>
        </w:rPr>
        <w:t>fees, costs, charges, commissions, operating losses, write-downs and expenses (including (A) fees, costs and expenses related to legal, financial, restructuring and other advisors, auditors and accountants, (B) printer costs and expenses, (C) U.S. Securities and Exchange Commission and other filing fees and (D) underwriting, arrangement, syndication, issuance backstop and placement premiums, discounts, fees, costs and expenses) paid, reimbursed or incurred during such period in connection with the Cases, the Initial Closing Date Transactions, the Closing Date Transactions, obtaining confirmation, effectiveness and implementation of the Chapter 11 Plan (including operating costs and expenses related to the consummation of the KPP Settlement Agreement, and the completion and implementation of the transactions contemplated thereby and in relation thereto and including any fees, costs and expenses of AlixPartners), negotiation, execution and ongoing performance of the Loan Documents, the Exit First Lien Term Loan Documents, the Exit Second Lien Term Loan Documents, the DIP ABL Credit Agreement, the DIP Term Loan Credit Agreement, including the form of exit facility (and any Permitted Refinancing of any of the foregoing), and, in each case, any transaction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1" w:name="page52"/>
    <w:bookmarkEnd w:id="51"/>
    <w:p>
      <w:pPr>
        <w:ind w:right="120"/>
        <w:spacing w:after="0" w:line="254" w:lineRule="auto"/>
        <w:rPr>
          <w:sz w:val="20"/>
          <w:szCs w:val="20"/>
          <w:color w:val="auto"/>
        </w:rPr>
      </w:pPr>
      <w:r>
        <w:rPr>
          <w:rFonts w:ascii="Arial" w:cs="Arial" w:eastAsia="Arial" w:hAnsi="Arial"/>
          <w:sz w:val="18"/>
          <w:szCs w:val="18"/>
          <w:color w:val="010000"/>
        </w:rPr>
        <w:t>(including any financing, acquisition or disposition, whether or not consummated) or litigation related thereto or contemplated by any of the foregoing, in each case, regardless of whether initially incurred by the Company or paid by the Company to reimburse others for such fees, costs and expenses (including the advisors to the unsecured creditors’ committee and the ad hoc committee of second lien note holders) and whether incurred prior to or following emergence from Chapter 11,</w:t>
      </w:r>
    </w:p>
    <w:p>
      <w:pPr>
        <w:spacing w:after="0" w:line="84" w:lineRule="exact"/>
        <w:rPr>
          <w:sz w:val="20"/>
          <w:szCs w:val="20"/>
          <w:color w:val="auto"/>
        </w:rPr>
      </w:pPr>
    </w:p>
    <w:p>
      <w:pPr>
        <w:ind w:left="1860" w:hanging="301"/>
        <w:spacing w:after="0"/>
        <w:tabs>
          <w:tab w:leader="none" w:pos="1860" w:val="left"/>
        </w:tabs>
        <w:numPr>
          <w:ilvl w:val="2"/>
          <w:numId w:val="27"/>
        </w:numPr>
        <w:rPr>
          <w:rFonts w:ascii="Arial" w:cs="Arial" w:eastAsia="Arial" w:hAnsi="Arial"/>
          <w:sz w:val="18"/>
          <w:szCs w:val="18"/>
          <w:color w:val="010000"/>
        </w:rPr>
      </w:pPr>
      <w:r>
        <w:rPr>
          <w:rFonts w:ascii="Arial" w:cs="Arial" w:eastAsia="Arial" w:hAnsi="Arial"/>
          <w:sz w:val="18"/>
          <w:szCs w:val="18"/>
          <w:color w:val="010000"/>
        </w:rPr>
        <w:t>any extraordinary expenses, charges or losses,</w:t>
      </w:r>
    </w:p>
    <w:p>
      <w:pPr>
        <w:spacing w:after="0" w:line="113" w:lineRule="exact"/>
        <w:rPr>
          <w:rFonts w:ascii="Arial" w:cs="Arial" w:eastAsia="Arial" w:hAnsi="Arial"/>
          <w:sz w:val="18"/>
          <w:szCs w:val="18"/>
          <w:color w:val="010000"/>
        </w:rPr>
      </w:pPr>
    </w:p>
    <w:p>
      <w:pPr>
        <w:ind w:left="1900" w:hanging="341"/>
        <w:spacing w:after="0"/>
        <w:tabs>
          <w:tab w:leader="none" w:pos="1900" w:val="left"/>
        </w:tabs>
        <w:numPr>
          <w:ilvl w:val="2"/>
          <w:numId w:val="27"/>
        </w:numPr>
        <w:rPr>
          <w:rFonts w:ascii="Arial" w:cs="Arial" w:eastAsia="Arial" w:hAnsi="Arial"/>
          <w:sz w:val="16"/>
          <w:szCs w:val="16"/>
          <w:color w:val="010000"/>
        </w:rPr>
      </w:pPr>
      <w:r>
        <w:rPr>
          <w:rFonts w:ascii="Arial" w:cs="Arial" w:eastAsia="Arial" w:hAnsi="Arial"/>
          <w:sz w:val="16"/>
          <w:szCs w:val="16"/>
          <w:color w:val="010000"/>
        </w:rPr>
        <w:t>any non-recurring or unusual expenses, charges or losses in an amount not to exceed for any four fiscal quarter period, the greater of</w:t>
      </w:r>
    </w:p>
    <w:p>
      <w:pPr>
        <w:spacing w:after="0" w:line="40" w:lineRule="exact"/>
        <w:rPr>
          <w:rFonts w:ascii="Arial" w:cs="Arial" w:eastAsia="Arial" w:hAnsi="Arial"/>
          <w:sz w:val="16"/>
          <w:szCs w:val="16"/>
          <w:color w:val="010000"/>
        </w:rPr>
      </w:pPr>
    </w:p>
    <w:p>
      <w:pPr>
        <w:ind w:right="20" w:firstLine="7"/>
        <w:spacing w:after="0" w:line="254" w:lineRule="auto"/>
        <w:tabs>
          <w:tab w:leader="none" w:pos="291" w:val="left"/>
        </w:tabs>
        <w:numPr>
          <w:ilvl w:val="0"/>
          <w:numId w:val="28"/>
        </w:numPr>
        <w:rPr>
          <w:rFonts w:ascii="Arial" w:cs="Arial" w:eastAsia="Arial" w:hAnsi="Arial"/>
          <w:sz w:val="18"/>
          <w:szCs w:val="18"/>
          <w:color w:val="010000"/>
        </w:rPr>
      </w:pPr>
      <w:r>
        <w:rPr>
          <w:rFonts w:ascii="Arial" w:cs="Arial" w:eastAsia="Arial" w:hAnsi="Arial"/>
          <w:sz w:val="18"/>
          <w:szCs w:val="18"/>
          <w:color w:val="010000"/>
        </w:rPr>
        <w:t>5% of Consolidated EBITDA for such period (calculated after giving effect to any amounts added to Consolidated EBITDA pursuant to this clause (vii) and clauses (xi) and (xii) and Section 1.07) and (B) $10,000,000,</w:t>
      </w:r>
    </w:p>
    <w:p>
      <w:pPr>
        <w:spacing w:after="0" w:line="84" w:lineRule="exact"/>
        <w:rPr>
          <w:rFonts w:ascii="Arial" w:cs="Arial" w:eastAsia="Arial" w:hAnsi="Arial"/>
          <w:sz w:val="18"/>
          <w:szCs w:val="18"/>
          <w:color w:val="010000"/>
        </w:rPr>
      </w:pPr>
    </w:p>
    <w:p>
      <w:pPr>
        <w:ind w:right="20" w:firstLine="1559"/>
        <w:spacing w:after="0" w:line="269" w:lineRule="auto"/>
        <w:tabs>
          <w:tab w:leader="none" w:pos="1952" w:val="left"/>
        </w:tabs>
        <w:numPr>
          <w:ilvl w:val="2"/>
          <w:numId w:val="28"/>
        </w:numPr>
        <w:rPr>
          <w:rFonts w:ascii="Arial" w:cs="Arial" w:eastAsia="Arial" w:hAnsi="Arial"/>
          <w:sz w:val="17"/>
          <w:szCs w:val="17"/>
          <w:color w:val="010000"/>
        </w:rPr>
      </w:pPr>
      <w:r>
        <w:rPr>
          <w:rFonts w:ascii="Arial" w:cs="Arial" w:eastAsia="Arial" w:hAnsi="Arial"/>
          <w:sz w:val="17"/>
          <w:szCs w:val="17"/>
          <w:color w:val="010000"/>
        </w:rPr>
        <w:t>fees, costs and expenses (including fees, costs and expenses related to (A) legal, financial and other advisors, auditors and accountants, including AlixPartners, (B) printer costs and expenses, (C) SEC and other filing fees and (D) underwriting, arrangement, syndication, backstop and placement premiums, discounts, fees, charges and expenses) of the Company and its Restricted Subsidiaries, incurred as a result of Permitted Acquisitions, Investments, Dispositions, issuance of equity interests or issuance, waiver, refinancing or amendment of Debt, in each case to the extent permitted hereunder, whether or not consummated, other than any fees paid, or costs or expenses reimbursed to any Restricted Subsidiary of the Company other than from a Person that is the Company or any of its Restricted Subsidiaries,</w:t>
      </w:r>
    </w:p>
    <w:p>
      <w:pPr>
        <w:spacing w:after="0" w:line="72" w:lineRule="exact"/>
        <w:rPr>
          <w:rFonts w:ascii="Arial" w:cs="Arial" w:eastAsia="Arial" w:hAnsi="Arial"/>
          <w:sz w:val="17"/>
          <w:szCs w:val="17"/>
          <w:color w:val="010000"/>
        </w:rPr>
      </w:pPr>
    </w:p>
    <w:p>
      <w:pPr>
        <w:ind w:left="1860" w:hanging="301"/>
        <w:spacing w:after="0"/>
        <w:tabs>
          <w:tab w:leader="none" w:pos="1860" w:val="left"/>
        </w:tabs>
        <w:numPr>
          <w:ilvl w:val="2"/>
          <w:numId w:val="28"/>
        </w:numPr>
        <w:rPr>
          <w:rFonts w:ascii="Arial" w:cs="Arial" w:eastAsia="Arial" w:hAnsi="Arial"/>
          <w:sz w:val="18"/>
          <w:szCs w:val="18"/>
          <w:color w:val="010000"/>
        </w:rPr>
      </w:pPr>
      <w:r>
        <w:rPr>
          <w:rFonts w:ascii="Arial" w:cs="Arial" w:eastAsia="Arial" w:hAnsi="Arial"/>
          <w:sz w:val="18"/>
          <w:szCs w:val="18"/>
          <w:color w:val="010000"/>
        </w:rPr>
        <w:t>deferred or amortized financing fees (and any write-offs thereof) for such period,</w:t>
      </w:r>
    </w:p>
    <w:p>
      <w:pPr>
        <w:spacing w:after="0" w:line="113" w:lineRule="exact"/>
        <w:rPr>
          <w:rFonts w:ascii="Arial" w:cs="Arial" w:eastAsia="Arial" w:hAnsi="Arial"/>
          <w:sz w:val="18"/>
          <w:szCs w:val="18"/>
          <w:color w:val="010000"/>
        </w:rPr>
      </w:pPr>
    </w:p>
    <w:p>
      <w:pPr>
        <w:ind w:left="1820" w:hanging="261"/>
        <w:spacing w:after="0"/>
        <w:tabs>
          <w:tab w:leader="none" w:pos="1820" w:val="left"/>
        </w:tabs>
        <w:numPr>
          <w:ilvl w:val="2"/>
          <w:numId w:val="28"/>
        </w:numPr>
        <w:rPr>
          <w:rFonts w:ascii="Arial" w:cs="Arial" w:eastAsia="Arial" w:hAnsi="Arial"/>
          <w:sz w:val="14"/>
          <w:szCs w:val="14"/>
          <w:color w:val="010000"/>
        </w:rPr>
      </w:pPr>
      <w:r>
        <w:rPr>
          <w:rFonts w:ascii="Arial" w:cs="Arial" w:eastAsia="Arial" w:hAnsi="Arial"/>
          <w:sz w:val="14"/>
          <w:szCs w:val="14"/>
          <w:color w:val="010000"/>
        </w:rPr>
        <w:t>any cash expenses or losses funded during such period with payments from assets of the Kodak Retirement Income Plan as in effect on</w:t>
      </w:r>
    </w:p>
    <w:p>
      <w:pPr>
        <w:spacing w:after="0" w:line="63"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8"/>
          <w:szCs w:val="18"/>
          <w:color w:val="010000"/>
        </w:rPr>
        <w:t>January 19, 2012,</w:t>
      </w:r>
    </w:p>
    <w:p>
      <w:pPr>
        <w:spacing w:after="0" w:line="102" w:lineRule="exact"/>
        <w:rPr>
          <w:rFonts w:ascii="Arial" w:cs="Arial" w:eastAsia="Arial" w:hAnsi="Arial"/>
          <w:sz w:val="14"/>
          <w:szCs w:val="14"/>
          <w:color w:val="010000"/>
        </w:rPr>
      </w:pPr>
    </w:p>
    <w:p>
      <w:pPr>
        <w:ind w:firstLine="1559"/>
        <w:spacing w:after="0" w:line="273" w:lineRule="auto"/>
        <w:tabs>
          <w:tab w:leader="none" w:pos="1853" w:val="left"/>
        </w:tabs>
        <w:numPr>
          <w:ilvl w:val="2"/>
          <w:numId w:val="28"/>
        </w:numPr>
        <w:rPr>
          <w:rFonts w:ascii="Arial" w:cs="Arial" w:eastAsia="Arial" w:hAnsi="Arial"/>
          <w:sz w:val="17"/>
          <w:szCs w:val="17"/>
          <w:color w:val="010000"/>
        </w:rPr>
      </w:pPr>
      <w:r>
        <w:rPr>
          <w:rFonts w:ascii="Arial" w:cs="Arial" w:eastAsia="Arial" w:hAnsi="Arial"/>
          <w:sz w:val="17"/>
          <w:szCs w:val="17"/>
          <w:color w:val="010000"/>
        </w:rPr>
        <w:t xml:space="preserve">business optimization expenses, and restructuring charges and reserves for such period, including any fees, costs and expenses of AlixPartners related thereto;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with respect to each such business optimization expense or restructuring charge or reserve pursuant to this subclause (xi), the Company shall have delivered to the Agent an officer’s certificate specifying and quantifying such expense, charge or reserve and stating that such expense, charge or reserve is a business optimization expense or restructuring charge or reserve,</w:t>
      </w:r>
    </w:p>
    <w:p>
      <w:pPr>
        <w:spacing w:after="0" w:line="70" w:lineRule="exact"/>
        <w:rPr>
          <w:rFonts w:ascii="Arial" w:cs="Arial" w:eastAsia="Arial" w:hAnsi="Arial"/>
          <w:sz w:val="17"/>
          <w:szCs w:val="17"/>
          <w:color w:val="010000"/>
        </w:rPr>
      </w:pPr>
    </w:p>
    <w:p>
      <w:pPr>
        <w:ind w:right="80" w:firstLine="1559"/>
        <w:spacing w:after="0" w:line="287" w:lineRule="auto"/>
        <w:tabs>
          <w:tab w:leader="none" w:pos="1903" w:val="left"/>
        </w:tabs>
        <w:numPr>
          <w:ilvl w:val="2"/>
          <w:numId w:val="28"/>
        </w:numPr>
        <w:rPr>
          <w:rFonts w:ascii="Arial" w:cs="Arial" w:eastAsia="Arial" w:hAnsi="Arial"/>
          <w:sz w:val="16"/>
          <w:szCs w:val="16"/>
          <w:color w:val="010000"/>
        </w:rPr>
      </w:pPr>
      <w:r>
        <w:rPr>
          <w:rFonts w:ascii="Arial" w:cs="Arial" w:eastAsia="Arial" w:hAnsi="Arial"/>
          <w:sz w:val="16"/>
          <w:szCs w:val="16"/>
          <w:color w:val="010000"/>
        </w:rPr>
        <w:t xml:space="preserve">the amount of cost savings and synergies projected by the Company in good faith to be realized as a result of specified actions taken or expected to be taken prior to or during such period (which cost savings or synergies shall be subject only to certification by a Responsible Officer of the Company and shall be calculated on a pro forma basis as though such cost savings or synergies had been realized on the first day of the relevant period), net of the amount of actual benefits realized during such period from such actions;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xml:space="preserve">, (A) such cost savings or synergies are reasonably identifiable and factually supportable, and (B) such actions have been taken or are to be taken within twelve (12) months after the date of determination to take such action;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further</w:t>
      </w:r>
      <w:r>
        <w:rPr>
          <w:rFonts w:ascii="Arial" w:cs="Arial" w:eastAsia="Arial" w:hAnsi="Arial"/>
          <w:sz w:val="16"/>
          <w:szCs w:val="16"/>
          <w:color w:val="010000"/>
        </w:rPr>
        <w:t>, that aggregate amounts added pursuant to this subclause for any period shall not in the aggregate exceed the greater of (x) $10,000,000 or (y) 5% of the Consolidated EBITDA (calculated without giving effect to this clause or to Section 1.07(c)),</w:t>
      </w:r>
    </w:p>
    <w:p>
      <w:pPr>
        <w:spacing w:after="0" w:line="60" w:lineRule="exact"/>
        <w:rPr>
          <w:rFonts w:ascii="Arial" w:cs="Arial" w:eastAsia="Arial" w:hAnsi="Arial"/>
          <w:sz w:val="16"/>
          <w:szCs w:val="16"/>
          <w:color w:val="010000"/>
        </w:rPr>
      </w:pPr>
    </w:p>
    <w:p>
      <w:pPr>
        <w:ind w:right="40" w:firstLine="1559"/>
        <w:spacing w:after="0" w:line="252" w:lineRule="auto"/>
        <w:tabs>
          <w:tab w:leader="none" w:pos="1952" w:val="left"/>
        </w:tabs>
        <w:numPr>
          <w:ilvl w:val="2"/>
          <w:numId w:val="28"/>
        </w:numPr>
        <w:rPr>
          <w:rFonts w:ascii="Arial" w:cs="Arial" w:eastAsia="Arial" w:hAnsi="Arial"/>
          <w:sz w:val="18"/>
          <w:szCs w:val="18"/>
          <w:color w:val="010000"/>
        </w:rPr>
      </w:pPr>
      <w:r>
        <w:rPr>
          <w:rFonts w:ascii="Arial" w:cs="Arial" w:eastAsia="Arial" w:hAnsi="Arial"/>
          <w:sz w:val="18"/>
          <w:szCs w:val="18"/>
          <w:color w:val="010000"/>
        </w:rPr>
        <w:t>any expenses, charges or losses that are covered by indemnification or other reimbursement provisions or insurance in any agreement, to the extent such indemnification or insurance coverage has not been disclaimed or denied and is reasonably expected to be paid within 180 days of any claim made therefor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if such expenses are not reimbursed within such 180 day period, for purposes of calculating Consolidated EBITDA for any fiscal period in which an addback pursuant to this clause (xiii) has been taken, Consolidated EBITDA shall be re-calculated going forward excluding the addback pursuant to this clause (xiii) for such period),</w:t>
      </w:r>
    </w:p>
    <w:p>
      <w:pPr>
        <w:spacing w:after="0" w:line="86" w:lineRule="exact"/>
        <w:rPr>
          <w:rFonts w:ascii="Arial" w:cs="Arial" w:eastAsia="Arial" w:hAnsi="Arial"/>
          <w:sz w:val="18"/>
          <w:szCs w:val="18"/>
          <w:color w:val="010000"/>
        </w:rPr>
      </w:pPr>
    </w:p>
    <w:p>
      <w:pPr>
        <w:jc w:val="both"/>
        <w:ind w:firstLine="1559"/>
        <w:spacing w:after="0" w:line="257" w:lineRule="auto"/>
        <w:tabs>
          <w:tab w:leader="none" w:pos="1942" w:val="left"/>
        </w:tabs>
        <w:numPr>
          <w:ilvl w:val="2"/>
          <w:numId w:val="28"/>
        </w:numPr>
        <w:rPr>
          <w:rFonts w:ascii="Arial" w:cs="Arial" w:eastAsia="Arial" w:hAnsi="Arial"/>
          <w:sz w:val="18"/>
          <w:szCs w:val="18"/>
          <w:color w:val="010000"/>
        </w:rPr>
      </w:pPr>
      <w:r>
        <w:rPr>
          <w:rFonts w:ascii="Arial" w:cs="Arial" w:eastAsia="Arial" w:hAnsi="Arial"/>
          <w:sz w:val="18"/>
          <w:szCs w:val="18"/>
          <w:color w:val="010000"/>
        </w:rPr>
        <w:t>any proceeds from business interruption, casualty or liability insurance received by such Person during such period, to the extent the associated losses arising out of the event that resulted in the payment of such business interruption insurance proceeds were included in computing Consolidated Net Income,</w:t>
      </w:r>
    </w:p>
    <w:p>
      <w:pPr>
        <w:spacing w:after="0" w:line="81" w:lineRule="exact"/>
        <w:rPr>
          <w:rFonts w:ascii="Arial" w:cs="Arial" w:eastAsia="Arial" w:hAnsi="Arial"/>
          <w:sz w:val="18"/>
          <w:szCs w:val="18"/>
          <w:color w:val="010000"/>
        </w:rPr>
      </w:pPr>
    </w:p>
    <w:p>
      <w:pPr>
        <w:ind w:left="1900" w:hanging="341"/>
        <w:spacing w:after="0"/>
        <w:tabs>
          <w:tab w:leader="none" w:pos="1900" w:val="left"/>
        </w:tabs>
        <w:numPr>
          <w:ilvl w:val="2"/>
          <w:numId w:val="28"/>
        </w:numPr>
        <w:rPr>
          <w:rFonts w:ascii="Arial" w:cs="Arial" w:eastAsia="Arial" w:hAnsi="Arial"/>
          <w:sz w:val="16"/>
          <w:szCs w:val="16"/>
          <w:color w:val="010000"/>
        </w:rPr>
      </w:pPr>
      <w:r>
        <w:rPr>
          <w:rFonts w:ascii="Arial" w:cs="Arial" w:eastAsia="Arial" w:hAnsi="Arial"/>
          <w:sz w:val="16"/>
          <w:szCs w:val="16"/>
          <w:color w:val="010000"/>
        </w:rPr>
        <w:t>expenses, charges and accruals for and reserves in respect of any charges, costs or expenses related to Pension Agreements, and</w:t>
      </w:r>
    </w:p>
    <w:p>
      <w:pPr>
        <w:spacing w:after="0" w:line="136" w:lineRule="exact"/>
        <w:rPr>
          <w:rFonts w:ascii="Arial" w:cs="Arial" w:eastAsia="Arial" w:hAnsi="Arial"/>
          <w:sz w:val="16"/>
          <w:szCs w:val="16"/>
          <w:color w:val="010000"/>
        </w:rPr>
      </w:pPr>
    </w:p>
    <w:p>
      <w:pPr>
        <w:ind w:right="260" w:firstLine="1559"/>
        <w:spacing w:after="0" w:line="267" w:lineRule="auto"/>
        <w:tabs>
          <w:tab w:leader="none" w:pos="1942" w:val="left"/>
        </w:tabs>
        <w:numPr>
          <w:ilvl w:val="2"/>
          <w:numId w:val="28"/>
        </w:numPr>
        <w:rPr>
          <w:rFonts w:ascii="Arial" w:cs="Arial" w:eastAsia="Arial" w:hAnsi="Arial"/>
          <w:sz w:val="18"/>
          <w:szCs w:val="18"/>
          <w:color w:val="010000"/>
        </w:rPr>
      </w:pPr>
      <w:r>
        <w:rPr>
          <w:rFonts w:ascii="Arial" w:cs="Arial" w:eastAsia="Arial" w:hAnsi="Arial"/>
          <w:sz w:val="18"/>
          <w:szCs w:val="18"/>
          <w:color w:val="010000"/>
        </w:rPr>
        <w:t>restructuring costs and other charges identified as a line item in the projections included in the Disclosure Statement regardless of when such restructuring charges were incurred, minus,</w:t>
      </w:r>
    </w:p>
    <w:p>
      <w:pPr>
        <w:spacing w:after="0" w:line="72" w:lineRule="exact"/>
        <w:rPr>
          <w:rFonts w:ascii="Arial" w:cs="Arial" w:eastAsia="Arial" w:hAnsi="Arial"/>
          <w:sz w:val="18"/>
          <w:szCs w:val="18"/>
          <w:color w:val="010000"/>
        </w:rPr>
      </w:pPr>
    </w:p>
    <w:p>
      <w:pPr>
        <w:ind w:right="20" w:firstLine="1041"/>
        <w:spacing w:after="0" w:line="267" w:lineRule="auto"/>
        <w:tabs>
          <w:tab w:leader="none" w:pos="1286" w:val="left"/>
        </w:tabs>
        <w:numPr>
          <w:ilvl w:val="1"/>
          <w:numId w:val="28"/>
        </w:numPr>
        <w:rPr>
          <w:rFonts w:ascii="Arial" w:cs="Arial" w:eastAsia="Arial" w:hAnsi="Arial"/>
          <w:sz w:val="17"/>
          <w:szCs w:val="17"/>
          <w:color w:val="010000"/>
        </w:rPr>
      </w:pPr>
      <w:r>
        <w:rPr>
          <w:rFonts w:ascii="Arial" w:cs="Arial" w:eastAsia="Arial" w:hAnsi="Arial"/>
          <w:sz w:val="17"/>
          <w:szCs w:val="17"/>
          <w:color w:val="010000"/>
        </w:rPr>
        <w:t>without duplication and to the extent included in Consolidated Net Income for such period, the sum of (i) interest income (except to the extent deducted in determining Consolidated Interest Charges), (ii) income, profits or capital gains tax credits, (iii) other non-cash gains increasing Consolidated Net Income for such period (excluding any such non-cash gain to the extent it represents a reversal of an accrual or reserve for potential cash loss that was deducted and not added back to Consolidated EBITDA in any prior period)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any cash received with respect to any non-cash items of income (other than extraordinary gains) for any prior period shall be added to the computation of Consolidated EBITDA), (iv) (A) any unusual or non-recurring income or gains not to exceed amounts that can be added back to Consolidated EBITDA pursuant to subclause (a)(vii) or (B) extraordinary income or gains, in each case including, whether or not otherwise includable as a separate item in the statement of such Consolidated Net Income for such period, gains on the sale of assets outside of the ordinary course of business, (v) any other non-cash income arising from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52" w:name="page53"/>
    <w:bookmarkEnd w:id="52"/>
    <w:p>
      <w:pPr>
        <w:ind w:right="60"/>
        <w:spacing w:after="0" w:line="279" w:lineRule="auto"/>
        <w:rPr>
          <w:sz w:val="20"/>
          <w:szCs w:val="20"/>
          <w:color w:val="auto"/>
        </w:rPr>
      </w:pPr>
      <w:r>
        <w:rPr>
          <w:rFonts w:ascii="Arial" w:cs="Arial" w:eastAsia="Arial" w:hAnsi="Arial"/>
          <w:sz w:val="17"/>
          <w:szCs w:val="17"/>
          <w:color w:val="010000"/>
        </w:rPr>
        <w:t>cumulative effect of changes in accounting principles, (vi) provision for environmental restoration and remedial actions for continuing operations added back pursuant to clause (a)(iv) of this definition to the extent actually paid in cash, (vii) income and gains in respect of Pension Agreements and (viii) cash payments in respect of Pension Agreements, made in the period for which Consolidated EBITDA is being calculated.</w:t>
      </w:r>
    </w:p>
    <w:p>
      <w:pPr>
        <w:spacing w:after="0" w:line="172" w:lineRule="exact"/>
        <w:rPr>
          <w:sz w:val="20"/>
          <w:szCs w:val="20"/>
          <w:color w:val="auto"/>
        </w:rPr>
      </w:pPr>
    </w:p>
    <w:p>
      <w:pPr>
        <w:ind w:right="60" w:firstLine="518"/>
        <w:spacing w:after="0" w:line="267" w:lineRule="auto"/>
        <w:rPr>
          <w:sz w:val="20"/>
          <w:szCs w:val="20"/>
          <w:color w:val="auto"/>
        </w:rPr>
      </w:pPr>
      <w:r>
        <w:rPr>
          <w:rFonts w:ascii="Arial" w:cs="Arial" w:eastAsia="Arial" w:hAnsi="Arial"/>
          <w:sz w:val="18"/>
          <w:szCs w:val="18"/>
          <w:color w:val="auto"/>
        </w:rPr>
        <w:t>Notwithstanding anything herein to the contrary, the add-backs permitted under clauses (vii), (xi) and (xii) above shall not exceed 7.5% of Consolidated EBITDA.</w:t>
      </w:r>
    </w:p>
    <w:p>
      <w:pPr>
        <w:spacing w:after="0" w:line="180" w:lineRule="exact"/>
        <w:rPr>
          <w:sz w:val="20"/>
          <w:szCs w:val="20"/>
          <w:color w:val="auto"/>
        </w:rPr>
      </w:pPr>
    </w:p>
    <w:p>
      <w:pPr>
        <w:ind w:firstLine="103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Charges</w:t>
      </w:r>
      <w:r>
        <w:rPr>
          <w:rFonts w:ascii="Arial" w:cs="Arial" w:eastAsia="Arial" w:hAnsi="Arial"/>
          <w:sz w:val="16"/>
          <w:szCs w:val="16"/>
          <w:color w:val="auto"/>
        </w:rPr>
        <w:t>” means, for any Measurement Period, all interest, premium payments, debt discount, fees, charges and related expenses in connection with Debt for Borrowed Money (including capitalized interest) or in connection with the deferred purchase price of assets, in each case to the extent treated as interest in accordance with GAAP, including all commissions, discounts and other fees and charges owed with respect to Permitted Receivables Financings, letters of credit and bankers’ acceptance financing and net costs under Hedging Agreements, but excluding (x) any interest paid, directly or indirectly, to any Loan Party by the Company and its Restricted Subsidiaries, (y) any non-cash or deferred interest and financing costs (including any legal and accounting costs, fees on account of bridge, commitment and other financings, any non-cash accretion or accrual of discounted liabilities not constituting Debt, all as determined on a consolidated basis in accordance with GAAP) and (z) amortization or write-off of deferred financing fees, debt issuance costs, commissions, fees and expenses, including expenses resulting from the discounting of any outstanding Debt in connection with the application of purchase accounting and/or fresh start accounting in connection with any acquisition.</w:t>
      </w:r>
    </w:p>
    <w:p>
      <w:pPr>
        <w:spacing w:after="0" w:line="174" w:lineRule="exact"/>
        <w:rPr>
          <w:sz w:val="20"/>
          <w:szCs w:val="20"/>
          <w:color w:val="auto"/>
        </w:rPr>
      </w:pPr>
    </w:p>
    <w:p>
      <w:pPr>
        <w:ind w:right="100" w:firstLine="103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as of any date of determination, the net income of the Company and its Restricted Subsidiaries for the most recently completed Measurement Period, all as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w:t>
      </w:r>
    </w:p>
    <w:p>
      <w:pPr>
        <w:spacing w:after="0" w:line="26" w:lineRule="exact"/>
        <w:rPr>
          <w:sz w:val="20"/>
          <w:szCs w:val="20"/>
          <w:color w:val="auto"/>
        </w:rPr>
      </w:pPr>
    </w:p>
    <w:p>
      <w:pPr>
        <w:ind w:right="380" w:firstLine="1041"/>
        <w:spacing w:after="0" w:line="257" w:lineRule="auto"/>
        <w:tabs>
          <w:tab w:leader="none" w:pos="1276" w:val="left"/>
        </w:tabs>
        <w:numPr>
          <w:ilvl w:val="0"/>
          <w:numId w:val="29"/>
        </w:numPr>
        <w:rPr>
          <w:rFonts w:ascii="Arial" w:cs="Arial" w:eastAsia="Arial" w:hAnsi="Arial"/>
          <w:sz w:val="18"/>
          <w:szCs w:val="18"/>
          <w:color w:val="010000"/>
        </w:rPr>
      </w:pPr>
      <w:r>
        <w:rPr>
          <w:rFonts w:ascii="Arial" w:cs="Arial" w:eastAsia="Arial" w:hAnsi="Arial"/>
          <w:sz w:val="18"/>
          <w:szCs w:val="18"/>
          <w:color w:val="010000"/>
        </w:rPr>
        <w:t>the net income (or loss) of any Person that is not a Restricted Subsidiary, except to the extent of the amount of dividends, distributions or other payments actually paid in cash (or to the extent converted into cash) to the Company or any of its wholly owned Restricted Subsidiaries during such period,</w:t>
      </w:r>
    </w:p>
    <w:p>
      <w:pPr>
        <w:spacing w:after="0" w:line="81" w:lineRule="exact"/>
        <w:rPr>
          <w:rFonts w:ascii="Arial" w:cs="Arial" w:eastAsia="Arial" w:hAnsi="Arial"/>
          <w:sz w:val="18"/>
          <w:szCs w:val="18"/>
          <w:color w:val="010000"/>
        </w:rPr>
      </w:pPr>
    </w:p>
    <w:p>
      <w:pPr>
        <w:ind w:right="400" w:firstLine="1041"/>
        <w:spacing w:after="0" w:line="257" w:lineRule="auto"/>
        <w:tabs>
          <w:tab w:leader="none" w:pos="1286" w:val="left"/>
        </w:tabs>
        <w:numPr>
          <w:ilvl w:val="0"/>
          <w:numId w:val="29"/>
        </w:numPr>
        <w:rPr>
          <w:rFonts w:ascii="Arial" w:cs="Arial" w:eastAsia="Arial" w:hAnsi="Arial"/>
          <w:sz w:val="18"/>
          <w:szCs w:val="18"/>
          <w:color w:val="010000"/>
        </w:rPr>
      </w:pPr>
      <w:r>
        <w:rPr>
          <w:rFonts w:ascii="Arial" w:cs="Arial" w:eastAsia="Arial" w:hAnsi="Arial"/>
          <w:sz w:val="18"/>
          <w:szCs w:val="18"/>
          <w:color w:val="010000"/>
        </w:rPr>
        <w:t>the income (or loss) of any Person (other than a Subsidiary of the Company) in which the Company or any of its Subsidiaries has an ownership interest, except to the extent that any such income is actually received by the Company or any Restricted Subsidiary in the form of dividends or similar distributions,</w:t>
      </w:r>
    </w:p>
    <w:p>
      <w:pPr>
        <w:spacing w:after="0" w:line="81" w:lineRule="exact"/>
        <w:rPr>
          <w:rFonts w:ascii="Arial" w:cs="Arial" w:eastAsia="Arial" w:hAnsi="Arial"/>
          <w:sz w:val="18"/>
          <w:szCs w:val="18"/>
          <w:color w:val="010000"/>
        </w:rPr>
      </w:pPr>
    </w:p>
    <w:p>
      <w:pPr>
        <w:ind w:right="140" w:firstLine="1041"/>
        <w:spacing w:after="0" w:line="295" w:lineRule="auto"/>
        <w:tabs>
          <w:tab w:leader="none" w:pos="1276" w:val="left"/>
        </w:tabs>
        <w:numPr>
          <w:ilvl w:val="0"/>
          <w:numId w:val="29"/>
        </w:numPr>
        <w:rPr>
          <w:rFonts w:ascii="Arial" w:cs="Arial" w:eastAsia="Arial" w:hAnsi="Arial"/>
          <w:sz w:val="16"/>
          <w:szCs w:val="16"/>
          <w:color w:val="010000"/>
        </w:rPr>
      </w:pPr>
      <w:r>
        <w:rPr>
          <w:rFonts w:ascii="Arial" w:cs="Arial" w:eastAsia="Arial" w:hAnsi="Arial"/>
          <w:sz w:val="16"/>
          <w:szCs w:val="16"/>
          <w:color w:val="010000"/>
        </w:rPr>
        <w:t>the income (or loss) of any Person during such Measurement Period and accrued prior to the date it becomes a Restricted Subsidiary of the Company or any of the Company’s Restricted Subsidiaries or is merged into or consolidated with the Company or any of its Restricted Subsidiaries or such Person’s assets are acquired by the Company or any of its Restricted Subsidiaries (but only the portion attributable to such Person or assets prior to the dates it became or is merged or consolidated with the Company or any Restricted Subsidiary or the assets were so acquired),</w:t>
      </w:r>
    </w:p>
    <w:p>
      <w:pPr>
        <w:spacing w:after="0" w:line="55" w:lineRule="exact"/>
        <w:rPr>
          <w:rFonts w:ascii="Arial" w:cs="Arial" w:eastAsia="Arial" w:hAnsi="Arial"/>
          <w:sz w:val="16"/>
          <w:szCs w:val="16"/>
          <w:color w:val="010000"/>
        </w:rPr>
      </w:pPr>
    </w:p>
    <w:p>
      <w:pPr>
        <w:ind w:right="380" w:firstLine="1041"/>
        <w:spacing w:after="0" w:line="331" w:lineRule="auto"/>
        <w:tabs>
          <w:tab w:leader="none" w:pos="1286" w:val="left"/>
        </w:tabs>
        <w:numPr>
          <w:ilvl w:val="0"/>
          <w:numId w:val="29"/>
        </w:numPr>
        <w:rPr>
          <w:rFonts w:ascii="Arial" w:cs="Arial" w:eastAsia="Arial" w:hAnsi="Arial"/>
          <w:sz w:val="16"/>
          <w:szCs w:val="16"/>
          <w:color w:val="010000"/>
        </w:rPr>
      </w:pPr>
      <w:r>
        <w:rPr>
          <w:rFonts w:ascii="Arial" w:cs="Arial" w:eastAsia="Arial" w:hAnsi="Arial"/>
          <w:sz w:val="16"/>
          <w:szCs w:val="16"/>
          <w:color w:val="010000"/>
        </w:rPr>
        <w:t>any after-tax effect of gains or losses attributable to Dispositions or other dispositions or transfers of assets, in each case other than in the ordinary course of business and discontinued operations or disposal of discontinued operations, as determined in good faith by the Company,</w:t>
      </w:r>
    </w:p>
    <w:p>
      <w:pPr>
        <w:spacing w:after="0" w:line="25" w:lineRule="exact"/>
        <w:rPr>
          <w:rFonts w:ascii="Arial" w:cs="Arial" w:eastAsia="Arial" w:hAnsi="Arial"/>
          <w:sz w:val="16"/>
          <w:szCs w:val="16"/>
          <w:color w:val="010000"/>
        </w:rPr>
      </w:pPr>
    </w:p>
    <w:p>
      <w:pPr>
        <w:ind w:right="40" w:firstLine="1041"/>
        <w:spacing w:after="0" w:line="252" w:lineRule="auto"/>
        <w:tabs>
          <w:tab w:leader="none" w:pos="1276" w:val="left"/>
        </w:tabs>
        <w:numPr>
          <w:ilvl w:val="0"/>
          <w:numId w:val="29"/>
        </w:numPr>
        <w:rPr>
          <w:rFonts w:ascii="Arial" w:cs="Arial" w:eastAsia="Arial" w:hAnsi="Arial"/>
          <w:sz w:val="18"/>
          <w:szCs w:val="18"/>
          <w:color w:val="010000"/>
        </w:rPr>
      </w:pPr>
      <w:r>
        <w:rPr>
          <w:rFonts w:ascii="Arial" w:cs="Arial" w:eastAsia="Arial" w:hAnsi="Arial"/>
          <w:sz w:val="18"/>
          <w:szCs w:val="18"/>
          <w:color w:val="010000"/>
        </w:rPr>
        <w:t>effects of adjustments (including the effects of such adjustments pushed down to the Company and its Restricted Subsidiaries) in such Person’s consolidated financial statements (including to property, equipment, inventory and other assets) pursuant to GAAP resulting from the application of purchase accounting and/or fresh start accounting in relation to the Initial Closing Date Transactions, the Closing Date Transactions, the Chapter 11 Plan or any consummated acquisition or the amortization or write-off of any amounts thereof (including the impact on net income (or loss) arising from mark-to-market adjustments with respect to earn-outs), net of taxes,</w:t>
      </w:r>
    </w:p>
    <w:p>
      <w:pPr>
        <w:spacing w:after="0" w:line="86" w:lineRule="exact"/>
        <w:rPr>
          <w:rFonts w:ascii="Arial" w:cs="Arial" w:eastAsia="Arial" w:hAnsi="Arial"/>
          <w:sz w:val="18"/>
          <w:szCs w:val="18"/>
          <w:color w:val="010000"/>
        </w:rPr>
      </w:pPr>
    </w:p>
    <w:p>
      <w:pPr>
        <w:ind w:right="60" w:firstLine="1041"/>
        <w:spacing w:after="0" w:line="270" w:lineRule="auto"/>
        <w:tabs>
          <w:tab w:leader="none" w:pos="1256" w:val="left"/>
        </w:tabs>
        <w:numPr>
          <w:ilvl w:val="0"/>
          <w:numId w:val="29"/>
        </w:numPr>
        <w:rPr>
          <w:rFonts w:ascii="Arial" w:cs="Arial" w:eastAsia="Arial" w:hAnsi="Arial"/>
          <w:sz w:val="17"/>
          <w:szCs w:val="17"/>
          <w:color w:val="010000"/>
        </w:rPr>
      </w:pPr>
      <w:r>
        <w:rPr>
          <w:rFonts w:ascii="Arial" w:cs="Arial" w:eastAsia="Arial" w:hAnsi="Arial"/>
          <w:sz w:val="17"/>
          <w:szCs w:val="17"/>
          <w:color w:val="010000"/>
        </w:rPr>
        <w:t>(i) any non-cash compensation expense recorded from grants or periodic remeasurement of stock appreciation or similar rights, stock options, restricted stock or other rights and any cash charges associated with the rollover, acceleration, or payout of capital stock by management of the Company in connection with the Initial Closing Date Transactions or the Closing Date Transactions and (ii) any costs or expenses incurred pursuant to any management equity plan or stock option plan or other management or employee benefit plan or agreement or any stock subscription agreement, to the extent that such costs or expenses are funded with cash proceeds contributed to the common equity capital of the Company,</w:t>
      </w:r>
    </w:p>
    <w:p>
      <w:pPr>
        <w:spacing w:after="0" w:line="73" w:lineRule="exact"/>
        <w:rPr>
          <w:rFonts w:ascii="Arial" w:cs="Arial" w:eastAsia="Arial" w:hAnsi="Arial"/>
          <w:sz w:val="17"/>
          <w:szCs w:val="17"/>
          <w:color w:val="010000"/>
        </w:rPr>
      </w:pPr>
    </w:p>
    <w:p>
      <w:pPr>
        <w:ind w:right="780" w:firstLine="1041"/>
        <w:spacing w:after="0" w:line="267" w:lineRule="auto"/>
        <w:tabs>
          <w:tab w:leader="none" w:pos="1286" w:val="left"/>
        </w:tabs>
        <w:numPr>
          <w:ilvl w:val="0"/>
          <w:numId w:val="29"/>
        </w:numPr>
        <w:rPr>
          <w:rFonts w:ascii="Arial" w:cs="Arial" w:eastAsia="Arial" w:hAnsi="Arial"/>
          <w:sz w:val="18"/>
          <w:szCs w:val="18"/>
          <w:color w:val="010000"/>
        </w:rPr>
      </w:pPr>
      <w:r>
        <w:rPr>
          <w:rFonts w:ascii="Arial" w:cs="Arial" w:eastAsia="Arial" w:hAnsi="Arial"/>
          <w:sz w:val="18"/>
          <w:szCs w:val="18"/>
          <w:color w:val="010000"/>
        </w:rPr>
        <w:t>any after-tax effect of income (or loss) from the early extinguishment of obligations under Hedging Agreements or other derivative instruments, or Debt,</w:t>
      </w:r>
    </w:p>
    <w:p>
      <w:pPr>
        <w:spacing w:after="0" w:line="72" w:lineRule="exact"/>
        <w:rPr>
          <w:rFonts w:ascii="Arial" w:cs="Arial" w:eastAsia="Arial" w:hAnsi="Arial"/>
          <w:sz w:val="18"/>
          <w:szCs w:val="18"/>
          <w:color w:val="010000"/>
        </w:rPr>
      </w:pPr>
    </w:p>
    <w:p>
      <w:pPr>
        <w:ind w:right="20" w:firstLine="1041"/>
        <w:spacing w:after="0" w:line="297" w:lineRule="auto"/>
        <w:tabs>
          <w:tab w:leader="none" w:pos="1286" w:val="left"/>
        </w:tabs>
        <w:numPr>
          <w:ilvl w:val="0"/>
          <w:numId w:val="29"/>
        </w:numPr>
        <w:rPr>
          <w:rFonts w:ascii="Arial" w:cs="Arial" w:eastAsia="Arial" w:hAnsi="Arial"/>
          <w:sz w:val="17"/>
          <w:szCs w:val="17"/>
          <w:color w:val="010000"/>
        </w:rPr>
      </w:pPr>
      <w:r>
        <w:rPr>
          <w:rFonts w:ascii="Arial" w:cs="Arial" w:eastAsia="Arial" w:hAnsi="Arial"/>
          <w:sz w:val="17"/>
          <w:szCs w:val="17"/>
          <w:color w:val="010000"/>
        </w:rPr>
        <w:t>the undistributed earnings of any Subsidiary of the Borrower to the extent that the declaration or payment of dividends or similar distributions by such Subsidiary is not at the time permitted by the terms of any Contractual Obligation or law applicable to such Subsidiary,</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53" w:name="page54"/>
    <w:bookmarkEnd w:id="53"/>
    <w:p>
      <w:pPr>
        <w:ind w:right="520" w:firstLine="1041"/>
        <w:spacing w:after="0" w:line="267" w:lineRule="auto"/>
        <w:tabs>
          <w:tab w:leader="none" w:pos="1246" w:val="left"/>
        </w:tabs>
        <w:numPr>
          <w:ilvl w:val="0"/>
          <w:numId w:val="30"/>
        </w:numPr>
        <w:rPr>
          <w:rFonts w:ascii="Arial" w:cs="Arial" w:eastAsia="Arial" w:hAnsi="Arial"/>
          <w:sz w:val="18"/>
          <w:szCs w:val="18"/>
          <w:color w:val="010000"/>
        </w:rPr>
      </w:pPr>
      <w:r>
        <w:rPr>
          <w:rFonts w:ascii="Arial" w:cs="Arial" w:eastAsia="Arial" w:hAnsi="Arial"/>
          <w:sz w:val="18"/>
          <w:szCs w:val="18"/>
          <w:color w:val="010000"/>
        </w:rPr>
        <w:t>accruals and reserves and gains, losses or charges with respect to, or relating to, the KPP Settlement Agreement and the completion and implementation of the transactions contemplated thereby and in relation thereto, and</w:t>
      </w:r>
    </w:p>
    <w:p>
      <w:pPr>
        <w:spacing w:after="0" w:line="72" w:lineRule="exact"/>
        <w:rPr>
          <w:rFonts w:ascii="Arial" w:cs="Arial" w:eastAsia="Arial" w:hAnsi="Arial"/>
          <w:sz w:val="18"/>
          <w:szCs w:val="18"/>
          <w:color w:val="010000"/>
        </w:rPr>
      </w:pPr>
    </w:p>
    <w:p>
      <w:pPr>
        <w:ind w:right="420" w:firstLine="1041"/>
        <w:spacing w:after="0" w:line="257" w:lineRule="auto"/>
        <w:tabs>
          <w:tab w:leader="none" w:pos="1246" w:val="left"/>
        </w:tabs>
        <w:numPr>
          <w:ilvl w:val="0"/>
          <w:numId w:val="30"/>
        </w:numPr>
        <w:rPr>
          <w:rFonts w:ascii="Arial" w:cs="Arial" w:eastAsia="Arial" w:hAnsi="Arial"/>
          <w:sz w:val="18"/>
          <w:szCs w:val="18"/>
          <w:color w:val="010000"/>
        </w:rPr>
      </w:pPr>
      <w:r>
        <w:rPr>
          <w:rFonts w:ascii="Arial" w:cs="Arial" w:eastAsia="Arial" w:hAnsi="Arial"/>
          <w:sz w:val="18"/>
          <w:szCs w:val="18"/>
          <w:color w:val="010000"/>
        </w:rPr>
        <w:t>accruals and reserves that are established or adjusted within eighteen (18) months of the Initial Closing Date that are so required to be established or adjusted as a result of the Initial Closing Date Transactions in accordance with GAAP or changes as a result of a modification of accounting policies.</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Subsidiary</w:t>
      </w:r>
      <w:r>
        <w:rPr>
          <w:rFonts w:ascii="Arial" w:cs="Arial" w:eastAsia="Arial" w:hAnsi="Arial"/>
          <w:sz w:val="16"/>
          <w:szCs w:val="16"/>
          <w:color w:val="auto"/>
        </w:rPr>
        <w:t>” means any Person whose accounts are consolidated with the accounts of the Company in accordance with GAAP.</w:t>
      </w:r>
    </w:p>
    <w:p>
      <w:pPr>
        <w:spacing w:after="0" w:line="243" w:lineRule="exact"/>
        <w:rPr>
          <w:sz w:val="20"/>
          <w:szCs w:val="20"/>
          <w:color w:val="auto"/>
        </w:rPr>
      </w:pPr>
    </w:p>
    <w:p>
      <w:pPr>
        <w:ind w:right="14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80" w:lineRule="exact"/>
        <w:rPr>
          <w:sz w:val="20"/>
          <w:szCs w:val="20"/>
          <w:color w:val="auto"/>
        </w:rPr>
      </w:pPr>
    </w:p>
    <w:p>
      <w:pPr>
        <w:ind w:right="2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Loans of one Type into Revolving Loans of the other Type pursuant to Section 2.08 or 2.09.</w:t>
      </w:r>
    </w:p>
    <w:p>
      <w:pPr>
        <w:spacing w:after="0" w:line="180" w:lineRule="exact"/>
        <w:rPr>
          <w:sz w:val="20"/>
          <w:szCs w:val="20"/>
          <w:color w:val="auto"/>
        </w:rPr>
      </w:pPr>
    </w:p>
    <w:p>
      <w:pPr>
        <w:ind w:right="180" w:firstLine="10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 Agreement</w:t>
      </w:r>
      <w:r>
        <w:rPr>
          <w:rFonts w:ascii="Arial" w:cs="Arial" w:eastAsia="Arial" w:hAnsi="Arial"/>
          <w:sz w:val="17"/>
          <w:szCs w:val="17"/>
          <w:color w:val="auto"/>
        </w:rPr>
        <w:t>” means a control agreement with (a) the financial institution, at which any Loan Party maintains a deposit account (other than an Excluded Account) pursuant to which such financial institution shall agree with such Loan Party and the Agent to comply with instructions originated by the Agent directing the disposition of funds in such deposit account without the further consent of such Loan Party, such agreement to be in form and substance reasonably satisfactory to the Agent, and (b) the applicable securities intermediary, at which any Loan Party maintains a securities account pursuant to which such securities intermediary shall agree with such Loan Party and the Agent to comply with the instructions of the Agent with respect to such securities and securities account without the further consent of such Loan Party.</w:t>
      </w:r>
    </w:p>
    <w:p>
      <w:pPr>
        <w:spacing w:after="0" w:line="179" w:lineRule="exact"/>
        <w:rPr>
          <w:sz w:val="20"/>
          <w:szCs w:val="20"/>
          <w:color w:val="auto"/>
        </w:rPr>
      </w:pPr>
    </w:p>
    <w:p>
      <w:pPr>
        <w:ind w:firstLine="103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(excluding the current portion of accrued liabilities in the ordinary course of business),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current accounts payable incurred in the ordinary course of business and accrued expenses and (ii) any earn-out obligations, except to the extent not paid after becoming due and payable or such obligations appear as a liability on the balance sheet of such Person in accordance with GAAP), (e) all Debt of others secured by (or for which the holder of such Debt has an existing right, contingent or otherwise, to be secured by) any Lien on property owned or acquired by such Person, whether or not the Debt secured thereby has been assumed, but only to the extent of such Lien, and only to the extent of the lesser of the fair market value of the property secured by the Lien and the amount of Debt, (f) all guarantees by such Person of Debt set forth in subclauses (a)-(e) and (g)-(k), (g) all Capital Lease Obligations of such Person, (h) all obligations, contingent or otherwise, of such Person as an account party in respect of letters of credit and letters of guaranty, (i) all obligations, contingent or otherwise, of such Person in respect of bankers’ acceptances, (j) the obligations of such Person in respect of any Hedging Agreement and (k) all Disqualified Stock of such Person. The Debt of any Person shall include the Debt of any other entity (including any partnership in which such Person is a general partner) to the extent such Person is liable therefor as a result of such Person’s ownership interest in or other relationship with such entity, except to the extent the terms of such Debt provide that such Person is not liable therefor (but only for the portion so liable). For purposes of determining Debt, (x) the “principal amount” of the obligations of any Person in respect of any Hedging Agreement at any time shall be the maximum aggregate amount (giving effect to any netting agreements) that such Person would be required to pay if such Hedging Agreement were terminated at such time and (y) in no event shall obligations under any Hedging Agreement be deemed “Debt” for calculating any financial ratio (or component thereof).</w:t>
      </w:r>
    </w:p>
    <w:p>
      <w:pPr>
        <w:spacing w:after="0" w:line="178" w:lineRule="exact"/>
        <w:rPr>
          <w:sz w:val="20"/>
          <w:szCs w:val="20"/>
          <w:color w:val="auto"/>
        </w:rPr>
      </w:pPr>
    </w:p>
    <w:p>
      <w:pPr>
        <w:ind w:right="3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for Borrowed Money</w:t>
      </w:r>
      <w:r>
        <w:rPr>
          <w:rFonts w:ascii="Arial" w:cs="Arial" w:eastAsia="Arial" w:hAnsi="Arial"/>
          <w:sz w:val="18"/>
          <w:szCs w:val="18"/>
          <w:color w:val="auto"/>
        </w:rPr>
        <w:t>” of any Person means all items that, in accordance with GAAP, would be classified as short term borrowings and long term debt on a Consolidated statement of financial position of such Person.</w:t>
      </w:r>
    </w:p>
    <w:p>
      <w:pPr>
        <w:spacing w:after="0" w:line="180" w:lineRule="exact"/>
        <w:rPr>
          <w:sz w:val="20"/>
          <w:szCs w:val="20"/>
          <w:color w:val="auto"/>
        </w:rPr>
      </w:pPr>
    </w:p>
    <w:p>
      <w:pPr>
        <w:ind w:right="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Interest</w:t>
      </w:r>
      <w:r>
        <w:rPr>
          <w:rFonts w:ascii="Arial" w:cs="Arial" w:eastAsia="Arial" w:hAnsi="Arial"/>
          <w:sz w:val="18"/>
          <w:szCs w:val="18"/>
          <w:color w:val="auto"/>
        </w:rPr>
        <w:t>” has the meaning specified in Section 2.07(b).</w:t>
      </w:r>
    </w:p>
    <w:p>
      <w:pPr>
        <w:spacing w:after="0" w:line="220" w:lineRule="exact"/>
        <w:rPr>
          <w:sz w:val="20"/>
          <w:szCs w:val="20"/>
          <w:color w:val="auto"/>
        </w:rPr>
      </w:pPr>
    </w:p>
    <w:p>
      <w:pPr>
        <w:ind w:right="160" w:firstLine="10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Amount</w:t>
      </w:r>
      <w:r>
        <w:rPr>
          <w:rFonts w:ascii="Arial" w:cs="Arial" w:eastAsia="Arial" w:hAnsi="Arial"/>
          <w:sz w:val="18"/>
          <w:szCs w:val="18"/>
          <w:color w:val="auto"/>
        </w:rPr>
        <w:t>” means, with respect to any Lender at any time, any amount required to be paid by such Lender to the Agent or any other Lender hereunder or under any other Loan Document at or prior to such time which has not been so paid as of such time, including, without limitation, any amount required to be paid by such Lender to (a) any Issuing Bank pursuant to Section 2.03(b) to purchase a participation in a Letter of Credit, (b) the Agent pursuant to Section 2.02(d) to reimburse the Agent for the amount of any Revolving Loan made by the Agent for the account of such Lender, (c) any other Lender pursuant to Section 2.15 to purchase any participation in Revolving Loans owing to such other Lender and (d) the Agent or any Issuing Bank pursuant to Section 8.05 to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54" w:name="page55"/>
    <w:bookmarkEnd w:id="54"/>
    <w:p>
      <w:pPr>
        <w:ind w:right="80"/>
        <w:spacing w:after="0" w:line="254" w:lineRule="auto"/>
        <w:rPr>
          <w:sz w:val="20"/>
          <w:szCs w:val="20"/>
          <w:color w:val="auto"/>
        </w:rPr>
      </w:pPr>
      <w:r>
        <w:rPr>
          <w:rFonts w:ascii="Arial" w:cs="Arial" w:eastAsia="Arial" w:hAnsi="Arial"/>
          <w:sz w:val="18"/>
          <w:szCs w:val="18"/>
          <w:color w:val="auto"/>
        </w:rPr>
        <w:t>reimburse the Agent or such Issuing Bank for such Lender’s ratable share of any amount required to be paid by the Lenders to the Agent or such Issuing Bank as provided therein. In the event that a portion of a Defaulted Amount shall be deemed paid pursuant to Section 2.19(b), the remaining portion of such Defaulted Amount shall be considered a Defaulted Amount originally required to be paid hereunder or under any other Loan Document on the same date as the Defaulted Amount so deemed paid in part.</w:t>
      </w:r>
    </w:p>
    <w:p>
      <w:pPr>
        <w:spacing w:after="0" w:line="191" w:lineRule="exact"/>
        <w:rPr>
          <w:sz w:val="20"/>
          <w:szCs w:val="20"/>
          <w:color w:val="auto"/>
        </w:rPr>
      </w:pPr>
    </w:p>
    <w:p>
      <w:pPr>
        <w:ind w:right="200" w:firstLine="103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Defaulted Revolving Loan</w:t>
      </w:r>
      <w:r>
        <w:rPr>
          <w:rFonts w:ascii="Arial" w:cs="Arial" w:eastAsia="Arial" w:hAnsi="Arial"/>
          <w:sz w:val="16"/>
          <w:szCs w:val="16"/>
          <w:color w:val="auto"/>
        </w:rPr>
        <w:t>” means, with respect to any Lender at any time, the portion of any Revolving Loan required to be made by such Lender to Borrower pursuant to Section 2.01 or 2.02 at or prior to such time which has not been made by such Lender or by the Agent for the account of such Lender pursuant to Section 2.02(d) as of such time. In the event that a portion of a Defaulted Revolving Loan shall be deemed made pursuant to Section</w:t>
      </w:r>
    </w:p>
    <w:p>
      <w:pPr>
        <w:ind w:right="260"/>
        <w:spacing w:after="0" w:line="254" w:lineRule="auto"/>
        <w:rPr>
          <w:sz w:val="20"/>
          <w:szCs w:val="20"/>
          <w:color w:val="auto"/>
        </w:rPr>
      </w:pPr>
      <w:r>
        <w:rPr>
          <w:rFonts w:ascii="Arial" w:cs="Arial" w:eastAsia="Arial" w:hAnsi="Arial"/>
          <w:sz w:val="18"/>
          <w:szCs w:val="18"/>
          <w:color w:val="auto"/>
        </w:rPr>
        <w:t>2.19(a), the remaining portion of such Defaulted Revolving Loan shall be considered a Defaulted Revolving Loan originally required to be made pursuant to Section 2.01 on the same date as the Defaulted Revolving Loan so deemed made in part.</w:t>
      </w:r>
    </w:p>
    <w:p>
      <w:pPr>
        <w:spacing w:after="0" w:line="191" w:lineRule="exact"/>
        <w:rPr>
          <w:sz w:val="20"/>
          <w:szCs w:val="20"/>
          <w:color w:val="auto"/>
        </w:rPr>
      </w:pPr>
    </w:p>
    <w:p>
      <w:pPr>
        <w:ind w:firstLine="1034"/>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at any time, a Lender as to which the Agent has notified the Company that (i) such Lender has failed for three or more Business Days to comply with its obligations under this Agreement to make a Revolving Loan or make a payment to an Issuing Bank in respect of an Issuance (each a “</w:t>
      </w:r>
      <w:r>
        <w:rPr>
          <w:rFonts w:ascii="Arial" w:cs="Arial" w:eastAsia="Arial" w:hAnsi="Arial"/>
          <w:sz w:val="17"/>
          <w:szCs w:val="17"/>
          <w:u w:val="single" w:color="auto"/>
          <w:color w:val="auto"/>
        </w:rPr>
        <w:t>funding obligation</w:t>
      </w:r>
      <w:r>
        <w:rPr>
          <w:rFonts w:ascii="Arial" w:cs="Arial" w:eastAsia="Arial" w:hAnsi="Arial"/>
          <w:sz w:val="17"/>
          <w:szCs w:val="17"/>
          <w:color w:val="auto"/>
        </w:rPr>
        <w:t>”), (ii) such Lender has notified the Agent, or has stated publicly, that it will not comply with any such funding obligation hereunder, (iii) such Lender has, for three or more Business Days, failed to confirm in writing to the Agent, in response to a written request of the Agent, that it will comply with its funding obligations hereunder, (iv) a Lender Insolvency Event has occurred and is continuing with respect to such Lender or (v) such Lender has, or has a direct or indirect Parent Company that has, become the subject of a Bail-In Action. Any determination that a Lender is a Defaulting Lender under clauses (i) through (v) above will be made by the Agent in its sole discretion acting in good faith. The Agent will promptly send to all parties hereto a copy of any notice to the Company provided for in this definition.</w:t>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Accounts</w:t>
      </w:r>
      <w:r>
        <w:rPr>
          <w:rFonts w:ascii="Arial" w:cs="Arial" w:eastAsia="Arial" w:hAnsi="Arial"/>
          <w:sz w:val="18"/>
          <w:szCs w:val="18"/>
          <w:color w:val="auto"/>
        </w:rPr>
        <w:t>” means any checking or other demand deposit account maintained by a Loan Party.</w:t>
      </w:r>
    </w:p>
    <w:p>
      <w:pPr>
        <w:spacing w:after="0" w:line="220" w:lineRule="exact"/>
        <w:rPr>
          <w:sz w:val="20"/>
          <w:szCs w:val="20"/>
          <w:color w:val="auto"/>
        </w:rPr>
      </w:pPr>
    </w:p>
    <w:p>
      <w:pPr>
        <w:ind w:right="30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Guarantor</w:t>
      </w:r>
      <w:r>
        <w:rPr>
          <w:rFonts w:ascii="Arial" w:cs="Arial" w:eastAsia="Arial" w:hAnsi="Arial"/>
          <w:sz w:val="18"/>
          <w:szCs w:val="18"/>
          <w:color w:val="auto"/>
        </w:rPr>
        <w:t xml:space="preserve">” means each Guarantor with assets included in the Borrowing Base and designated on </w:t>
      </w:r>
      <w:r>
        <w:rPr>
          <w:rFonts w:ascii="Arial" w:cs="Arial" w:eastAsia="Arial" w:hAnsi="Arial"/>
          <w:sz w:val="18"/>
          <w:szCs w:val="18"/>
          <w:u w:val="single" w:color="auto"/>
          <w:color w:val="auto"/>
        </w:rPr>
        <w:t>Schedule 1.01(d)</w:t>
      </w:r>
      <w:r>
        <w:rPr>
          <w:rFonts w:ascii="Arial" w:cs="Arial" w:eastAsia="Arial" w:hAnsi="Arial"/>
          <w:sz w:val="18"/>
          <w:szCs w:val="18"/>
          <w:color w:val="auto"/>
        </w:rPr>
        <w:t xml:space="preserve"> hereto as a “Designated Guarantor”, which Schedule may be amended by the Company from time to time by delivery of an updated Schedule (identified as such) to the Agent.</w:t>
      </w:r>
    </w:p>
    <w:p>
      <w:pPr>
        <w:spacing w:after="0" w:line="188" w:lineRule="exact"/>
        <w:rPr>
          <w:sz w:val="20"/>
          <w:szCs w:val="20"/>
          <w:color w:val="auto"/>
        </w:rPr>
      </w:pPr>
    </w:p>
    <w:p>
      <w:pPr>
        <w:ind w:right="4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 country or territory that is the subject of any Sanction (at the time of this Agreement, Crimea, Cuba, Iran, North Korea, Sudan and Syria).</w:t>
      </w:r>
    </w:p>
    <w:p>
      <w:pPr>
        <w:spacing w:after="0" w:line="180" w:lineRule="exact"/>
        <w:rPr>
          <w:sz w:val="20"/>
          <w:szCs w:val="20"/>
          <w:color w:val="auto"/>
        </w:rPr>
      </w:pPr>
    </w:p>
    <w:p>
      <w:pPr>
        <w:ind w:right="360" w:firstLine="1034"/>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Dilution</w:t>
      </w:r>
      <w:r>
        <w:rPr>
          <w:rFonts w:ascii="Arial" w:cs="Arial" w:eastAsia="Arial" w:hAnsi="Arial"/>
          <w:sz w:val="16"/>
          <w:szCs w:val="16"/>
          <w:color w:val="auto"/>
        </w:rPr>
        <w:t>” means, as of any date, a percentage, based upon the experience of the twelve month period ending as of the last day of the immediately preceding fiscal month, which is the result of dividing the Dollar amount of (i) bad debt write-downs, discounts, advertising allowances, profit sharing deductions or other non-cash credits with respect to a Loan Party’s Accounts during such period determined consistently with the applicable Loan Party’s accounting practices, by (ii) such Loan Party’s gross sales with respect to Accounts for such Loan Party during such period.</w:t>
      </w:r>
    </w:p>
    <w:p>
      <w:pPr>
        <w:spacing w:after="0" w:line="162" w:lineRule="exact"/>
        <w:rPr>
          <w:sz w:val="20"/>
          <w:szCs w:val="20"/>
          <w:color w:val="auto"/>
        </w:rPr>
      </w:pPr>
    </w:p>
    <w:p>
      <w:pPr>
        <w:ind w:right="2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w:t>
      </w:r>
      <w:r>
        <w:rPr>
          <w:rFonts w:ascii="Arial" w:cs="Arial" w:eastAsia="Arial" w:hAnsi="Arial"/>
          <w:sz w:val="18"/>
          <w:szCs w:val="18"/>
          <w:color w:val="auto"/>
        </w:rPr>
        <w:t>” means, as of any date, an amount sufficient to reduce the advance rate against Eligible Receivables by one percentage point for each percentage point by which Dilution is in excess of 5.0%.</w:t>
      </w:r>
    </w:p>
    <w:p>
      <w:pPr>
        <w:spacing w:after="0" w:line="180" w:lineRule="exact"/>
        <w:rPr>
          <w:sz w:val="20"/>
          <w:szCs w:val="20"/>
          <w:color w:val="auto"/>
        </w:rPr>
      </w:pPr>
    </w:p>
    <w:p>
      <w:pPr>
        <w:ind w:right="14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ABL Credit Agreement</w:t>
      </w:r>
      <w:r>
        <w:rPr>
          <w:rFonts w:ascii="Arial" w:cs="Arial" w:eastAsia="Arial" w:hAnsi="Arial"/>
          <w:sz w:val="18"/>
          <w:szCs w:val="18"/>
          <w:color w:val="auto"/>
        </w:rPr>
        <w:t>” shall mean the Amended and Restated Debtor-in-Possession Credit Agreement, dated as of March 22, 2013, among Eastman Kodak Company, the lenders party thereto, and the DIP ABL Agent (as amended, amended and restated, supplemented or modified from time to time prior to the date hereof).</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DIP ABL Agent</w:t>
      </w:r>
      <w:r>
        <w:rPr>
          <w:rFonts w:ascii="Arial" w:cs="Arial" w:eastAsia="Arial" w:hAnsi="Arial"/>
          <w:sz w:val="17"/>
          <w:szCs w:val="17"/>
          <w:color w:val="auto"/>
        </w:rPr>
        <w:t>” shall mean Citicorp North America, Inc. in its capacity as administrative and collateral agent under the DIP ABL Credit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9" w:lineRule="exact"/>
        <w:rPr>
          <w:sz w:val="20"/>
          <w:szCs w:val="20"/>
          <w:color w:val="auto"/>
        </w:rPr>
      </w:pPr>
    </w:p>
    <w:p>
      <w:pPr>
        <w:ind w:right="4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Term Loan Credit Agreement</w:t>
      </w:r>
      <w:r>
        <w:rPr>
          <w:rFonts w:ascii="Arial" w:cs="Arial" w:eastAsia="Arial" w:hAnsi="Arial"/>
          <w:sz w:val="18"/>
          <w:szCs w:val="18"/>
          <w:color w:val="auto"/>
        </w:rPr>
        <w:t>” shall mean the Debtor-in-Possession Loan Agreement, dated as of March 22, 2013, among Eastman Kodak Company, the lenders party thereto, and the DIP Term Loan Agent (as amended, amended and restated, supplemented or modified from time to time prior to the date hereof).</w:t>
      </w:r>
    </w:p>
    <w:p>
      <w:pPr>
        <w:spacing w:after="0" w:line="188" w:lineRule="exact"/>
        <w:rPr>
          <w:sz w:val="20"/>
          <w:szCs w:val="20"/>
          <w:color w:val="auto"/>
        </w:rPr>
      </w:pPr>
    </w:p>
    <w:p>
      <w:pPr>
        <w:ind w:right="1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Term Loan Agent</w:t>
      </w:r>
      <w:r>
        <w:rPr>
          <w:rFonts w:ascii="Arial" w:cs="Arial" w:eastAsia="Arial" w:hAnsi="Arial"/>
          <w:sz w:val="18"/>
          <w:szCs w:val="18"/>
          <w:color w:val="auto"/>
        </w:rPr>
        <w:t>” shall mean Wilmington Trust Company, in its capacity as administrative and collateral agent under the DIP Term Loan Credit Agreement.</w:t>
      </w:r>
    </w:p>
    <w:p>
      <w:pPr>
        <w:spacing w:after="0" w:line="180" w:lineRule="exact"/>
        <w:rPr>
          <w:sz w:val="20"/>
          <w:szCs w:val="20"/>
          <w:color w:val="auto"/>
        </w:rPr>
      </w:pPr>
    </w:p>
    <w:p>
      <w:pPr>
        <w:ind w:right="1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Statement</w:t>
      </w:r>
      <w:r>
        <w:rPr>
          <w:rFonts w:ascii="Arial" w:cs="Arial" w:eastAsia="Arial" w:hAnsi="Arial"/>
          <w:sz w:val="18"/>
          <w:szCs w:val="18"/>
          <w:color w:val="auto"/>
        </w:rPr>
        <w:t>” means that certain First Amended Disclosure Statement for Debtors’ First Amended Joint Plan of Reorganization Under Chapter 11 of the Bankruptcy Code dated June 27, 2013.”</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5" w:name="page56"/>
    <w:bookmarkEnd w:id="55"/>
    <w:p>
      <w:pPr>
        <w:ind w:right="140"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exclusive license, lease or other disposition (including any sale and leaseback transaction), whether in one transaction or in a series of related transactions, of any property (including any equity interests) by any Person, including any sale, assignment, transfer or other disposal, with or without recourse, of any notes or accounts receivable;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for the avoidance of doubt, an issuance of equity interests is not a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for the avoidance of doubt, that a non-exclusive license of intellectual property in the ordinary course of business shall be deemed not to be a Disposition.</w:t>
      </w:r>
    </w:p>
    <w:p>
      <w:pPr>
        <w:spacing w:after="0" w:line="193" w:lineRule="exact"/>
        <w:rPr>
          <w:sz w:val="20"/>
          <w:szCs w:val="20"/>
          <w:color w:val="auto"/>
        </w:rPr>
      </w:pPr>
    </w:p>
    <w:p>
      <w:pPr>
        <w:ind w:right="20" w:firstLine="1034"/>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means (i) those Persons identified to the Agent and the Lenders in writing on the Initial Closing Date, and (ii) Competitors and their Affiliates that are not a Bona Fide Debt Fund identified to the Agent and the Lenders in writing (it being understood that the Company shall be permitted to supplement the list of Competitors and Affiliates in writing after the date hereof to the extent such supplemented Person becomes a Competitor (or an Affiliate of a Competitor) so long as such supplemented Person is not a Bona Fide Debt Fund). Any supplement shall be made available to the Lenders and shall become effective three (3) Business Days after delivery to the Agent. Notwithstanding anything herein to the contrary, in no event shall a supplement apply retroactively to disqualify any parties that have previously acquired an assignment or participation interest in the Revolving Loans that is otherwise permitted hereunder, but upon the effectiveness of such designation, any such party may not acquire any additional Revolving Loans or participations or other interest in Revolving Loans.</w:t>
      </w:r>
    </w:p>
    <w:p>
      <w:pPr>
        <w:spacing w:after="0" w:line="195" w:lineRule="exact"/>
        <w:rPr>
          <w:sz w:val="20"/>
          <w:szCs w:val="20"/>
          <w:color w:val="auto"/>
        </w:rPr>
      </w:pPr>
    </w:p>
    <w:p>
      <w:pPr>
        <w:ind w:firstLine="103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Stock</w:t>
      </w:r>
      <w:r>
        <w:rPr>
          <w:rFonts w:ascii="Arial" w:cs="Arial" w:eastAsia="Arial" w:hAnsi="Arial"/>
          <w:sz w:val="16"/>
          <w:szCs w:val="16"/>
          <w:color w:val="auto"/>
        </w:rPr>
        <w:t>” means any equity interest that, by its terms (or by the terms of any security into which it is convertible or for which it is exchangeable), or upon the happening of any event, (a) except as set forth in the proviso hereto,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90</w:t>
      </w:r>
      <w:r>
        <w:rPr>
          <w:rFonts w:ascii="Arial" w:cs="Arial" w:eastAsia="Arial" w:hAnsi="Arial"/>
          <w:sz w:val="13"/>
          <w:szCs w:val="13"/>
          <w:color w:val="auto"/>
        </w:rPr>
        <w:t>th</w:t>
      </w:r>
      <w:r>
        <w:rPr>
          <w:rFonts w:ascii="Arial" w:cs="Arial" w:eastAsia="Arial" w:hAnsi="Arial"/>
          <w:sz w:val="16"/>
          <w:szCs w:val="16"/>
          <w:color w:val="auto"/>
        </w:rPr>
        <w:t xml:space="preserve"> day after the Maturity Date, or (b) is convertible into or exchangeable (unless at the sole option of the issuer thereof) for (i) debt securities or (ii) any equity interest referred to in clause (a) above, in each case at any time prior to the 90</w:t>
      </w:r>
      <w:r>
        <w:rPr>
          <w:rFonts w:ascii="Arial" w:cs="Arial" w:eastAsia="Arial" w:hAnsi="Arial"/>
          <w:sz w:val="13"/>
          <w:szCs w:val="13"/>
          <w:color w:val="auto"/>
        </w:rPr>
        <w:t>th</w:t>
      </w:r>
      <w:r>
        <w:rPr>
          <w:rFonts w:ascii="Arial" w:cs="Arial" w:eastAsia="Arial" w:hAnsi="Arial"/>
          <w:sz w:val="16"/>
          <w:szCs w:val="16"/>
          <w:color w:val="auto"/>
        </w:rPr>
        <w:t xml:space="preserve"> day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 only the portion of the equity interests that so mature or are mandatorily redeemable, are so convertible or exchangeable or are so redeemable at the option of the holder thereof prior to such date shall be deemed to be Disqualified Stock; (ii) if such equity interests are issued to any plan for the benefit of employees of any company or by any such plan to such employees, such equity interests shall not constitute Disqualified Stock solely because they may be required to be repurchased by any company in order to satisfy applicable statutory or regulatory obligations or as a result of such employee’s termination, death or disability; and (iii) such equity interest may by its terms (or by the terms of any security into which it is convertible or for which it is exchangeable or exercisable) become mandatorily redeemable or redeemable at the option of the holder thereof upon the occurrence of a change of control or Disposition subject to payment in full in cash of all Obligations (other than contingent indemnification obligations not then due and owing).</w:t>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w:t>
      </w:r>
      <w:r>
        <w:rPr>
          <w:rFonts w:ascii="Arial" w:cs="Arial" w:eastAsia="Arial" w:hAnsi="Arial"/>
          <w:sz w:val="18"/>
          <w:szCs w:val="18"/>
          <w:color w:val="auto"/>
        </w:rPr>
        <w:t>” means a document of title, as defined in the UCC.</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w:t>
      </w:r>
    </w:p>
    <w:p>
      <w:pPr>
        <w:spacing w:after="0" w:line="220" w:lineRule="exact"/>
        <w:rPr>
          <w:sz w:val="20"/>
          <w:szCs w:val="20"/>
          <w:color w:val="auto"/>
        </w:rPr>
      </w:pPr>
    </w:p>
    <w:p>
      <w:pPr>
        <w:ind w:right="4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Borrower and the Agent.</w:t>
      </w:r>
    </w:p>
    <w:p>
      <w:pPr>
        <w:spacing w:after="0" w:line="180" w:lineRule="exact"/>
        <w:rPr>
          <w:sz w:val="20"/>
          <w:szCs w:val="20"/>
          <w:color w:val="auto"/>
        </w:rPr>
      </w:pPr>
    </w:p>
    <w:p>
      <w:pPr>
        <w:ind w:right="10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0" w:lineRule="exact"/>
        <w:rPr>
          <w:sz w:val="20"/>
          <w:szCs w:val="20"/>
          <w:color w:val="auto"/>
        </w:rPr>
      </w:pPr>
    </w:p>
    <w:p>
      <w:pPr>
        <w:ind w:right="1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 EEA Member Country (including any delegee) having responsibility for the resolution of any EEA Financial Institution.</w:t>
      </w:r>
    </w:p>
    <w:p>
      <w:pPr>
        <w:spacing w:after="0" w:line="180" w:lineRule="exact"/>
        <w:rPr>
          <w:sz w:val="20"/>
          <w:szCs w:val="20"/>
          <w:color w:val="auto"/>
        </w:rPr>
      </w:pPr>
    </w:p>
    <w:p>
      <w:pPr>
        <w:ind w:right="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designated as such under the Chapter 11 Plan after all of the conditions precedent to the effectiveness of the Chapter 11 Plan shall have been satisfied or waived in accordance with the Chapter 11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56" w:name="page57"/>
    <w:bookmarkEnd w:id="56"/>
    <w:p>
      <w:pPr>
        <w:ind w:right="40" w:firstLine="103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with respect to the Revolving Credit Facility (i) a Lender; (ii) an Affiliate or branch of a Lender; and (iii) any other Person approved by (x) the Agent, (y) each Issuing Bank and (z) unless an Event of Default has occurred and is continuing at the time any assignment is effected in accordance with Section 9.08, the Company, in each case, such approval not to be unreasonably withheld or delayed (it being understood that a proposed assignee’s status as other than a financial institution shall be a reasonable basis for the Company to withhold its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Company shall be deemed to have consented to such Person if the Company has not responded within five business days of a request for such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Affiliate of a Loan Party or any Disqualified Institution shall qualify as an Eligible Assignee.</w:t>
      </w:r>
    </w:p>
    <w:p>
      <w:pPr>
        <w:spacing w:after="0" w:line="169" w:lineRule="exact"/>
        <w:rPr>
          <w:sz w:val="20"/>
          <w:szCs w:val="20"/>
          <w:color w:val="auto"/>
        </w:rPr>
      </w:pPr>
    </w:p>
    <w:p>
      <w:pPr>
        <w:ind w:firstLine="103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Cash</w:t>
      </w:r>
      <w:r>
        <w:rPr>
          <w:rFonts w:ascii="Arial" w:cs="Arial" w:eastAsia="Arial" w:hAnsi="Arial"/>
          <w:sz w:val="16"/>
          <w:szCs w:val="16"/>
          <w:color w:val="auto"/>
        </w:rPr>
        <w:t xml:space="preserve">” means, at any time, the amount of cash denominated in Dollars (other than US Cash) of the Loan Parties which (a) is maintained in the Pledged Cash Account (Eligible Cash) subject to the terms of the Pledged Cash Account Agreement (Eligible Cash), (b) is available for use by a Loan Party, without condition or restriction and (c) is free and clear of any Lien (other than in favor of the Agent on behalf of the Secured Parties, the Exit First Lien Term Loan Agent on behalf of the lenders pursuant to the Exit First Lien Term Loan Agreement, and the Exit Second Lien Term Loan Agent on behalf of the lenders pursuant to the Exit Second Lien Term Loan Agreement, and other than in favor of the securities intermediary with which such cash is maintained). The Company may request from time to time that the Agent release cash deposited in the Pledged Cash Account (Eligible Cash);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 the Agent shall have received a release notice in the form of annexed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signed by a Responsible Officer of the Company, and (ii) on the date of and after giving effect to any such release of such cash, which shall not be sooner than 3 Business Days after receipt by Agent of such release notice, (A) no Default or Event of Default shall exist or have occurred and be continuing, and (B) no Overadvance shall exist.</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Cash Cure</w:t>
      </w:r>
      <w:r>
        <w:rPr>
          <w:rFonts w:ascii="Arial" w:cs="Arial" w:eastAsia="Arial" w:hAnsi="Arial"/>
          <w:sz w:val="18"/>
          <w:szCs w:val="18"/>
          <w:color w:val="auto"/>
        </w:rPr>
        <w:t>” has the meaning specified in the definition of “Excess Availability”.</w:t>
      </w:r>
    </w:p>
    <w:p>
      <w:pPr>
        <w:spacing w:after="0" w:line="220" w:lineRule="exact"/>
        <w:rPr>
          <w:sz w:val="20"/>
          <w:szCs w:val="20"/>
          <w:color w:val="auto"/>
        </w:rPr>
      </w:pPr>
    </w:p>
    <w:p>
      <w:pPr>
        <w:ind w:right="14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Equipment</w:t>
      </w:r>
      <w:r>
        <w:rPr>
          <w:rFonts w:ascii="Arial" w:cs="Arial" w:eastAsia="Arial" w:hAnsi="Arial"/>
          <w:sz w:val="18"/>
          <w:szCs w:val="18"/>
          <w:color w:val="auto"/>
        </w:rPr>
        <w:t>” means Equipment of the Borrower and the Designated Guarantors subject to the Lien of the Collateral Documents, the value of which shall be determined based upon its Net Orderly Liquidation Value. Criteria and eligibility standards used in determining Eligible Equipment may be fixed and revised from time to time by the Agent in its Permitted Discretion. Unless otherwise from time to time approved in writing by the Agent, no Equipment shall be deemed Eligible Equipment if, without duplication:</w:t>
      </w:r>
    </w:p>
    <w:p>
      <w:pPr>
        <w:spacing w:after="0" w:line="84" w:lineRule="exact"/>
        <w:rPr>
          <w:sz w:val="20"/>
          <w:szCs w:val="20"/>
          <w:color w:val="auto"/>
        </w:rPr>
      </w:pPr>
    </w:p>
    <w:p>
      <w:pPr>
        <w:ind w:right="40" w:firstLine="1041"/>
        <w:spacing w:after="0" w:line="254" w:lineRule="auto"/>
        <w:tabs>
          <w:tab w:leader="none" w:pos="1276" w:val="left"/>
        </w:tabs>
        <w:numPr>
          <w:ilvl w:val="0"/>
          <w:numId w:val="31"/>
        </w:numPr>
        <w:rPr>
          <w:rFonts w:ascii="Arial" w:cs="Arial" w:eastAsia="Arial" w:hAnsi="Arial"/>
          <w:sz w:val="18"/>
          <w:szCs w:val="18"/>
          <w:color w:val="010000"/>
        </w:rPr>
      </w:pPr>
      <w:r>
        <w:rPr>
          <w:rFonts w:ascii="Arial" w:cs="Arial" w:eastAsia="Arial" w:hAnsi="Arial"/>
          <w:sz w:val="18"/>
          <w:szCs w:val="18"/>
          <w:color w:val="010000"/>
        </w:rPr>
        <w:t>any such Equipment is located on leaseholds and is subject to landlord Liens or other Liens arising by operation of law that are senior or pari passu to the Liens in favor of the Agent, unless one of the following applies: (i) the lessor has entered into a Lien Waiver or (ii) a Rent and Charges Reserve has been taken with respect to such Equipment or, in the case of any third party premises, a Rent and Charges Reserve has been taken by the Agent in the exercise of its Permitted Discretion; or</w:t>
      </w:r>
    </w:p>
    <w:p>
      <w:pPr>
        <w:spacing w:after="0" w:line="83" w:lineRule="exact"/>
        <w:rPr>
          <w:rFonts w:ascii="Arial" w:cs="Arial" w:eastAsia="Arial" w:hAnsi="Arial"/>
          <w:sz w:val="18"/>
          <w:szCs w:val="18"/>
          <w:color w:val="010000"/>
        </w:rPr>
      </w:pPr>
    </w:p>
    <w:p>
      <w:pPr>
        <w:ind w:right="320" w:firstLine="1041"/>
        <w:spacing w:after="0" w:line="331" w:lineRule="auto"/>
        <w:tabs>
          <w:tab w:leader="none" w:pos="1286" w:val="left"/>
        </w:tabs>
        <w:numPr>
          <w:ilvl w:val="0"/>
          <w:numId w:val="31"/>
        </w:numPr>
        <w:rPr>
          <w:rFonts w:ascii="Arial" w:cs="Arial" w:eastAsia="Arial" w:hAnsi="Arial"/>
          <w:sz w:val="16"/>
          <w:szCs w:val="16"/>
          <w:color w:val="010000"/>
        </w:rPr>
      </w:pPr>
      <w:r>
        <w:rPr>
          <w:rFonts w:ascii="Arial" w:cs="Arial" w:eastAsia="Arial" w:hAnsi="Arial"/>
          <w:sz w:val="16"/>
          <w:szCs w:val="16"/>
          <w:color w:val="010000"/>
        </w:rPr>
        <w:t>such Equipment is Equipment for which appraisals have not been completed by the Agent or a qualified independent appraiser reasonably acceptable to the Agent utilizing procedures and criteria reasonably acceptable to the Agent for determining the value of such Equipment; or</w:t>
      </w:r>
    </w:p>
    <w:p>
      <w:pPr>
        <w:spacing w:after="0" w:line="25" w:lineRule="exact"/>
        <w:rPr>
          <w:rFonts w:ascii="Arial" w:cs="Arial" w:eastAsia="Arial" w:hAnsi="Arial"/>
          <w:sz w:val="16"/>
          <w:szCs w:val="16"/>
          <w:color w:val="010000"/>
        </w:rPr>
      </w:pPr>
    </w:p>
    <w:p>
      <w:pPr>
        <w:jc w:val="both"/>
        <w:ind w:right="180" w:firstLine="1041"/>
        <w:spacing w:after="0" w:line="257" w:lineRule="auto"/>
        <w:tabs>
          <w:tab w:leader="none" w:pos="1276" w:val="left"/>
        </w:tabs>
        <w:numPr>
          <w:ilvl w:val="0"/>
          <w:numId w:val="31"/>
        </w:numPr>
        <w:rPr>
          <w:rFonts w:ascii="Arial" w:cs="Arial" w:eastAsia="Arial" w:hAnsi="Arial"/>
          <w:sz w:val="18"/>
          <w:szCs w:val="18"/>
          <w:color w:val="010000"/>
        </w:rPr>
      </w:pPr>
      <w:r>
        <w:rPr>
          <w:rFonts w:ascii="Arial" w:cs="Arial" w:eastAsia="Arial" w:hAnsi="Arial"/>
          <w:sz w:val="18"/>
          <w:szCs w:val="18"/>
          <w:color w:val="010000"/>
        </w:rPr>
        <w:t>such Equipment is Equipment in respect of which the Collateral Documents, after giving effect to the related filings of financing statements that have then been made, if any, do not or have ceased to create a valid and perfected first priority Lien or security interest in favor of the Agent, on behalf of the Secured Parties, securing the Secured Obligations; or</w:t>
      </w:r>
    </w:p>
    <w:p>
      <w:pPr>
        <w:spacing w:after="0" w:line="81" w:lineRule="exact"/>
        <w:rPr>
          <w:rFonts w:ascii="Arial" w:cs="Arial" w:eastAsia="Arial" w:hAnsi="Arial"/>
          <w:sz w:val="18"/>
          <w:szCs w:val="18"/>
          <w:color w:val="010000"/>
        </w:rPr>
      </w:pPr>
    </w:p>
    <w:p>
      <w:pPr>
        <w:ind w:right="100" w:firstLine="1041"/>
        <w:spacing w:after="0" w:line="257" w:lineRule="auto"/>
        <w:tabs>
          <w:tab w:leader="none" w:pos="1286" w:val="left"/>
        </w:tabs>
        <w:numPr>
          <w:ilvl w:val="0"/>
          <w:numId w:val="31"/>
        </w:numPr>
        <w:rPr>
          <w:rFonts w:ascii="Arial" w:cs="Arial" w:eastAsia="Arial" w:hAnsi="Arial"/>
          <w:sz w:val="18"/>
          <w:szCs w:val="18"/>
          <w:color w:val="010000"/>
        </w:rPr>
      </w:pPr>
      <w:r>
        <w:rPr>
          <w:rFonts w:ascii="Arial" w:cs="Arial" w:eastAsia="Arial" w:hAnsi="Arial"/>
          <w:sz w:val="18"/>
          <w:szCs w:val="18"/>
          <w:color w:val="010000"/>
        </w:rPr>
        <w:t>Borrower or a Designated Guarantor does not have good, valid and unencumbered title thereto, subject only to Liens permitted under clause (a), (b) or (e) of the definition of Permitted Liens, Liens permitted under clause (ix) of Section 5.02(a) or Liens granted pursuant to any of the Loan Documents (“</w:t>
      </w:r>
      <w:r>
        <w:rPr>
          <w:rFonts w:ascii="Arial" w:cs="Arial" w:eastAsia="Arial" w:hAnsi="Arial"/>
          <w:sz w:val="18"/>
          <w:szCs w:val="18"/>
          <w:u w:val="single" w:color="auto"/>
          <w:color w:val="010000"/>
        </w:rPr>
        <w:t>Permitted Collateral Liens</w:t>
      </w:r>
      <w:r>
        <w:rPr>
          <w:rFonts w:ascii="Arial" w:cs="Arial" w:eastAsia="Arial" w:hAnsi="Arial"/>
          <w:sz w:val="18"/>
          <w:szCs w:val="18"/>
          <w:color w:val="010000"/>
        </w:rPr>
        <w:t>”); or</w:t>
      </w:r>
    </w:p>
    <w:p>
      <w:pPr>
        <w:spacing w:after="0" w:line="81" w:lineRule="exact"/>
        <w:rPr>
          <w:rFonts w:ascii="Arial" w:cs="Arial" w:eastAsia="Arial" w:hAnsi="Arial"/>
          <w:sz w:val="18"/>
          <w:szCs w:val="18"/>
          <w:color w:val="010000"/>
        </w:rPr>
      </w:pPr>
    </w:p>
    <w:p>
      <w:pPr>
        <w:ind w:right="60" w:firstLine="1041"/>
        <w:spacing w:after="0" w:line="267" w:lineRule="auto"/>
        <w:tabs>
          <w:tab w:leader="none" w:pos="1276" w:val="left"/>
        </w:tabs>
        <w:numPr>
          <w:ilvl w:val="0"/>
          <w:numId w:val="31"/>
        </w:numPr>
        <w:rPr>
          <w:rFonts w:ascii="Arial" w:cs="Arial" w:eastAsia="Arial" w:hAnsi="Arial"/>
          <w:sz w:val="18"/>
          <w:szCs w:val="18"/>
          <w:color w:val="010000"/>
        </w:rPr>
      </w:pPr>
      <w:r>
        <w:rPr>
          <w:rFonts w:ascii="Arial" w:cs="Arial" w:eastAsia="Arial" w:hAnsi="Arial"/>
          <w:sz w:val="18"/>
          <w:szCs w:val="18"/>
          <w:color w:val="010000"/>
        </w:rPr>
        <w:t>such Equipment is motor vehicles or other rolling stock that are or are required to be subject to certificates of title under applicable state laws, except as Agent may determine in its Permitted Discretion; or</w:t>
      </w:r>
    </w:p>
    <w:p>
      <w:pPr>
        <w:spacing w:after="0" w:line="72" w:lineRule="exact"/>
        <w:rPr>
          <w:rFonts w:ascii="Arial" w:cs="Arial" w:eastAsia="Arial" w:hAnsi="Arial"/>
          <w:sz w:val="18"/>
          <w:szCs w:val="18"/>
          <w:color w:val="010000"/>
        </w:rPr>
      </w:pPr>
    </w:p>
    <w:p>
      <w:pPr>
        <w:ind w:left="1260" w:hanging="219"/>
        <w:spacing w:after="0"/>
        <w:tabs>
          <w:tab w:leader="none" w:pos="1260" w:val="left"/>
        </w:tabs>
        <w:numPr>
          <w:ilvl w:val="0"/>
          <w:numId w:val="31"/>
        </w:numPr>
        <w:rPr>
          <w:rFonts w:ascii="Arial" w:cs="Arial" w:eastAsia="Arial" w:hAnsi="Arial"/>
          <w:sz w:val="17"/>
          <w:szCs w:val="17"/>
          <w:color w:val="010000"/>
        </w:rPr>
      </w:pPr>
      <w:r>
        <w:rPr>
          <w:rFonts w:ascii="Arial" w:cs="Arial" w:eastAsia="Arial" w:hAnsi="Arial"/>
          <w:sz w:val="17"/>
          <w:szCs w:val="17"/>
          <w:color w:val="010000"/>
        </w:rPr>
        <w:t>Equipment that is subject to a voluntary or mandatory recall or is otherwise subject to any similar action that renders it unsaleable.</w:t>
      </w:r>
    </w:p>
    <w:p>
      <w:pPr>
        <w:spacing w:after="0" w:line="231" w:lineRule="exact"/>
        <w:rPr>
          <w:sz w:val="20"/>
          <w:szCs w:val="20"/>
          <w:color w:val="auto"/>
        </w:rPr>
      </w:pPr>
    </w:p>
    <w:p>
      <w:pPr>
        <w:ind w:right="80" w:firstLine="103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In-Transit Inventory</w:t>
      </w:r>
      <w:r>
        <w:rPr>
          <w:rFonts w:ascii="Arial" w:cs="Arial" w:eastAsia="Arial" w:hAnsi="Arial"/>
          <w:sz w:val="16"/>
          <w:szCs w:val="16"/>
          <w:color w:val="auto"/>
        </w:rPr>
        <w:t>” means Inventory owned by Borrower or a Designated Guarantor that would be Eligible Inventory if it were not subject to a Document and in transit from a location outside of the United States to a location of Borrower or a Designated Guarantor within the United States, and that the Agent, in its Permitted Discretion, deems to be Eligible In-Transit Inventory. Without limiting the foregoing, no Inventory shall be Eligible In-Transit Inventory unless it (a) is subject to a negotiable Document showing the Agent (or, with the consent of the Agent, Borrower or a Designated Guarantor) as consignee, which Document is in the possession of the Agent or such other Person as the Agent shall approve; (b) is fully insured in a manner satisfactory to the Agent; (c) is not sold by a vendor that has a right to reclaim, divert shipment of, repossess, stop delivery, claim any reservation of title or otherwise assert Lien rights against the Inventory, or with respect to whom Borrower or such Designated Guarantor is in default of any obligations; (d) is subject to purchase orders and other sale documentation satisfactory to the Agent, and title has passed to Borrower or such Designated Guarantor; (e) is shipped by a common carrier that is not affiliated with the vendor and is not subject to Sanctions or any specially designated nationals list maintained by OFAC; and (f) is being handled by a customs broker, freight-forwarder or other handler that has delivered a Lien Waiver.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7" w:name="page58"/>
    <w:bookmarkEnd w:id="57"/>
    <w:p>
      <w:pPr>
        <w:ind w:right="80" w:firstLine="10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means, at the time of any determination thereof, without duplication, the Inventory Value of the Borrower and Designated Guarantors at such time that is not ineligible for inclusion in the calculation of the Borrowing Base pursuant to any of clauses (a) through (p) below. Criteria and eligibility standards used in determining Eligible Inventory may be fixed and revised from time to time by the Agent in its Permitted Discretion (including, without limitation, criteria and eligibility standards to account for dispositions of Intellectual Property Collateral (as defined in the Security Agreement) that is material to the value or saleability of any Inventory). Unless otherwise from time to time approved in writing by the Agent, no Inventory shall be deemed Eligible Inventory if, without duplication:</w:t>
      </w:r>
    </w:p>
    <w:p>
      <w:pPr>
        <w:spacing w:after="0" w:line="88" w:lineRule="exact"/>
        <w:rPr>
          <w:sz w:val="20"/>
          <w:szCs w:val="20"/>
          <w:color w:val="auto"/>
        </w:rPr>
      </w:pPr>
    </w:p>
    <w:p>
      <w:pPr>
        <w:ind w:left="1280" w:hanging="239"/>
        <w:spacing w:after="0"/>
        <w:tabs>
          <w:tab w:leader="none" w:pos="1280" w:val="left"/>
        </w:tabs>
        <w:numPr>
          <w:ilvl w:val="0"/>
          <w:numId w:val="32"/>
        </w:numPr>
        <w:rPr>
          <w:rFonts w:ascii="Arial" w:cs="Arial" w:eastAsia="Arial" w:hAnsi="Arial"/>
          <w:sz w:val="16"/>
          <w:szCs w:val="16"/>
          <w:color w:val="010000"/>
        </w:rPr>
      </w:pPr>
      <w:r>
        <w:rPr>
          <w:rFonts w:ascii="Arial" w:cs="Arial" w:eastAsia="Arial" w:hAnsi="Arial"/>
          <w:sz w:val="16"/>
          <w:szCs w:val="16"/>
          <w:color w:val="010000"/>
        </w:rPr>
        <w:t>Borrower or a Designated Guarantor does not have good, valid and unencumbered title thereto, subject only to Permitted Collateral Liens; or</w:t>
      </w:r>
    </w:p>
    <w:p>
      <w:pPr>
        <w:spacing w:after="0" w:line="136" w:lineRule="exact"/>
        <w:rPr>
          <w:rFonts w:ascii="Arial" w:cs="Arial" w:eastAsia="Arial" w:hAnsi="Arial"/>
          <w:sz w:val="16"/>
          <w:szCs w:val="16"/>
          <w:color w:val="010000"/>
        </w:rPr>
      </w:pPr>
    </w:p>
    <w:p>
      <w:pPr>
        <w:ind w:left="1300" w:hanging="259"/>
        <w:spacing w:after="0"/>
        <w:tabs>
          <w:tab w:leader="none" w:pos="1300" w:val="left"/>
        </w:tabs>
        <w:numPr>
          <w:ilvl w:val="0"/>
          <w:numId w:val="32"/>
        </w:numPr>
        <w:rPr>
          <w:rFonts w:ascii="Arial" w:cs="Arial" w:eastAsia="Arial" w:hAnsi="Arial"/>
          <w:sz w:val="16"/>
          <w:szCs w:val="16"/>
          <w:color w:val="010000"/>
        </w:rPr>
      </w:pPr>
      <w:r>
        <w:rPr>
          <w:rFonts w:ascii="Arial" w:cs="Arial" w:eastAsia="Arial" w:hAnsi="Arial"/>
          <w:sz w:val="16"/>
          <w:szCs w:val="16"/>
          <w:color w:val="010000"/>
        </w:rPr>
        <w:t>it is not located in the United States; except for Eligible In-Transit Inventory having an aggregate Value not in excess of $5,000,000 at any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010000"/>
        </w:rPr>
        <w:t>time; or</w:t>
      </w:r>
    </w:p>
    <w:p>
      <w:pPr>
        <w:spacing w:after="0" w:line="102" w:lineRule="exact"/>
        <w:rPr>
          <w:sz w:val="20"/>
          <w:szCs w:val="20"/>
          <w:color w:val="auto"/>
        </w:rPr>
      </w:pPr>
    </w:p>
    <w:p>
      <w:pPr>
        <w:ind w:right="60" w:firstLine="1041"/>
        <w:spacing w:after="0" w:line="252" w:lineRule="auto"/>
        <w:tabs>
          <w:tab w:leader="none" w:pos="1276" w:val="left"/>
        </w:tabs>
        <w:numPr>
          <w:ilvl w:val="0"/>
          <w:numId w:val="33"/>
        </w:numPr>
        <w:rPr>
          <w:rFonts w:ascii="Arial" w:cs="Arial" w:eastAsia="Arial" w:hAnsi="Arial"/>
          <w:sz w:val="18"/>
          <w:szCs w:val="18"/>
          <w:color w:val="010000"/>
        </w:rPr>
      </w:pPr>
      <w:r>
        <w:rPr>
          <w:rFonts w:ascii="Arial" w:cs="Arial" w:eastAsia="Arial" w:hAnsi="Arial"/>
          <w:sz w:val="18"/>
          <w:szCs w:val="18"/>
          <w:color w:val="010000"/>
        </w:rPr>
        <w:t>it is either (i) a service part in the possession of or held by field engineers or (ii) located at third party premises or (except in the case of consigned Inventory, which is covered by clause (f) below) in another location not owned by Borrower or a Designated Guarantor, and is subject to landlord or warehousemen Liens or other Liens arising by operation of law, unless one of the following applies: (A) the premises is covered by a Lien Waiver or (B) a Rent and Charges Reserve has been taken with respect to such Inventory or, in the case of any third party premises, a Reserve has been taken by the Agent in the exercise of its Permitted Discretion; or</w:t>
      </w:r>
    </w:p>
    <w:p>
      <w:pPr>
        <w:spacing w:after="0" w:line="86" w:lineRule="exact"/>
        <w:rPr>
          <w:rFonts w:ascii="Arial" w:cs="Arial" w:eastAsia="Arial" w:hAnsi="Arial"/>
          <w:sz w:val="18"/>
          <w:szCs w:val="18"/>
          <w:color w:val="010000"/>
        </w:rPr>
      </w:pPr>
    </w:p>
    <w:p>
      <w:pPr>
        <w:ind w:right="80" w:firstLine="1041"/>
        <w:spacing w:after="0" w:line="257" w:lineRule="auto"/>
        <w:tabs>
          <w:tab w:leader="none" w:pos="1286" w:val="left"/>
        </w:tabs>
        <w:numPr>
          <w:ilvl w:val="0"/>
          <w:numId w:val="33"/>
        </w:numPr>
        <w:rPr>
          <w:rFonts w:ascii="Arial" w:cs="Arial" w:eastAsia="Arial" w:hAnsi="Arial"/>
          <w:sz w:val="18"/>
          <w:szCs w:val="18"/>
          <w:color w:val="010000"/>
        </w:rPr>
      </w:pPr>
      <w:r>
        <w:rPr>
          <w:rFonts w:ascii="Arial" w:cs="Arial" w:eastAsia="Arial" w:hAnsi="Arial"/>
          <w:sz w:val="18"/>
          <w:szCs w:val="18"/>
          <w:color w:val="010000"/>
        </w:rPr>
        <w:t>it is operating supplies, labels, packaging or shipping materials, cartons, repair parts, labels, miscellaneous spare parts and other such materials not held for sale, in each case to the extent not considered used for sale in the ordinary course of business of the Borrower and Designated Guarantors by the Agent in its Permitted Discretion from time to time; or</w:t>
      </w:r>
    </w:p>
    <w:p>
      <w:pPr>
        <w:spacing w:after="0" w:line="81" w:lineRule="exact"/>
        <w:rPr>
          <w:rFonts w:ascii="Arial" w:cs="Arial" w:eastAsia="Arial" w:hAnsi="Arial"/>
          <w:sz w:val="18"/>
          <w:szCs w:val="18"/>
          <w:color w:val="010000"/>
        </w:rPr>
      </w:pPr>
    </w:p>
    <w:p>
      <w:pPr>
        <w:ind w:left="1280" w:hanging="239"/>
        <w:spacing w:after="0"/>
        <w:tabs>
          <w:tab w:leader="none" w:pos="1280" w:val="left"/>
        </w:tabs>
        <w:numPr>
          <w:ilvl w:val="0"/>
          <w:numId w:val="33"/>
        </w:numPr>
        <w:rPr>
          <w:rFonts w:ascii="Arial" w:cs="Arial" w:eastAsia="Arial" w:hAnsi="Arial"/>
          <w:sz w:val="18"/>
          <w:szCs w:val="18"/>
          <w:color w:val="010000"/>
        </w:rPr>
      </w:pPr>
      <w:r>
        <w:rPr>
          <w:rFonts w:ascii="Arial" w:cs="Arial" w:eastAsia="Arial" w:hAnsi="Arial"/>
          <w:sz w:val="18"/>
          <w:szCs w:val="18"/>
          <w:color w:val="010000"/>
        </w:rPr>
        <w:t>it is not subject to a valid and perfected first priority Lien in favor of the Agent; or</w:t>
      </w:r>
    </w:p>
    <w:p>
      <w:pPr>
        <w:spacing w:after="0" w:line="113" w:lineRule="exact"/>
        <w:rPr>
          <w:rFonts w:ascii="Arial" w:cs="Arial" w:eastAsia="Arial" w:hAnsi="Arial"/>
          <w:sz w:val="18"/>
          <w:szCs w:val="18"/>
          <w:color w:val="010000"/>
        </w:rPr>
      </w:pPr>
    </w:p>
    <w:p>
      <w:pPr>
        <w:jc w:val="both"/>
        <w:ind w:right="340" w:firstLine="1041"/>
        <w:spacing w:after="0" w:line="273" w:lineRule="auto"/>
        <w:tabs>
          <w:tab w:leader="none" w:pos="1256" w:val="left"/>
        </w:tabs>
        <w:numPr>
          <w:ilvl w:val="0"/>
          <w:numId w:val="33"/>
        </w:numPr>
        <w:rPr>
          <w:rFonts w:ascii="Arial" w:cs="Arial" w:eastAsia="Arial" w:hAnsi="Arial"/>
          <w:sz w:val="17"/>
          <w:szCs w:val="17"/>
          <w:color w:val="010000"/>
        </w:rPr>
      </w:pPr>
      <w:r>
        <w:rPr>
          <w:rFonts w:ascii="Arial" w:cs="Arial" w:eastAsia="Arial" w:hAnsi="Arial"/>
          <w:sz w:val="17"/>
          <w:szCs w:val="17"/>
          <w:color w:val="010000"/>
        </w:rPr>
        <w:t>it is consigned at a customer, supplier, contractor or shipper location but still accounted for in the Borrower’s or Designated Guarantor’s inventory balance, unless (i) if such Inventory is subject to landlord or consignee Liens or other Liens arising by operation of law, then such location is the subject of a Lien Waiver, (ii) the Agent is reasonably satisfied with the controls and reporting applicable to such Inventory and (iii) the aggregate amount of such Inventory does not exceed $100,000 at any location at any time unless with the consent of the Agent; or</w:t>
      </w:r>
    </w:p>
    <w:p>
      <w:pPr>
        <w:spacing w:after="0" w:line="70" w:lineRule="exact"/>
        <w:rPr>
          <w:rFonts w:ascii="Arial" w:cs="Arial" w:eastAsia="Arial" w:hAnsi="Arial"/>
          <w:sz w:val="17"/>
          <w:szCs w:val="17"/>
          <w:color w:val="010000"/>
        </w:rPr>
      </w:pPr>
    </w:p>
    <w:p>
      <w:pPr>
        <w:ind w:firstLine="1041"/>
        <w:spacing w:after="0" w:line="254" w:lineRule="auto"/>
        <w:tabs>
          <w:tab w:leader="none" w:pos="1286" w:val="left"/>
        </w:tabs>
        <w:numPr>
          <w:ilvl w:val="0"/>
          <w:numId w:val="33"/>
        </w:numPr>
        <w:rPr>
          <w:rFonts w:ascii="Arial" w:cs="Arial" w:eastAsia="Arial" w:hAnsi="Arial"/>
          <w:sz w:val="18"/>
          <w:szCs w:val="18"/>
          <w:color w:val="010000"/>
        </w:rPr>
      </w:pPr>
      <w:r>
        <w:rPr>
          <w:rFonts w:ascii="Arial" w:cs="Arial" w:eastAsia="Arial" w:hAnsi="Arial"/>
          <w:sz w:val="18"/>
          <w:szCs w:val="18"/>
          <w:color w:val="010000"/>
        </w:rPr>
        <w:t>it is Inventory that is in-transit to or from a location not leased or owned by a Borrower or Designated Guarantor other than any such in-transit Inventory (i) to Borrower or a Designated Guarantor or between Borrower and Designated Guarantors, that is physically in-transit within the United States and as to which a Reserve has been taken by the Agent if required in the exercise of its Permitted Discretion or (ii) that is Eligible In-Transit Inventory (subject to the limitations set forth in clause (b) above); or</w:t>
      </w:r>
    </w:p>
    <w:p>
      <w:pPr>
        <w:spacing w:after="0" w:line="83" w:lineRule="exact"/>
        <w:rPr>
          <w:rFonts w:ascii="Arial" w:cs="Arial" w:eastAsia="Arial" w:hAnsi="Arial"/>
          <w:sz w:val="18"/>
          <w:szCs w:val="18"/>
          <w:color w:val="010000"/>
        </w:rPr>
      </w:pPr>
    </w:p>
    <w:p>
      <w:pPr>
        <w:ind w:right="20" w:firstLine="1041"/>
        <w:spacing w:after="0" w:line="273" w:lineRule="auto"/>
        <w:tabs>
          <w:tab w:leader="none" w:pos="1286" w:val="left"/>
        </w:tabs>
        <w:numPr>
          <w:ilvl w:val="0"/>
          <w:numId w:val="33"/>
        </w:numPr>
        <w:rPr>
          <w:rFonts w:ascii="Arial" w:cs="Arial" w:eastAsia="Arial" w:hAnsi="Arial"/>
          <w:sz w:val="17"/>
          <w:szCs w:val="17"/>
          <w:color w:val="010000"/>
        </w:rPr>
      </w:pPr>
      <w:r>
        <w:rPr>
          <w:rFonts w:ascii="Arial" w:cs="Arial" w:eastAsia="Arial" w:hAnsi="Arial"/>
          <w:sz w:val="17"/>
          <w:szCs w:val="17"/>
          <w:color w:val="010000"/>
        </w:rPr>
        <w:t>it is obsolete, slow-moving, nonconforming or unmerchantable or is identified as a write-off, overstock or excess by Borrower or a Designated Guarantor (as determined in accordance with the Company’s policies which shall be substantially consistent with those in effect on the Closing Date or with such modifications requested by the Company from time to time and approved by the Agent in its Permitted Discretion), or does not otherwise conform to the representations and warranties contained in this Agreement and the other Loan Documents applicable to Inventory; or</w:t>
      </w:r>
    </w:p>
    <w:p>
      <w:pPr>
        <w:spacing w:after="0" w:line="70" w:lineRule="exact"/>
        <w:rPr>
          <w:rFonts w:ascii="Arial" w:cs="Arial" w:eastAsia="Arial" w:hAnsi="Arial"/>
          <w:sz w:val="17"/>
          <w:szCs w:val="17"/>
          <w:color w:val="010000"/>
        </w:rPr>
      </w:pPr>
    </w:p>
    <w:p>
      <w:pPr>
        <w:ind w:left="1260" w:hanging="219"/>
        <w:spacing w:after="0"/>
        <w:tabs>
          <w:tab w:leader="none" w:pos="1260" w:val="left"/>
        </w:tabs>
        <w:numPr>
          <w:ilvl w:val="0"/>
          <w:numId w:val="33"/>
        </w:numPr>
        <w:rPr>
          <w:rFonts w:ascii="Arial" w:cs="Arial" w:eastAsia="Arial" w:hAnsi="Arial"/>
          <w:sz w:val="18"/>
          <w:szCs w:val="18"/>
          <w:color w:val="010000"/>
        </w:rPr>
      </w:pPr>
      <w:r>
        <w:rPr>
          <w:rFonts w:ascii="Arial" w:cs="Arial" w:eastAsia="Arial" w:hAnsi="Arial"/>
          <w:sz w:val="18"/>
          <w:szCs w:val="18"/>
          <w:color w:val="010000"/>
        </w:rPr>
        <w:t>it is Inventory used as a sample or prototype, display or display item; or</w:t>
      </w:r>
    </w:p>
    <w:p>
      <w:pPr>
        <w:spacing w:after="0" w:line="113" w:lineRule="exact"/>
        <w:rPr>
          <w:rFonts w:ascii="Arial" w:cs="Arial" w:eastAsia="Arial" w:hAnsi="Arial"/>
          <w:sz w:val="18"/>
          <w:szCs w:val="18"/>
          <w:color w:val="010000"/>
        </w:rPr>
      </w:pPr>
    </w:p>
    <w:p>
      <w:pPr>
        <w:ind w:right="160" w:firstLine="1041"/>
        <w:spacing w:after="0" w:line="267" w:lineRule="auto"/>
        <w:tabs>
          <w:tab w:leader="none" w:pos="1246" w:val="left"/>
        </w:tabs>
        <w:numPr>
          <w:ilvl w:val="0"/>
          <w:numId w:val="33"/>
        </w:numPr>
        <w:rPr>
          <w:rFonts w:ascii="Arial" w:cs="Arial" w:eastAsia="Arial" w:hAnsi="Arial"/>
          <w:sz w:val="18"/>
          <w:szCs w:val="18"/>
          <w:color w:val="010000"/>
        </w:rPr>
      </w:pPr>
      <w:r>
        <w:rPr>
          <w:rFonts w:ascii="Arial" w:cs="Arial" w:eastAsia="Arial" w:hAnsi="Arial"/>
          <w:sz w:val="18"/>
          <w:szCs w:val="18"/>
          <w:color w:val="010000"/>
        </w:rPr>
        <w:t>any Inventory that is damaged, defective or marked for return to vendor, has been deemed by Borrower or a Designated Guarantor to require rework or is being held for quality control purposes; or</w:t>
      </w:r>
    </w:p>
    <w:p>
      <w:pPr>
        <w:spacing w:after="0" w:line="72" w:lineRule="exact"/>
        <w:rPr>
          <w:rFonts w:ascii="Arial" w:cs="Arial" w:eastAsia="Arial" w:hAnsi="Arial"/>
          <w:sz w:val="18"/>
          <w:szCs w:val="18"/>
          <w:color w:val="010000"/>
        </w:rPr>
      </w:pPr>
    </w:p>
    <w:p>
      <w:pPr>
        <w:ind w:left="1300" w:hanging="259"/>
        <w:spacing w:after="0"/>
        <w:tabs>
          <w:tab w:leader="none" w:pos="1300" w:val="left"/>
        </w:tabs>
        <w:numPr>
          <w:ilvl w:val="0"/>
          <w:numId w:val="33"/>
        </w:numPr>
        <w:rPr>
          <w:rFonts w:ascii="Arial" w:cs="Arial" w:eastAsia="Arial" w:hAnsi="Arial"/>
          <w:sz w:val="16"/>
          <w:szCs w:val="16"/>
          <w:color w:val="010000"/>
        </w:rPr>
      </w:pPr>
      <w:r>
        <w:rPr>
          <w:rFonts w:ascii="Arial" w:cs="Arial" w:eastAsia="Arial" w:hAnsi="Arial"/>
          <w:sz w:val="16"/>
          <w:szCs w:val="16"/>
          <w:color w:val="010000"/>
        </w:rPr>
        <w:t>such Inventory does not meet all material applicable standards imposed by any Governmental Authority having regulatory authority over it;</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or</w:t>
      </w:r>
    </w:p>
    <w:p>
      <w:pPr>
        <w:spacing w:after="0" w:line="102" w:lineRule="exact"/>
        <w:rPr>
          <w:rFonts w:ascii="Arial" w:cs="Arial" w:eastAsia="Arial" w:hAnsi="Arial"/>
          <w:sz w:val="16"/>
          <w:szCs w:val="16"/>
          <w:color w:val="010000"/>
        </w:rPr>
      </w:pPr>
    </w:p>
    <w:p>
      <w:pPr>
        <w:ind w:right="360" w:firstLine="1041"/>
        <w:spacing w:after="0" w:line="331" w:lineRule="auto"/>
        <w:tabs>
          <w:tab w:leader="none" w:pos="1246" w:val="left"/>
        </w:tabs>
        <w:numPr>
          <w:ilvl w:val="0"/>
          <w:numId w:val="33"/>
        </w:numPr>
        <w:rPr>
          <w:rFonts w:ascii="Arial" w:cs="Arial" w:eastAsia="Arial" w:hAnsi="Arial"/>
          <w:sz w:val="16"/>
          <w:szCs w:val="16"/>
          <w:color w:val="010000"/>
        </w:rPr>
      </w:pPr>
      <w:r>
        <w:rPr>
          <w:rFonts w:ascii="Arial" w:cs="Arial" w:eastAsia="Arial" w:hAnsi="Arial"/>
          <w:sz w:val="16"/>
          <w:szCs w:val="16"/>
          <w:color w:val="010000"/>
        </w:rPr>
        <w:t>any Inventory for which field audits and appraisals have not been completed by the Agent or a qualified independent appraiser reasonably acceptable to the Agent utilizing procedures and criteria acceptable to the Agent in its Permitted Discretion or determining the value of such Inventory; or</w:t>
      </w:r>
    </w:p>
    <w:p>
      <w:pPr>
        <w:spacing w:after="0" w:line="25" w:lineRule="exact"/>
        <w:rPr>
          <w:rFonts w:ascii="Arial" w:cs="Arial" w:eastAsia="Arial" w:hAnsi="Arial"/>
          <w:sz w:val="16"/>
          <w:szCs w:val="16"/>
          <w:color w:val="010000"/>
        </w:rPr>
      </w:pPr>
    </w:p>
    <w:p>
      <w:pPr>
        <w:ind w:right="220" w:firstLine="1041"/>
        <w:spacing w:after="0" w:line="267" w:lineRule="auto"/>
        <w:tabs>
          <w:tab w:leader="none" w:pos="1335" w:val="left"/>
        </w:tabs>
        <w:numPr>
          <w:ilvl w:val="0"/>
          <w:numId w:val="33"/>
        </w:numPr>
        <w:rPr>
          <w:rFonts w:ascii="Arial" w:cs="Arial" w:eastAsia="Arial" w:hAnsi="Arial"/>
          <w:sz w:val="18"/>
          <w:szCs w:val="18"/>
          <w:color w:val="010000"/>
        </w:rPr>
      </w:pPr>
      <w:r>
        <w:rPr>
          <w:rFonts w:ascii="Arial" w:cs="Arial" w:eastAsia="Arial" w:hAnsi="Arial"/>
          <w:sz w:val="18"/>
          <w:szCs w:val="18"/>
          <w:color w:val="010000"/>
        </w:rPr>
        <w:t>any Inventory that has been acquired from an entity subject to Sanctions or any specially designated nationals list maintained by OFAC, or constitutes hazardous waste under any Environmental Law; or</w:t>
      </w:r>
    </w:p>
    <w:p>
      <w:pPr>
        <w:spacing w:after="0" w:line="72" w:lineRule="exact"/>
        <w:rPr>
          <w:rFonts w:ascii="Arial" w:cs="Arial" w:eastAsia="Arial" w:hAnsi="Arial"/>
          <w:sz w:val="18"/>
          <w:szCs w:val="18"/>
          <w:color w:val="010000"/>
        </w:rPr>
      </w:pPr>
    </w:p>
    <w:p>
      <w:pPr>
        <w:ind w:right="140" w:firstLine="1041"/>
        <w:spacing w:after="0" w:line="267" w:lineRule="auto"/>
        <w:tabs>
          <w:tab w:leader="none" w:pos="1286" w:val="left"/>
        </w:tabs>
        <w:numPr>
          <w:ilvl w:val="0"/>
          <w:numId w:val="33"/>
        </w:numPr>
        <w:rPr>
          <w:rFonts w:ascii="Arial" w:cs="Arial" w:eastAsia="Arial" w:hAnsi="Arial"/>
          <w:sz w:val="18"/>
          <w:szCs w:val="18"/>
          <w:color w:val="010000"/>
        </w:rPr>
      </w:pPr>
      <w:r>
        <w:rPr>
          <w:rFonts w:ascii="Arial" w:cs="Arial" w:eastAsia="Arial" w:hAnsi="Arial"/>
          <w:sz w:val="18"/>
          <w:szCs w:val="18"/>
          <w:color w:val="010000"/>
        </w:rPr>
        <w:t>is in the possession of a warehouseman, processor, repairman, mechanic, shipper, freight forwarder or other Person, unless the lessor or such Person has delivered a Lien Waiver or an appropriate Rent and Charges Reserve has been established; or</w:t>
      </w:r>
    </w:p>
    <w:p>
      <w:pPr>
        <w:spacing w:after="0" w:line="72" w:lineRule="exact"/>
        <w:rPr>
          <w:rFonts w:ascii="Arial" w:cs="Arial" w:eastAsia="Arial" w:hAnsi="Arial"/>
          <w:sz w:val="18"/>
          <w:szCs w:val="18"/>
          <w:color w:val="010000"/>
        </w:rPr>
      </w:pPr>
    </w:p>
    <w:p>
      <w:pPr>
        <w:ind w:firstLine="1041"/>
        <w:spacing w:after="0" w:line="267" w:lineRule="auto"/>
        <w:tabs>
          <w:tab w:leader="none" w:pos="1286" w:val="left"/>
        </w:tabs>
        <w:numPr>
          <w:ilvl w:val="0"/>
          <w:numId w:val="33"/>
        </w:numPr>
        <w:rPr>
          <w:rFonts w:ascii="Arial" w:cs="Arial" w:eastAsia="Arial" w:hAnsi="Arial"/>
          <w:sz w:val="18"/>
          <w:szCs w:val="18"/>
          <w:color w:val="010000"/>
        </w:rPr>
      </w:pPr>
      <w:r>
        <w:rPr>
          <w:rFonts w:ascii="Arial" w:cs="Arial" w:eastAsia="Arial" w:hAnsi="Arial"/>
          <w:sz w:val="18"/>
          <w:szCs w:val="18"/>
          <w:color w:val="010000"/>
        </w:rPr>
        <w:t>is not Inventory subject to any license or other arrangement that restricts the Borrower’s or Designated Guarantors’ or Agent’s right to dispose of such Inventory, unless the Agent has received an appropriate Lien Waiver; or</w:t>
      </w:r>
    </w:p>
    <w:p>
      <w:pPr>
        <w:spacing w:after="0" w:line="72" w:lineRule="exact"/>
        <w:rPr>
          <w:rFonts w:ascii="Arial" w:cs="Arial" w:eastAsia="Arial" w:hAnsi="Arial"/>
          <w:sz w:val="18"/>
          <w:szCs w:val="18"/>
          <w:color w:val="010000"/>
        </w:rPr>
      </w:pPr>
    </w:p>
    <w:p>
      <w:pPr>
        <w:ind w:left="1300" w:hanging="259"/>
        <w:spacing w:after="0"/>
        <w:tabs>
          <w:tab w:leader="none" w:pos="1300" w:val="left"/>
        </w:tabs>
        <w:numPr>
          <w:ilvl w:val="0"/>
          <w:numId w:val="33"/>
        </w:numPr>
        <w:rPr>
          <w:rFonts w:ascii="Arial" w:cs="Arial" w:eastAsia="Arial" w:hAnsi="Arial"/>
          <w:sz w:val="17"/>
          <w:szCs w:val="17"/>
          <w:color w:val="010000"/>
        </w:rPr>
      </w:pPr>
      <w:r>
        <w:rPr>
          <w:rFonts w:ascii="Arial" w:cs="Arial" w:eastAsia="Arial" w:hAnsi="Arial"/>
          <w:sz w:val="17"/>
          <w:szCs w:val="17"/>
          <w:color w:val="010000"/>
        </w:rPr>
        <w:t>Inventory that is subject to a voluntary or mandatory recall or is otherwise subject to any similar action that renders it unsaleable.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8" w:name="page59"/>
    <w:bookmarkEnd w:id="58"/>
    <w:p>
      <w:pPr>
        <w:ind w:firstLine="103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Receivables</w:t>
      </w:r>
      <w:r>
        <w:rPr>
          <w:rFonts w:ascii="Arial" w:cs="Arial" w:eastAsia="Arial" w:hAnsi="Arial"/>
          <w:sz w:val="16"/>
          <w:szCs w:val="16"/>
          <w:color w:val="auto"/>
        </w:rPr>
        <w:t>” means, at the time of any determination thereof, each Account of Borrower and each Designated Guarantor that satisfies the following criteria: such Account (i) has been invoiced to, and represents the bona fide amounts due to Borrower or a Designated Guarantor from, the purchaser of goods or services, in each case originated in the ordinary course of business of Borrower or such Designated Guarantor, and (ii) is not ineligible for inclusion in the calculation of the Borrowing Base pursuant to any of clauses (a) through (v) below. In determining the amount to be so included, the face amount of an Account shall be reduced by, without duplication and to the extent not included in Reserves, to the extent not reflected in such face amount: (A) the amount of all accrued and actual discounts, claims, credits or credits pending, promotional program allowances, price adjustments, finance charges or other allowances (including any amount that Borrower or a Designated Guarantor may be obligated to rebate to a customer pursuant to the terms of any written agreement or understanding), (B) the aggregate amount of all limits and deductions provided for in this definition and elsewhere in this Agreement, if any, and</w:t>
      </w:r>
    </w:p>
    <w:p>
      <w:pPr>
        <w:spacing w:after="0" w:line="1" w:lineRule="exact"/>
        <w:rPr>
          <w:sz w:val="20"/>
          <w:szCs w:val="20"/>
          <w:color w:val="auto"/>
        </w:rPr>
      </w:pPr>
    </w:p>
    <w:p>
      <w:pPr>
        <w:ind w:right="260" w:firstLine="7"/>
        <w:spacing w:after="0" w:line="249" w:lineRule="auto"/>
        <w:tabs>
          <w:tab w:leader="none" w:pos="2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amount of all cash received in respect of such Account but not yet applied by Borrower or a Designated Guarantor to reduce the amount of such Account. Criteria and eligibility standards used in determining Eligible Receivables may be fixed and revised from time to time by the Agent in its Permitted Discretion. Unless otherwise approved from time to time in writing by the Agent, no Account shall be an Eligible Receivable if, without duplication:</w:t>
      </w:r>
    </w:p>
    <w:p>
      <w:pPr>
        <w:spacing w:after="0" w:line="90" w:lineRule="exact"/>
        <w:rPr>
          <w:rFonts w:ascii="Arial" w:cs="Arial" w:eastAsia="Arial" w:hAnsi="Arial"/>
          <w:sz w:val="18"/>
          <w:szCs w:val="18"/>
          <w:color w:val="auto"/>
        </w:rPr>
      </w:pPr>
    </w:p>
    <w:p>
      <w:pPr>
        <w:ind w:right="240" w:firstLine="1041"/>
        <w:spacing w:after="0" w:line="254" w:lineRule="auto"/>
        <w:tabs>
          <w:tab w:leader="none" w:pos="1276" w:val="left"/>
        </w:tabs>
        <w:numPr>
          <w:ilvl w:val="1"/>
          <w:numId w:val="34"/>
        </w:numPr>
        <w:rPr>
          <w:rFonts w:ascii="Arial" w:cs="Arial" w:eastAsia="Arial" w:hAnsi="Arial"/>
          <w:sz w:val="18"/>
          <w:szCs w:val="18"/>
          <w:color w:val="010000"/>
        </w:rPr>
      </w:pPr>
      <w:r>
        <w:rPr>
          <w:rFonts w:ascii="Arial" w:cs="Arial" w:eastAsia="Arial" w:hAnsi="Arial"/>
          <w:sz w:val="18"/>
          <w:szCs w:val="18"/>
          <w:color w:val="010000"/>
        </w:rPr>
        <w:t>(i) Borrower or a Designated Guarantor does not have sole lawful and absolute and unencumbered title to such Account subject only to Permitted Collateral Liens, or (ii) the goods sold with respect to such Account have been sold under a purchase order or pursuant to the terms of a contract or other written agreement or understanding that indicates that any Person other than Borrower or a Designated Guarantor has or has purported to have an ownership interest in such goods; or</w:t>
      </w:r>
    </w:p>
    <w:p>
      <w:pPr>
        <w:spacing w:after="0" w:line="83" w:lineRule="exact"/>
        <w:rPr>
          <w:rFonts w:ascii="Arial" w:cs="Arial" w:eastAsia="Arial" w:hAnsi="Arial"/>
          <w:sz w:val="18"/>
          <w:szCs w:val="18"/>
          <w:color w:val="010000"/>
        </w:rPr>
      </w:pPr>
    </w:p>
    <w:p>
      <w:pPr>
        <w:ind w:left="1300" w:hanging="259"/>
        <w:spacing w:after="0"/>
        <w:tabs>
          <w:tab w:leader="none" w:pos="1300" w:val="left"/>
        </w:tabs>
        <w:numPr>
          <w:ilvl w:val="1"/>
          <w:numId w:val="34"/>
        </w:numPr>
        <w:rPr>
          <w:rFonts w:ascii="Arial" w:cs="Arial" w:eastAsia="Arial" w:hAnsi="Arial"/>
          <w:sz w:val="16"/>
          <w:szCs w:val="16"/>
          <w:color w:val="010000"/>
        </w:rPr>
      </w:pPr>
      <w:r>
        <w:rPr>
          <w:rFonts w:ascii="Arial" w:cs="Arial" w:eastAsia="Arial" w:hAnsi="Arial"/>
          <w:sz w:val="16"/>
          <w:szCs w:val="16"/>
          <w:color w:val="010000"/>
        </w:rPr>
        <w:t>(i) it is unpaid for more than 60 days from the original due date or (ii) it arises as a result of a sale with original payment terms in excess of 90</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days; or</w:t>
      </w:r>
    </w:p>
    <w:p>
      <w:pPr>
        <w:spacing w:after="0" w:line="102" w:lineRule="exact"/>
        <w:rPr>
          <w:rFonts w:ascii="Arial" w:cs="Arial" w:eastAsia="Arial" w:hAnsi="Arial"/>
          <w:sz w:val="16"/>
          <w:szCs w:val="16"/>
          <w:color w:val="010000"/>
        </w:rPr>
      </w:pPr>
    </w:p>
    <w:p>
      <w:pPr>
        <w:ind w:left="1280" w:hanging="239"/>
        <w:spacing w:after="0"/>
        <w:tabs>
          <w:tab w:leader="none" w:pos="1280" w:val="left"/>
        </w:tabs>
        <w:numPr>
          <w:ilvl w:val="1"/>
          <w:numId w:val="34"/>
        </w:numPr>
        <w:rPr>
          <w:rFonts w:ascii="Arial" w:cs="Arial" w:eastAsia="Arial" w:hAnsi="Arial"/>
          <w:sz w:val="18"/>
          <w:szCs w:val="18"/>
          <w:color w:val="010000"/>
        </w:rPr>
      </w:pPr>
      <w:r>
        <w:rPr>
          <w:rFonts w:ascii="Arial" w:cs="Arial" w:eastAsia="Arial" w:hAnsi="Arial"/>
          <w:sz w:val="18"/>
          <w:szCs w:val="18"/>
          <w:color w:val="010000"/>
        </w:rPr>
        <w:t>more than 50% in face amount of all Accounts of the same Account Debtor are ineligible pursuant to clause (b) above; or</w:t>
      </w:r>
    </w:p>
    <w:p>
      <w:pPr>
        <w:spacing w:after="0" w:line="113" w:lineRule="exact"/>
        <w:rPr>
          <w:rFonts w:ascii="Arial" w:cs="Arial" w:eastAsia="Arial" w:hAnsi="Arial"/>
          <w:sz w:val="18"/>
          <w:szCs w:val="18"/>
          <w:color w:val="010000"/>
        </w:rPr>
      </w:pPr>
    </w:p>
    <w:p>
      <w:pPr>
        <w:ind w:right="580" w:firstLine="1041"/>
        <w:spacing w:after="0" w:line="331" w:lineRule="auto"/>
        <w:tabs>
          <w:tab w:leader="none" w:pos="1286" w:val="left"/>
        </w:tabs>
        <w:numPr>
          <w:ilvl w:val="1"/>
          <w:numId w:val="34"/>
        </w:numPr>
        <w:rPr>
          <w:rFonts w:ascii="Arial" w:cs="Arial" w:eastAsia="Arial" w:hAnsi="Arial"/>
          <w:sz w:val="16"/>
          <w:szCs w:val="16"/>
          <w:color w:val="010000"/>
        </w:rPr>
      </w:pPr>
      <w:r>
        <w:rPr>
          <w:rFonts w:ascii="Arial" w:cs="Arial" w:eastAsia="Arial" w:hAnsi="Arial"/>
          <w:sz w:val="16"/>
          <w:szCs w:val="16"/>
          <w:color w:val="010000"/>
        </w:rPr>
        <w:t>the Account Debtor is insolvent or the subject of any bankruptcy or insolvency case or proceeding of any kind (other than postpetition accounts payable of an Account Debtor that is a debtor-in-possession under the Bankruptcy Law and reasonably acceptable to the Agent); or</w:t>
      </w:r>
    </w:p>
    <w:p>
      <w:pPr>
        <w:spacing w:after="0" w:line="25" w:lineRule="exact"/>
        <w:rPr>
          <w:rFonts w:ascii="Arial" w:cs="Arial" w:eastAsia="Arial" w:hAnsi="Arial"/>
          <w:sz w:val="16"/>
          <w:szCs w:val="16"/>
          <w:color w:val="010000"/>
        </w:rPr>
      </w:pPr>
    </w:p>
    <w:p>
      <w:pPr>
        <w:ind w:right="160" w:firstLine="1041"/>
        <w:spacing w:after="0" w:line="270" w:lineRule="auto"/>
        <w:tabs>
          <w:tab w:leader="none" w:pos="1276" w:val="left"/>
        </w:tabs>
        <w:numPr>
          <w:ilvl w:val="1"/>
          <w:numId w:val="34"/>
        </w:numPr>
        <w:rPr>
          <w:rFonts w:ascii="Arial" w:cs="Arial" w:eastAsia="Arial" w:hAnsi="Arial"/>
          <w:sz w:val="17"/>
          <w:szCs w:val="17"/>
          <w:color w:val="010000"/>
        </w:rPr>
      </w:pPr>
      <w:r>
        <w:rPr>
          <w:rFonts w:ascii="Arial" w:cs="Arial" w:eastAsia="Arial" w:hAnsi="Arial"/>
          <w:sz w:val="17"/>
          <w:szCs w:val="17"/>
          <w:color w:val="010000"/>
        </w:rPr>
        <w:t>(i) the Account is not payable in Dollars or other currency approved by the Agent in its Permitted Discretion (the Agent may establish a Reserve in its Permitted Discretion with respect to any currency other than Dollars) or (ii) the Account Debtor is either not organized under the laws of the United States of America, any state thereof, or the District of Columbia, or Canada or any province or territory thereof or is located outside or has its principal place of business or substantially all of its assets outside the United States or Canada, unless such Account is supported by a letter of credit from an institution and in form and substance reasonably satisfactory to the Agent in its sole discretion; or</w:t>
      </w:r>
    </w:p>
    <w:p>
      <w:pPr>
        <w:spacing w:after="0" w:line="73" w:lineRule="exact"/>
        <w:rPr>
          <w:rFonts w:ascii="Arial" w:cs="Arial" w:eastAsia="Arial" w:hAnsi="Arial"/>
          <w:sz w:val="17"/>
          <w:szCs w:val="17"/>
          <w:color w:val="010000"/>
        </w:rPr>
      </w:pPr>
    </w:p>
    <w:p>
      <w:pPr>
        <w:ind w:right="120" w:firstLine="1041"/>
        <w:spacing w:after="0" w:line="304" w:lineRule="auto"/>
        <w:tabs>
          <w:tab w:leader="none" w:pos="1256" w:val="left"/>
        </w:tabs>
        <w:numPr>
          <w:ilvl w:val="1"/>
          <w:numId w:val="34"/>
        </w:numPr>
        <w:rPr>
          <w:rFonts w:ascii="Arial" w:cs="Arial" w:eastAsia="Arial" w:hAnsi="Arial"/>
          <w:sz w:val="16"/>
          <w:szCs w:val="16"/>
          <w:color w:val="010000"/>
        </w:rPr>
      </w:pPr>
      <w:r>
        <w:rPr>
          <w:rFonts w:ascii="Arial" w:cs="Arial" w:eastAsia="Arial" w:hAnsi="Arial"/>
          <w:sz w:val="16"/>
          <w:szCs w:val="16"/>
          <w:color w:val="010000"/>
        </w:rPr>
        <w:t>the Account Debtor is the United States of America or any department, agency or instrumentality thereof, unless Borrower or the relevant Designated Guarantor duly assigns its rights to payment of such Account to the Agent pursuant to the Assignment of Claims Act of 1940, or similar applicable law, each as amended, which assignment and related documents and filings shall be in form and substance reasonably satisfactory to the Agent; or</w:t>
      </w:r>
    </w:p>
    <w:p>
      <w:pPr>
        <w:spacing w:after="0" w:line="47" w:lineRule="exact"/>
        <w:rPr>
          <w:rFonts w:ascii="Arial" w:cs="Arial" w:eastAsia="Arial" w:hAnsi="Arial"/>
          <w:sz w:val="16"/>
          <w:szCs w:val="16"/>
          <w:color w:val="010000"/>
        </w:rPr>
      </w:pPr>
    </w:p>
    <w:p>
      <w:pPr>
        <w:ind w:right="480" w:firstLine="1041"/>
        <w:spacing w:after="0" w:line="254" w:lineRule="auto"/>
        <w:tabs>
          <w:tab w:leader="none" w:pos="1286" w:val="left"/>
        </w:tabs>
        <w:numPr>
          <w:ilvl w:val="1"/>
          <w:numId w:val="34"/>
        </w:numPr>
        <w:rPr>
          <w:rFonts w:ascii="Arial" w:cs="Arial" w:eastAsia="Arial" w:hAnsi="Arial"/>
          <w:sz w:val="18"/>
          <w:szCs w:val="18"/>
          <w:color w:val="010000"/>
        </w:rPr>
      </w:pPr>
      <w:r>
        <w:rPr>
          <w:rFonts w:ascii="Arial" w:cs="Arial" w:eastAsia="Arial" w:hAnsi="Arial"/>
          <w:sz w:val="18"/>
          <w:szCs w:val="18"/>
          <w:color w:val="010000"/>
        </w:rPr>
        <w:t>to the extent of any security deposit, progress payment, retainage or other similar advance made by or for the benefit of the applicable Account Debtor, that portion of the Account as to which the Borrower or applicable Designated Guarantor has received any security deposit (to the extent received from the applicable Account Debtor), progress payment, retainage or other similar advance made by or for the benefit of the applicable Account Debtor; or</w:t>
      </w:r>
    </w:p>
    <w:p>
      <w:pPr>
        <w:spacing w:after="0" w:line="83" w:lineRule="exact"/>
        <w:rPr>
          <w:rFonts w:ascii="Arial" w:cs="Arial" w:eastAsia="Arial" w:hAnsi="Arial"/>
          <w:sz w:val="18"/>
          <w:szCs w:val="18"/>
          <w:color w:val="010000"/>
        </w:rPr>
      </w:pPr>
    </w:p>
    <w:p>
      <w:pPr>
        <w:ind w:right="40" w:firstLine="1041"/>
        <w:spacing w:after="0" w:line="297" w:lineRule="auto"/>
        <w:tabs>
          <w:tab w:leader="none" w:pos="1286" w:val="left"/>
        </w:tabs>
        <w:numPr>
          <w:ilvl w:val="1"/>
          <w:numId w:val="34"/>
        </w:numPr>
        <w:rPr>
          <w:rFonts w:ascii="Arial" w:cs="Arial" w:eastAsia="Arial" w:hAnsi="Arial"/>
          <w:sz w:val="17"/>
          <w:szCs w:val="17"/>
          <w:color w:val="010000"/>
        </w:rPr>
      </w:pPr>
      <w:r>
        <w:rPr>
          <w:rFonts w:ascii="Arial" w:cs="Arial" w:eastAsia="Arial" w:hAnsi="Arial"/>
          <w:sz w:val="17"/>
          <w:szCs w:val="17"/>
          <w:color w:val="010000"/>
        </w:rPr>
        <w:t>(i) it is not subject to a valid and perfected first priority Lien in favor of the Agent or (ii) it does not otherwise conform in all material respects to the representations and warranties contained in this Agreement and the other Loan Documents relating to such Accounts; or</w:t>
      </w:r>
    </w:p>
    <w:p>
      <w:pPr>
        <w:spacing w:after="0" w:line="49" w:lineRule="exact"/>
        <w:rPr>
          <w:rFonts w:ascii="Arial" w:cs="Arial" w:eastAsia="Arial" w:hAnsi="Arial"/>
          <w:sz w:val="17"/>
          <w:szCs w:val="17"/>
          <w:color w:val="010000"/>
        </w:rPr>
      </w:pPr>
    </w:p>
    <w:p>
      <w:pPr>
        <w:ind w:right="280" w:firstLine="1041"/>
        <w:spacing w:after="0" w:line="267" w:lineRule="auto"/>
        <w:tabs>
          <w:tab w:leader="none" w:pos="1246" w:val="left"/>
        </w:tabs>
        <w:numPr>
          <w:ilvl w:val="1"/>
          <w:numId w:val="34"/>
        </w:numPr>
        <w:rPr>
          <w:rFonts w:ascii="Arial" w:cs="Arial" w:eastAsia="Arial" w:hAnsi="Arial"/>
          <w:sz w:val="18"/>
          <w:szCs w:val="18"/>
          <w:color w:val="010000"/>
        </w:rPr>
      </w:pPr>
      <w:r>
        <w:rPr>
          <w:rFonts w:ascii="Arial" w:cs="Arial" w:eastAsia="Arial" w:hAnsi="Arial"/>
          <w:sz w:val="18"/>
          <w:szCs w:val="18"/>
          <w:color w:val="010000"/>
        </w:rPr>
        <w:t>(i) such Account was invoiced in advance of goods being shipped or services being provided (but then only until such goods are shipped or such services are provided) or (ii) the associated revenue has not been earned; or</w:t>
      </w:r>
    </w:p>
    <w:p>
      <w:pPr>
        <w:spacing w:after="0" w:line="72" w:lineRule="exact"/>
        <w:rPr>
          <w:rFonts w:ascii="Arial" w:cs="Arial" w:eastAsia="Arial" w:hAnsi="Arial"/>
          <w:sz w:val="18"/>
          <w:szCs w:val="18"/>
          <w:color w:val="010000"/>
        </w:rPr>
      </w:pPr>
    </w:p>
    <w:p>
      <w:pPr>
        <w:ind w:right="160" w:firstLine="1041"/>
        <w:spacing w:after="0" w:line="257" w:lineRule="auto"/>
        <w:tabs>
          <w:tab w:leader="none" w:pos="1246" w:val="left"/>
        </w:tabs>
        <w:numPr>
          <w:ilvl w:val="1"/>
          <w:numId w:val="34"/>
        </w:numPr>
        <w:rPr>
          <w:rFonts w:ascii="Arial" w:cs="Arial" w:eastAsia="Arial" w:hAnsi="Arial"/>
          <w:sz w:val="18"/>
          <w:szCs w:val="18"/>
          <w:color w:val="010000"/>
        </w:rPr>
      </w:pPr>
      <w:r>
        <w:rPr>
          <w:rFonts w:ascii="Arial" w:cs="Arial" w:eastAsia="Arial" w:hAnsi="Arial"/>
          <w:sz w:val="18"/>
          <w:szCs w:val="18"/>
          <w:color w:val="010000"/>
        </w:rPr>
        <w:t>the sale to the Account Debtor is on a bill-and-hold, guaranteed sale, sale-and-return, ship-and-return, sale on approval or consignment or other similar basis or made pursuant to any other agreement providing for repurchases or return of any merchandise which has been claimed to be defective or otherwise unsatisfactory, which shall not include customary product warranties; or</w:t>
      </w:r>
    </w:p>
    <w:p>
      <w:pPr>
        <w:spacing w:after="0" w:line="81" w:lineRule="exact"/>
        <w:rPr>
          <w:rFonts w:ascii="Arial" w:cs="Arial" w:eastAsia="Arial" w:hAnsi="Arial"/>
          <w:sz w:val="18"/>
          <w:szCs w:val="18"/>
          <w:color w:val="010000"/>
        </w:rPr>
      </w:pPr>
    </w:p>
    <w:p>
      <w:pPr>
        <w:ind w:right="40" w:firstLine="1041"/>
        <w:spacing w:after="0" w:line="273" w:lineRule="auto"/>
        <w:tabs>
          <w:tab w:leader="none" w:pos="1286" w:val="left"/>
        </w:tabs>
        <w:numPr>
          <w:ilvl w:val="1"/>
          <w:numId w:val="34"/>
        </w:numPr>
        <w:rPr>
          <w:rFonts w:ascii="Arial" w:cs="Arial" w:eastAsia="Arial" w:hAnsi="Arial"/>
          <w:sz w:val="17"/>
          <w:szCs w:val="17"/>
          <w:color w:val="010000"/>
        </w:rPr>
      </w:pPr>
      <w:r>
        <w:rPr>
          <w:rFonts w:ascii="Arial" w:cs="Arial" w:eastAsia="Arial" w:hAnsi="Arial"/>
          <w:sz w:val="17"/>
          <w:szCs w:val="17"/>
          <w:color w:val="010000"/>
        </w:rPr>
        <w:t>the goods giving rise to such Account have not been shipped and/or title has not been transferred to the Account Debtor, or the Account represents a progress-billing or otherwise does not represent a complete sale; for purposes hereof, “progress-billing” means any invoice for goods sold or leased or services rendered under a contract or agreement pursuant to which the Account Debtor’s obligation to pay such invoice is conditioned upon the completion by Borrower or a Designated Guarantor of any further performance under the contract or agreement;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9" w:name="page60"/>
    <w:bookmarkEnd w:id="59"/>
    <w:p>
      <w:pPr>
        <w:jc w:val="both"/>
        <w:ind w:right="80" w:firstLine="1041"/>
        <w:spacing w:after="0" w:line="257" w:lineRule="auto"/>
        <w:tabs>
          <w:tab w:leader="none" w:pos="1246" w:val="left"/>
        </w:tabs>
        <w:numPr>
          <w:ilvl w:val="0"/>
          <w:numId w:val="35"/>
        </w:numPr>
        <w:rPr>
          <w:rFonts w:ascii="Arial" w:cs="Arial" w:eastAsia="Arial" w:hAnsi="Arial"/>
          <w:sz w:val="18"/>
          <w:szCs w:val="18"/>
          <w:color w:val="010000"/>
        </w:rPr>
      </w:pPr>
      <w:r>
        <w:rPr>
          <w:rFonts w:ascii="Arial" w:cs="Arial" w:eastAsia="Arial" w:hAnsi="Arial"/>
          <w:sz w:val="18"/>
          <w:szCs w:val="18"/>
          <w:color w:val="010000"/>
        </w:rPr>
        <w:t xml:space="preserve">it arises out of a sale made by Borrower or a Designated Guarantor to an employee, officer, agent, director, Subsidiary or Affiliate (other than an Affiliate that is a Permitted Holder or an Affiliate of a Permitted Holder (other than any of the Company or its Subsidiaries))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such sale arises in the ordinary course of business; or</w:t>
      </w:r>
    </w:p>
    <w:p>
      <w:pPr>
        <w:spacing w:after="0" w:line="81" w:lineRule="exact"/>
        <w:rPr>
          <w:rFonts w:ascii="Arial" w:cs="Arial" w:eastAsia="Arial" w:hAnsi="Arial"/>
          <w:sz w:val="18"/>
          <w:szCs w:val="18"/>
          <w:color w:val="010000"/>
        </w:rPr>
      </w:pPr>
    </w:p>
    <w:p>
      <w:pPr>
        <w:ind w:right="40" w:firstLine="1041"/>
        <w:spacing w:after="0" w:line="257" w:lineRule="auto"/>
        <w:tabs>
          <w:tab w:leader="none" w:pos="1335" w:val="left"/>
        </w:tabs>
        <w:numPr>
          <w:ilvl w:val="0"/>
          <w:numId w:val="35"/>
        </w:numPr>
        <w:rPr>
          <w:rFonts w:ascii="Arial" w:cs="Arial" w:eastAsia="Arial" w:hAnsi="Arial"/>
          <w:sz w:val="18"/>
          <w:szCs w:val="18"/>
          <w:color w:val="010000"/>
        </w:rPr>
      </w:pPr>
      <w:r>
        <w:rPr>
          <w:rFonts w:ascii="Arial" w:cs="Arial" w:eastAsia="Arial" w:hAnsi="Arial"/>
          <w:sz w:val="18"/>
          <w:szCs w:val="18"/>
          <w:color w:val="010000"/>
        </w:rPr>
        <w:t>such Account was not paid in full, and Borrower or a Designated Guarantor created a new receivable for the unpaid portion of the Account without the agreement of the Account Debtor, and other Accounts constituting chargebacks, debit memos and other adjustments for unauthorized deductions or put back on the aging until resolved by the credit department of the Company; or</w:t>
      </w:r>
    </w:p>
    <w:p>
      <w:pPr>
        <w:spacing w:after="0" w:line="81" w:lineRule="exact"/>
        <w:rPr>
          <w:rFonts w:ascii="Arial" w:cs="Arial" w:eastAsia="Arial" w:hAnsi="Arial"/>
          <w:sz w:val="18"/>
          <w:szCs w:val="18"/>
          <w:color w:val="010000"/>
        </w:rPr>
      </w:pPr>
    </w:p>
    <w:p>
      <w:pPr>
        <w:ind w:right="40" w:firstLine="1041"/>
        <w:spacing w:after="0" w:line="250" w:lineRule="auto"/>
        <w:tabs>
          <w:tab w:leader="none" w:pos="1286" w:val="left"/>
        </w:tabs>
        <w:numPr>
          <w:ilvl w:val="0"/>
          <w:numId w:val="35"/>
        </w:numPr>
        <w:rPr>
          <w:rFonts w:ascii="Arial" w:cs="Arial" w:eastAsia="Arial" w:hAnsi="Arial"/>
          <w:sz w:val="18"/>
          <w:szCs w:val="18"/>
          <w:color w:val="010000"/>
        </w:rPr>
      </w:pPr>
      <w:r>
        <w:rPr>
          <w:rFonts w:ascii="Arial" w:cs="Arial" w:eastAsia="Arial" w:hAnsi="Arial"/>
          <w:sz w:val="18"/>
          <w:szCs w:val="18"/>
          <w:color w:val="010000"/>
        </w:rPr>
        <w:t>the Account Debtor (i) has or has asserted a right of set-off, offset, deduction, defense, dispute, or counterclaim against Borrower or a Designated Guarantor (unless such Account Debtor has entered into a written agreement reasonably satisfactory to the Agent to waive such set-off, offset, deduction, defense, dispute, or counterclaim rights), (ii) has disputed its liability (whether by chargeback or otherwise) or made any claim with respect to the Account or any other Account of Borrower or a Designated Guarantor which has not been resolved, in each case of clause (i) and (ii), without duplication, only to the extent of the amount of such actual or asserted right of set-off, or the amount of such dispute or claim, as the case may be or (iii) is also a creditor or supplier of Borrower or a Designated Guarantor (but only to the extent of Borrower’s or such Designated Guarantor’s obligations to such Account Debtor from time to time); or</w:t>
      </w:r>
    </w:p>
    <w:p>
      <w:pPr>
        <w:spacing w:after="0" w:line="90" w:lineRule="exact"/>
        <w:rPr>
          <w:rFonts w:ascii="Arial" w:cs="Arial" w:eastAsia="Arial" w:hAnsi="Arial"/>
          <w:sz w:val="18"/>
          <w:szCs w:val="18"/>
          <w:color w:val="010000"/>
        </w:rPr>
      </w:pPr>
    </w:p>
    <w:p>
      <w:pPr>
        <w:ind w:right="400" w:firstLine="1041"/>
        <w:spacing w:after="0" w:line="331" w:lineRule="auto"/>
        <w:tabs>
          <w:tab w:leader="none" w:pos="1286" w:val="left"/>
        </w:tabs>
        <w:numPr>
          <w:ilvl w:val="0"/>
          <w:numId w:val="35"/>
        </w:numPr>
        <w:rPr>
          <w:rFonts w:ascii="Arial" w:cs="Arial" w:eastAsia="Arial" w:hAnsi="Arial"/>
          <w:sz w:val="16"/>
          <w:szCs w:val="16"/>
          <w:color w:val="010000"/>
        </w:rPr>
      </w:pPr>
      <w:r>
        <w:rPr>
          <w:rFonts w:ascii="Arial" w:cs="Arial" w:eastAsia="Arial" w:hAnsi="Arial"/>
          <w:sz w:val="16"/>
          <w:szCs w:val="16"/>
          <w:color w:val="010000"/>
        </w:rPr>
        <w:t>the Account does not comply in all material respects with the requirements of all applicable laws and regulations, whether federal, state, municipal, local or foreign including, without limitation, the Federal Consumer Credit Protection Act, Federal Truth in Lending Act and Regulation Z; or</w:t>
      </w:r>
    </w:p>
    <w:p>
      <w:pPr>
        <w:spacing w:after="0" w:line="25" w:lineRule="exact"/>
        <w:rPr>
          <w:rFonts w:ascii="Arial" w:cs="Arial" w:eastAsia="Arial" w:hAnsi="Arial"/>
          <w:sz w:val="16"/>
          <w:szCs w:val="16"/>
          <w:color w:val="010000"/>
        </w:rPr>
      </w:pPr>
    </w:p>
    <w:p>
      <w:pPr>
        <w:ind w:firstLine="1041"/>
        <w:spacing w:after="0" w:line="257" w:lineRule="auto"/>
        <w:tabs>
          <w:tab w:leader="none" w:pos="1286" w:val="left"/>
        </w:tabs>
        <w:numPr>
          <w:ilvl w:val="0"/>
          <w:numId w:val="35"/>
        </w:numPr>
        <w:rPr>
          <w:rFonts w:ascii="Arial" w:cs="Arial" w:eastAsia="Arial" w:hAnsi="Arial"/>
          <w:sz w:val="18"/>
          <w:szCs w:val="18"/>
          <w:color w:val="010000"/>
        </w:rPr>
      </w:pPr>
      <w:r>
        <w:rPr>
          <w:rFonts w:ascii="Arial" w:cs="Arial" w:eastAsia="Arial" w:hAnsi="Arial"/>
          <w:sz w:val="18"/>
          <w:szCs w:val="18"/>
          <w:color w:val="010000"/>
        </w:rPr>
        <w:t>as to any Account, to the extent that (i) a check, promissory note, draft, trade acceptance or other instrument for the payment of money has been received, presented for payment and returned uncollected for any reason or (ii) such Account is otherwise classified as a note receivable and the obligation with respect thereto is evidenced by a promissory note or other debt instrument or agreement; or</w:t>
      </w:r>
    </w:p>
    <w:p>
      <w:pPr>
        <w:spacing w:after="0" w:line="81" w:lineRule="exact"/>
        <w:rPr>
          <w:rFonts w:ascii="Arial" w:cs="Arial" w:eastAsia="Arial" w:hAnsi="Arial"/>
          <w:sz w:val="18"/>
          <w:szCs w:val="18"/>
          <w:color w:val="010000"/>
        </w:rPr>
      </w:pPr>
    </w:p>
    <w:p>
      <w:pPr>
        <w:ind w:right="260" w:firstLine="1041"/>
        <w:spacing w:after="0" w:line="267" w:lineRule="auto"/>
        <w:tabs>
          <w:tab w:leader="none" w:pos="1286" w:val="left"/>
        </w:tabs>
        <w:numPr>
          <w:ilvl w:val="0"/>
          <w:numId w:val="35"/>
        </w:numPr>
        <w:rPr>
          <w:rFonts w:ascii="Arial" w:cs="Arial" w:eastAsia="Arial" w:hAnsi="Arial"/>
          <w:sz w:val="18"/>
          <w:szCs w:val="18"/>
          <w:color w:val="010000"/>
        </w:rPr>
      </w:pPr>
      <w:r>
        <w:rPr>
          <w:rFonts w:ascii="Arial" w:cs="Arial" w:eastAsia="Arial" w:hAnsi="Arial"/>
          <w:sz w:val="18"/>
          <w:szCs w:val="18"/>
          <w:color w:val="010000"/>
        </w:rPr>
        <w:t>the Account is created in cash on delivery terms, bill-and-hold, sale or return, sale on approval, consignment, or other repurchase or return basis, or from a sale for personal, family or household purposes;</w:t>
      </w:r>
    </w:p>
    <w:p>
      <w:pPr>
        <w:spacing w:after="0" w:line="72" w:lineRule="exact"/>
        <w:rPr>
          <w:rFonts w:ascii="Arial" w:cs="Arial" w:eastAsia="Arial" w:hAnsi="Arial"/>
          <w:sz w:val="18"/>
          <w:szCs w:val="18"/>
          <w:color w:val="010000"/>
        </w:rPr>
      </w:pPr>
    </w:p>
    <w:p>
      <w:pPr>
        <w:jc w:val="both"/>
        <w:ind w:right="40" w:firstLine="1041"/>
        <w:spacing w:after="0" w:line="365" w:lineRule="auto"/>
        <w:tabs>
          <w:tab w:leader="none" w:pos="1256" w:val="left"/>
        </w:tabs>
        <w:numPr>
          <w:ilvl w:val="0"/>
          <w:numId w:val="35"/>
        </w:numPr>
        <w:rPr>
          <w:rFonts w:ascii="Arial" w:cs="Arial" w:eastAsia="Arial" w:hAnsi="Arial"/>
          <w:sz w:val="14"/>
          <w:szCs w:val="14"/>
          <w:color w:val="010000"/>
        </w:rPr>
      </w:pPr>
      <w:r>
        <w:rPr>
          <w:rFonts w:ascii="Arial" w:cs="Arial" w:eastAsia="Arial" w:hAnsi="Arial"/>
          <w:sz w:val="14"/>
          <w:szCs w:val="14"/>
          <w:color w:val="010000"/>
        </w:rPr>
        <w:t>an Insolvency Proceeding has been commenced by or against the Account Debtor; or the Account Debtor has failed, has suspended or ceased doing business, is liquidating, dissolving or winding up its affairs, is not Solvent, or is subject to Sanctions or any specially designated nationals list maintained by OFAC; or the Borrower or a Designated Guarantor is not able to bring suit or enforce remedies against the Account Debtor through judicial process;</w:t>
      </w:r>
    </w:p>
    <w:p>
      <w:pPr>
        <w:spacing w:after="0" w:line="12" w:lineRule="exact"/>
        <w:rPr>
          <w:rFonts w:ascii="Arial" w:cs="Arial" w:eastAsia="Arial" w:hAnsi="Arial"/>
          <w:sz w:val="14"/>
          <w:szCs w:val="14"/>
          <w:color w:val="010000"/>
        </w:rPr>
      </w:pPr>
    </w:p>
    <w:p>
      <w:pPr>
        <w:ind w:left="1280" w:hanging="239"/>
        <w:spacing w:after="0"/>
        <w:tabs>
          <w:tab w:leader="none" w:pos="1280" w:val="left"/>
        </w:tabs>
        <w:numPr>
          <w:ilvl w:val="0"/>
          <w:numId w:val="35"/>
        </w:numPr>
        <w:rPr>
          <w:rFonts w:ascii="Arial" w:cs="Arial" w:eastAsia="Arial" w:hAnsi="Arial"/>
          <w:sz w:val="18"/>
          <w:szCs w:val="18"/>
          <w:color w:val="010000"/>
        </w:rPr>
      </w:pPr>
      <w:r>
        <w:rPr>
          <w:rFonts w:ascii="Arial" w:cs="Arial" w:eastAsia="Arial" w:hAnsi="Arial"/>
          <w:sz w:val="18"/>
          <w:szCs w:val="18"/>
          <w:color w:val="010000"/>
        </w:rPr>
        <w:t>the Account is evidenced by chattel paper or an instrument of any kind, or has been reduced to judgment;</w:t>
      </w:r>
    </w:p>
    <w:p>
      <w:pPr>
        <w:spacing w:after="0" w:line="113" w:lineRule="exact"/>
        <w:rPr>
          <w:rFonts w:ascii="Arial" w:cs="Arial" w:eastAsia="Arial" w:hAnsi="Arial"/>
          <w:sz w:val="18"/>
          <w:szCs w:val="18"/>
          <w:color w:val="010000"/>
        </w:rPr>
      </w:pPr>
    </w:p>
    <w:p>
      <w:pPr>
        <w:ind w:right="260" w:firstLine="1041"/>
        <w:spacing w:after="0" w:line="267" w:lineRule="auto"/>
        <w:tabs>
          <w:tab w:leader="none" w:pos="1246" w:val="left"/>
        </w:tabs>
        <w:numPr>
          <w:ilvl w:val="0"/>
          <w:numId w:val="35"/>
        </w:numPr>
        <w:rPr>
          <w:rFonts w:ascii="Arial" w:cs="Arial" w:eastAsia="Arial" w:hAnsi="Arial"/>
          <w:sz w:val="18"/>
          <w:szCs w:val="18"/>
          <w:color w:val="010000"/>
        </w:rPr>
      </w:pPr>
      <w:r>
        <w:rPr>
          <w:rFonts w:ascii="Arial" w:cs="Arial" w:eastAsia="Arial" w:hAnsi="Arial"/>
          <w:sz w:val="18"/>
          <w:szCs w:val="18"/>
          <w:color w:val="010000"/>
        </w:rPr>
        <w:t>the amount of any net credit balances relating to such Account is unused by the Account Debtor within 60 days from the date the net credit balance was created;</w:t>
      </w:r>
    </w:p>
    <w:p>
      <w:pPr>
        <w:spacing w:after="0" w:line="72" w:lineRule="exact"/>
        <w:rPr>
          <w:rFonts w:ascii="Arial" w:cs="Arial" w:eastAsia="Arial" w:hAnsi="Arial"/>
          <w:sz w:val="18"/>
          <w:szCs w:val="18"/>
          <w:color w:val="010000"/>
        </w:rPr>
      </w:pPr>
    </w:p>
    <w:p>
      <w:pPr>
        <w:ind w:firstLine="1041"/>
        <w:spacing w:after="0" w:line="267" w:lineRule="auto"/>
        <w:tabs>
          <w:tab w:leader="none" w:pos="1286" w:val="left"/>
        </w:tabs>
        <w:numPr>
          <w:ilvl w:val="0"/>
          <w:numId w:val="35"/>
        </w:numPr>
        <w:rPr>
          <w:rFonts w:ascii="Arial" w:cs="Arial" w:eastAsia="Arial" w:hAnsi="Arial"/>
          <w:sz w:val="18"/>
          <w:szCs w:val="18"/>
          <w:color w:val="010000"/>
        </w:rPr>
      </w:pPr>
      <w:r>
        <w:rPr>
          <w:rFonts w:ascii="Arial" w:cs="Arial" w:eastAsia="Arial" w:hAnsi="Arial"/>
          <w:sz w:val="18"/>
          <w:szCs w:val="18"/>
          <w:color w:val="010000"/>
        </w:rPr>
        <w:t>the Account arises from transactions with customers of Borrower or a Designated Guarantor under equipment and vendor financing programs permitted pursuant to Section 5.02(i)(xv); or</w:t>
      </w:r>
    </w:p>
    <w:p>
      <w:pPr>
        <w:spacing w:after="0" w:line="72" w:lineRule="exact"/>
        <w:rPr>
          <w:rFonts w:ascii="Arial" w:cs="Arial" w:eastAsia="Arial" w:hAnsi="Arial"/>
          <w:sz w:val="18"/>
          <w:szCs w:val="18"/>
          <w:color w:val="010000"/>
        </w:rPr>
      </w:pPr>
    </w:p>
    <w:p>
      <w:pPr>
        <w:ind w:left="1300" w:hanging="259"/>
        <w:spacing w:after="0"/>
        <w:tabs>
          <w:tab w:leader="none" w:pos="1300" w:val="left"/>
        </w:tabs>
        <w:numPr>
          <w:ilvl w:val="0"/>
          <w:numId w:val="35"/>
        </w:numPr>
        <w:rPr>
          <w:rFonts w:ascii="Arial" w:cs="Arial" w:eastAsia="Arial" w:hAnsi="Arial"/>
          <w:sz w:val="18"/>
          <w:szCs w:val="18"/>
          <w:color w:val="010000"/>
        </w:rPr>
      </w:pPr>
      <w:r>
        <w:rPr>
          <w:rFonts w:ascii="Arial" w:cs="Arial" w:eastAsia="Arial" w:hAnsi="Arial"/>
          <w:sz w:val="18"/>
          <w:szCs w:val="18"/>
          <w:color w:val="010000"/>
        </w:rPr>
        <w:t>at all times prior to the occurrence of the KPP Account Eligibility Date, any Account which is a KPP Account.</w:t>
      </w:r>
    </w:p>
    <w:p>
      <w:pPr>
        <w:spacing w:after="0" w:line="220" w:lineRule="exact"/>
        <w:rPr>
          <w:sz w:val="20"/>
          <w:szCs w:val="20"/>
          <w:color w:val="auto"/>
        </w:rPr>
      </w:pPr>
    </w:p>
    <w:p>
      <w:pPr>
        <w:ind w:firstLine="1034"/>
        <w:spacing w:after="0" w:line="252" w:lineRule="auto"/>
        <w:rPr>
          <w:sz w:val="20"/>
          <w:szCs w:val="20"/>
          <w:color w:val="auto"/>
        </w:rPr>
      </w:pPr>
      <w:r>
        <w:rPr>
          <w:rFonts w:ascii="Arial" w:cs="Arial" w:eastAsia="Arial" w:hAnsi="Arial"/>
          <w:sz w:val="18"/>
          <w:szCs w:val="18"/>
          <w:color w:val="auto"/>
        </w:rPr>
        <w:t>After giving effect to the foregoing, if the aggregate amount of Eligible Receivables included in the Borrowing Base with respect to the Accounts of any Account Debtor and its Affiliates that are Account Debtors would exceed 15% (or such greater percent in the case of any Account Debtor approved in writing by the Agent) of all Eligible Receivables included in the Borrowing Base before giving effect to this provision, a portion of Eligible Receivables in respect of the Accounts shall be excluded from the Borrowing Base only to the extent necessary for the foregoing thresholds not to be exceeded after giving effect to such exclusion.</w:t>
      </w:r>
    </w:p>
    <w:p>
      <w:pPr>
        <w:spacing w:after="0" w:line="193" w:lineRule="exact"/>
        <w:rPr>
          <w:sz w:val="20"/>
          <w:szCs w:val="20"/>
          <w:color w:val="auto"/>
        </w:rPr>
      </w:pPr>
    </w:p>
    <w:p>
      <w:pPr>
        <w:ind w:right="380" w:firstLine="103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Action</w:t>
      </w:r>
      <w:r>
        <w:rPr>
          <w:rFonts w:ascii="Arial" w:cs="Arial" w:eastAsia="Arial" w:hAnsi="Arial"/>
          <w:sz w:val="16"/>
          <w:szCs w:val="16"/>
          <w:color w:val="auto"/>
        </w:rPr>
        <w:t>” means any action, suit, demand, demand letter, claim, notice of non-compliance or violation, notice of liability or potential liability, investigation, proceeding, consent order or consent agreement relating to any Environmental Law, Environmental Permit or arising from alleged injury or threat of injury to health or safety as it relates to any Hazardous Materials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65" w:lineRule="exact"/>
        <w:rPr>
          <w:sz w:val="20"/>
          <w:szCs w:val="20"/>
          <w:color w:val="auto"/>
        </w:rPr>
      </w:pPr>
    </w:p>
    <w:p>
      <w:pPr>
        <w:ind w:right="6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provincial, municipal, local or foreign statute, law, ordinance, rule, regulation, code, order, judgment, decree or judicial or agency interpretation, policy or guidance relating to pollution or protection of the environment, health, and safety as it relates to any Hazardous Materials or natural resources, including, without limitation, those relating to the use, handling, transportation, treatment, storage, disposal, release or discharge of Hazardous Materials.</w:t>
      </w:r>
    </w:p>
    <w:p>
      <w:pPr>
        <w:spacing w:after="0" w:line="191" w:lineRule="exact"/>
        <w:rPr>
          <w:sz w:val="20"/>
          <w:szCs w:val="20"/>
          <w:color w:val="auto"/>
        </w:rPr>
      </w:pPr>
    </w:p>
    <w:p>
      <w:pPr>
        <w:ind w:right="2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obligation, damage, loss, claim, action, suit, judgment, order, fine, penalty, fee, expense or cost, contingent or otherwise (including any liability for costs of Remedial Actions, or natural resource damages,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60" w:name="page61"/>
    <w:bookmarkEnd w:id="60"/>
    <w:p>
      <w:pPr>
        <w:spacing w:after="0" w:line="285" w:lineRule="auto"/>
        <w:rPr>
          <w:sz w:val="20"/>
          <w:szCs w:val="20"/>
          <w:color w:val="auto"/>
        </w:rPr>
      </w:pPr>
      <w:r>
        <w:rPr>
          <w:rFonts w:ascii="Arial" w:cs="Arial" w:eastAsia="Arial" w:hAnsi="Arial"/>
          <w:sz w:val="16"/>
          <w:szCs w:val="16"/>
          <w:color w:val="auto"/>
        </w:rPr>
        <w:t>administrative oversight costs, and indemnities), of or related to the Borrower or any Subsidiary (including any predecessor for whom the Borrower or any Subsidiary bears liability contractually or by operation of law) arising under or relating to any Environmental Law, including those resulting from or based upon</w:t>
      </w:r>
    </w:p>
    <w:p>
      <w:pPr>
        <w:spacing w:after="0" w:line="1" w:lineRule="exact"/>
        <w:rPr>
          <w:sz w:val="20"/>
          <w:szCs w:val="20"/>
          <w:color w:val="auto"/>
        </w:rPr>
      </w:pPr>
    </w:p>
    <w:p>
      <w:pPr>
        <w:ind w:right="100" w:firstLine="7"/>
        <w:spacing w:after="0" w:line="297" w:lineRule="auto"/>
        <w:tabs>
          <w:tab w:leader="none" w:pos="2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compliance or noncompliance with any Environmental Law, (b) the generation, use, handling, transportation, storage, treatment or disposal or presence of any Hazardous Materials, (c) exposure to any Hazardous Materials, (d) the Release or threatened Release of any Hazardous Materials into the environment (including as related to indoor air quality) or (e) any of the foregoing for which liability is assumed or imposed by any contract or agreement.</w:t>
      </w:r>
    </w:p>
    <w:p>
      <w:pPr>
        <w:spacing w:after="0" w:line="15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has the meaning specified in the UCC.</w:t>
      </w:r>
    </w:p>
    <w:p>
      <w:pPr>
        <w:spacing w:after="0" w:line="220" w:lineRule="exact"/>
        <w:rPr>
          <w:sz w:val="20"/>
          <w:szCs w:val="20"/>
          <w:color w:val="auto"/>
        </w:rPr>
      </w:pPr>
    </w:p>
    <w:p>
      <w:pPr>
        <w:ind w:firstLine="103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Equipment Availability</w:t>
      </w:r>
      <w:r>
        <w:rPr>
          <w:rFonts w:ascii="Arial" w:cs="Arial" w:eastAsia="Arial" w:hAnsi="Arial"/>
          <w:sz w:val="16"/>
          <w:szCs w:val="16"/>
          <w:color w:val="auto"/>
        </w:rPr>
        <w:t>” means the lesser of (a) $20,000,000 and (b) 75% of the Net Orderly Liquidation Value of the Eligible Equipment as reduced as provided below. Equipment Availability shall be reduced as of the first day of each calendar quarter commencing October 1, 2016 (whether or not Equipment Availability is included in the Borrowing Base on the Closing Date) by $1,000,000. Equipment Availability may be included in the Borrowing Base on the Closing Date or thereafter subject to the satisfaction of the conditions set forth below. Equipment Availability will be included in the Borrowing Base if on the Closing Date the following conditions are met: the Agent has received (i) appraisals with respect to the Equipment as provided below for purposes of determining the Net Orderly Liquidation Value of such Equipment, and (ii) perfected first priority security interests and liens on the Equipment of Borrower and Designated Guarantors in favor of the Agent for the benefit of the Secured Parties (subject only to the Permitted Collateral Liens). If the condition listed in subclause (i) of this definition is not satisfied by the Closing Date, an Equipment Availability amount of $20,000,000 will be included in the Borrowing Base, to be reduced immediately upon the completion of the appraisal and receipt by the Agent thereof by the difference between $20,000,000 and 75% of the Net Orderly Liquidation Value of the Eligible Equipment, if 75% of the Net Orderly Liquidation Value of the Eligible Equipment is less than $20,000,000. In addition, the amount of Equipment Availability may be further permanently reduced to the extent that any appraisal of Equipment conducted by the Agent after the Closing Date would result in a lower amount of Equipment Availability pursuant to the formula used by the Agent to calculate Equipment Availability on the Closing Date, and subject to the sale or other disposition of any Eligible Equipment as permitted hereunder.</w:t>
      </w:r>
    </w:p>
    <w:p>
      <w:pPr>
        <w:spacing w:after="0" w:line="177" w:lineRule="exact"/>
        <w:rPr>
          <w:sz w:val="20"/>
          <w:szCs w:val="20"/>
          <w:color w:val="auto"/>
        </w:rPr>
      </w:pPr>
    </w:p>
    <w:p>
      <w:pPr>
        <w:ind w:right="5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 from time to time, and the regulations promulgated and rulings issued thereunder.</w:t>
      </w:r>
    </w:p>
    <w:p>
      <w:pPr>
        <w:spacing w:after="0" w:line="180" w:lineRule="exact"/>
        <w:rPr>
          <w:sz w:val="20"/>
          <w:szCs w:val="20"/>
          <w:color w:val="auto"/>
        </w:rPr>
      </w:pPr>
    </w:p>
    <w:p>
      <w:pPr>
        <w:ind w:right="34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IV of ERISA is a member of the controlled group of any Loan Party, or under common control with any Loan Party, within the meaning of Section 414 of the Code or Section 4001(b)(1) of ERISA.</w:t>
      </w:r>
    </w:p>
    <w:p>
      <w:pPr>
        <w:spacing w:after="0" w:line="180" w:lineRule="exact"/>
        <w:rPr>
          <w:sz w:val="20"/>
          <w:szCs w:val="20"/>
          <w:color w:val="auto"/>
        </w:rPr>
      </w:pPr>
    </w:p>
    <w:p>
      <w:pPr>
        <w:ind w:right="40" w:firstLine="103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(a)(i) the occurrence of a Reportable Event, within the meaning of Section 4043 of ERISA (except as may occur as a result of the transactions contemplated by the KPP Settlement Agreement solely to the extent that they relate to the transactions contemplated by the KPP Settlement Agreement that shall have been consummated within fifteen (15) days of the Initial Closing Date), with respect to any Plan unless the 30-day notice requirement with respect to such event has been waived by the PBGC or (ii) the requirements of Section 4043(b) of ERISA apply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w:t>
      </w:r>
    </w:p>
    <w:p>
      <w:pPr>
        <w:spacing w:after="0" w:line="3" w:lineRule="exact"/>
        <w:rPr>
          <w:sz w:val="20"/>
          <w:szCs w:val="20"/>
          <w:color w:val="auto"/>
        </w:rPr>
      </w:pPr>
    </w:p>
    <w:p>
      <w:pPr>
        <w:ind w:left="240" w:hanging="233"/>
        <w:spacing w:after="0"/>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provision by the administrator of any Plan of a notice of intent to terminate such Plan, pursuant to Section 4041(a)(2) of ERISA (including any such</w:t>
      </w:r>
    </w:p>
    <w:p>
      <w:pPr>
        <w:spacing w:after="0" w:line="29" w:lineRule="exact"/>
        <w:rPr>
          <w:rFonts w:ascii="Arial" w:cs="Arial" w:eastAsia="Arial" w:hAnsi="Arial"/>
          <w:sz w:val="16"/>
          <w:szCs w:val="16"/>
          <w:color w:val="auto"/>
        </w:rPr>
      </w:pPr>
    </w:p>
    <w:p>
      <w:pPr>
        <w:ind w:right="40"/>
        <w:spacing w:after="0" w:line="265" w:lineRule="auto"/>
        <w:rPr>
          <w:rFonts w:ascii="Arial" w:cs="Arial" w:eastAsia="Arial" w:hAnsi="Arial"/>
          <w:sz w:val="16"/>
          <w:szCs w:val="16"/>
          <w:color w:val="auto"/>
        </w:rPr>
      </w:pPr>
      <w:r>
        <w:rPr>
          <w:rFonts w:ascii="Arial" w:cs="Arial" w:eastAsia="Arial" w:hAnsi="Arial"/>
          <w:sz w:val="17"/>
          <w:szCs w:val="17"/>
          <w:color w:val="auto"/>
        </w:rPr>
        <w:t>notice with respect to a plan amendment referred to in Section 4041(e) of ERISA); (d) the cessation of operations at a facility of any Loan Party or any ERISA Affiliate in the circumstances described in Section 4062(e) of ERISA (except as may a occur as a result of the transactions contemplated by the KPP Settlement Agreement solely to the extent that (x) they relate to the transactions contemplated by the KPP Settlement Agreement that shall have been consummated within fifteen (15) days of the Initial Closing Date and (y) the Company and its Subsidiaries shall have no liability pursuant to Section 4062(e) following such consummation); (e) the withdrawal by any Loan Party or any ERISA Affiliate from a Multiple Employer Plan during a plan year for which it was a substantial employer, as defined in Section 4001(a)(2) of ERISA; (f) the conditions for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w:t>
      </w:r>
    </w:p>
    <w:p>
      <w:pPr>
        <w:spacing w:after="0" w:line="183" w:lineRule="exact"/>
        <w:rPr>
          <w:sz w:val="20"/>
          <w:szCs w:val="20"/>
          <w:color w:val="auto"/>
        </w:rPr>
      </w:pPr>
    </w:p>
    <w:p>
      <w:pPr>
        <w:ind w:right="4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80" w:lineRule="exact"/>
        <w:rPr>
          <w:sz w:val="20"/>
          <w:szCs w:val="20"/>
          <w:color w:val="auto"/>
        </w:rPr>
      </w:pPr>
    </w:p>
    <w:p>
      <w:pPr>
        <w:jc w:val="both"/>
        <w:ind w:right="48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 with respect to any Interest Period, the rate per annum equal to LIBOR as administered by ICE Benchmark Administration (or any other person that takes over the administration of such rate) (“</w:t>
      </w:r>
      <w:r>
        <w:rPr>
          <w:rFonts w:ascii="Arial" w:cs="Arial" w:eastAsia="Arial" w:hAnsi="Arial"/>
          <w:sz w:val="18"/>
          <w:szCs w:val="18"/>
          <w:u w:val="single" w:color="auto"/>
          <w:color w:val="auto"/>
        </w:rPr>
        <w:t>LIBOR</w:t>
      </w:r>
      <w:r>
        <w:rPr>
          <w:rFonts w:ascii="Arial" w:cs="Arial" w:eastAsia="Arial" w:hAnsi="Arial"/>
          <w:sz w:val="18"/>
          <w:szCs w:val="18"/>
          <w:color w:val="auto"/>
        </w:rPr>
        <w:t>”), as published by Reuters (or other commercially available source providing quotations of LIBOR as designated by the Agent from time to time) 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61" w:name="page62"/>
    <w:bookmarkEnd w:id="61"/>
    <w:p>
      <w:pPr>
        <w:ind w:right="40"/>
        <w:spacing w:after="0" w:line="250" w:lineRule="auto"/>
        <w:rPr>
          <w:sz w:val="20"/>
          <w:szCs w:val="20"/>
          <w:color w:val="auto"/>
        </w:rPr>
      </w:pPr>
      <w:r>
        <w:rPr>
          <w:rFonts w:ascii="Arial" w:cs="Arial" w:eastAsia="Arial" w:hAnsi="Arial"/>
          <w:sz w:val="18"/>
          <w:szCs w:val="18"/>
          <w:color w:val="auto"/>
        </w:rPr>
        <w:t>approximately 11:00 a.m. (London time) two Business Days prior to the commencement of such Interest Period, for Dollar deposits (for delivery on the first day of such Interest Period) with a term equivalent to such Interest Period. If such rate is not available at such time for any reason, then the “Eurodollar Base Rate” for such Interest Period shall be the rate per annum determined by the Agent to be the rate at which deposits in Dollars for delivery on the first day of such Interest Period in same day funds in the approximate amount of the Eurodollar Rate Revolving Loan being made, continued or converted by the Agent and with a term equivalent to such Interest Period would be offered by the Agent’s London Branch to major banks in the London interbank eurodollar market at their request at approximately 11:00 a.m. (London time) two Business Days prior to the commencement of such Interest Period. In no event shall the Eurodollar Base Rate be less than zero.</w:t>
      </w:r>
    </w:p>
    <w:p>
      <w:pPr>
        <w:spacing w:after="0" w:line="198" w:lineRule="exact"/>
        <w:rPr>
          <w:sz w:val="20"/>
          <w:szCs w:val="20"/>
          <w:color w:val="auto"/>
        </w:rPr>
      </w:pPr>
    </w:p>
    <w:p>
      <w:pPr>
        <w:ind w:right="3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Borrower and the Agent.</w:t>
      </w:r>
    </w:p>
    <w:p>
      <w:pPr>
        <w:spacing w:after="0" w:line="180" w:lineRule="exact"/>
        <w:rPr>
          <w:sz w:val="20"/>
          <w:szCs w:val="20"/>
          <w:color w:val="auto"/>
        </w:rPr>
      </w:pPr>
    </w:p>
    <w:p>
      <w:pPr>
        <w:ind w:right="2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 for any Interest Period with respect to a Eurodollar Rate Revolving Loan, a rate per annum determined by the Agent pursuant to the following formula:</w:t>
      </w:r>
    </w:p>
    <w:p>
      <w:pPr>
        <w:spacing w:after="0" w:line="180" w:lineRule="exact"/>
        <w:rPr>
          <w:sz w:val="20"/>
          <w:szCs w:val="20"/>
          <w:color w:val="auto"/>
        </w:rPr>
      </w:pPr>
    </w:p>
    <w:tbl>
      <w:tblPr>
        <w:tblLayout w:type="fixed"/>
        <w:tblInd w:w="1520" w:type="dxa"/>
        <w:tblCellMar>
          <w:top w:w="0" w:type="dxa"/>
          <w:left w:w="0" w:type="dxa"/>
          <w:bottom w:w="0" w:type="dxa"/>
          <w:right w:w="0" w:type="dxa"/>
        </w:tblCellMar>
      </w:tblPr>
      <w:tr>
        <w:trPr>
          <w:trHeight w:val="225"/>
        </w:trPr>
        <w:tc>
          <w:tcPr>
            <w:tcW w:w="1940" w:type="dxa"/>
            <w:vAlign w:val="bottom"/>
            <w:vMerge w:val="restart"/>
          </w:tcPr>
          <w:p>
            <w:pPr>
              <w:spacing w:after="0"/>
              <w:rPr>
                <w:sz w:val="20"/>
                <w:szCs w:val="20"/>
                <w:color w:val="auto"/>
              </w:rPr>
            </w:pPr>
            <w:r>
              <w:rPr>
                <w:rFonts w:ascii="Arial" w:cs="Arial" w:eastAsia="Arial" w:hAnsi="Arial"/>
                <w:sz w:val="18"/>
                <w:szCs w:val="18"/>
                <w:color w:val="auto"/>
              </w:rPr>
              <w:t>Eurodollar Rate =</w:t>
            </w: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Eurodollar Base Rate</w:t>
            </w:r>
          </w:p>
        </w:tc>
        <w:tc>
          <w:tcPr>
            <w:tcW w:w="0" w:type="dxa"/>
            <w:vAlign w:val="bottom"/>
          </w:tcPr>
          <w:p>
            <w:pPr>
              <w:spacing w:after="0"/>
              <w:rPr>
                <w:sz w:val="1"/>
                <w:szCs w:val="1"/>
                <w:color w:val="auto"/>
              </w:rPr>
            </w:pPr>
          </w:p>
        </w:tc>
      </w:tr>
      <w:tr>
        <w:trPr>
          <w:trHeight w:val="86"/>
        </w:trPr>
        <w:tc>
          <w:tcPr>
            <w:tcW w:w="1940" w:type="dxa"/>
            <w:vAlign w:val="bottom"/>
            <w:vMerge w:val="continue"/>
          </w:tcPr>
          <w:p>
            <w:pPr>
              <w:spacing w:after="0"/>
              <w:rPr>
                <w:sz w:val="7"/>
                <w:szCs w:val="7"/>
                <w:color w:val="auto"/>
              </w:rPr>
            </w:pPr>
          </w:p>
        </w:tc>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87"/>
              </w:rPr>
              <w:t>1.00 – Eurodollar Reserve Percentage</w:t>
            </w:r>
          </w:p>
        </w:tc>
        <w:tc>
          <w:tcPr>
            <w:tcW w:w="0" w:type="dxa"/>
            <w:vAlign w:val="bottom"/>
          </w:tcPr>
          <w:p>
            <w:pPr>
              <w:spacing w:after="0"/>
              <w:rPr>
                <w:sz w:val="1"/>
                <w:szCs w:val="1"/>
                <w:color w:val="auto"/>
              </w:rPr>
            </w:pPr>
          </w:p>
        </w:tc>
      </w:tr>
      <w:tr>
        <w:trPr>
          <w:trHeight w:val="132"/>
        </w:trPr>
        <w:tc>
          <w:tcPr>
            <w:tcW w:w="1940" w:type="dxa"/>
            <w:vAlign w:val="bottom"/>
          </w:tcPr>
          <w:p>
            <w:pPr>
              <w:spacing w:after="0"/>
              <w:rPr>
                <w:sz w:val="11"/>
                <w:szCs w:val="11"/>
                <w:color w:val="auto"/>
              </w:rPr>
            </w:pP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Revolving Loan</w:t>
      </w:r>
      <w:r>
        <w:rPr>
          <w:rFonts w:ascii="Arial" w:cs="Arial" w:eastAsia="Arial" w:hAnsi="Arial"/>
          <w:sz w:val="18"/>
          <w:szCs w:val="18"/>
          <w:color w:val="auto"/>
        </w:rPr>
        <w:t>” means a Revolving Loan that bears interest as provided in Section 2.07(a)(ii).</w:t>
      </w:r>
    </w:p>
    <w:p>
      <w:pPr>
        <w:spacing w:after="0" w:line="220" w:lineRule="exact"/>
        <w:rPr>
          <w:sz w:val="20"/>
          <w:szCs w:val="20"/>
          <w:color w:val="auto"/>
        </w:rPr>
      </w:pPr>
    </w:p>
    <w:p>
      <w:pPr>
        <w:ind w:right="80" w:firstLine="103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Reserve Percentage</w:t>
      </w:r>
      <w:r>
        <w:rPr>
          <w:rFonts w:ascii="Arial" w:cs="Arial" w:eastAsia="Arial" w:hAnsi="Arial"/>
          <w:sz w:val="17"/>
          <w:szCs w:val="17"/>
          <w:color w:val="auto"/>
        </w:rPr>
        <w:t>”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Eurodollar Rate for each outstanding Eurodollar Rate Revolving Loan shall be adjusted automatically as of the effective date of any change in the Eurodollar Reserve Percentage.</w:t>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220" w:lineRule="exact"/>
        <w:rPr>
          <w:sz w:val="20"/>
          <w:szCs w:val="20"/>
          <w:color w:val="auto"/>
        </w:rPr>
      </w:pPr>
    </w:p>
    <w:p>
      <w:pPr>
        <w:ind w:firstLine="103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Availability</w:t>
      </w:r>
      <w:r>
        <w:rPr>
          <w:rFonts w:ascii="Arial" w:cs="Arial" w:eastAsia="Arial" w:hAnsi="Arial"/>
          <w:sz w:val="16"/>
          <w:szCs w:val="16"/>
          <w:color w:val="auto"/>
        </w:rPr>
        <w:t xml:space="preserve">” means, at any time, (a) the Line Cap minus (b) the Revolving Credit Facility Usage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at any time Excess Availability falls below any thresholds set forth in this Agreement and in the other Loan Documents, the Agent shall permit the Borrower to deposit additional cash into the Pledged Cash Account (Eligible Cash) to satisfy such Excess Availability threshold within three (3) Business Days after the date Borrower falls below any applicable Excess Availability threshold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during such period, Borrower shall not request any Revolving Loans or the issuance of any Letters of Credit and the Agent and Lenders (and the Issuing Bank) shall not be required to honor any such requests) (each a “</w:t>
      </w:r>
      <w:r>
        <w:rPr>
          <w:rFonts w:ascii="Arial" w:cs="Arial" w:eastAsia="Arial" w:hAnsi="Arial"/>
          <w:sz w:val="16"/>
          <w:szCs w:val="16"/>
          <w:u w:val="single" w:color="auto"/>
          <w:color w:val="auto"/>
        </w:rPr>
        <w:t>Eligible Cash</w:t>
      </w:r>
      <w:r>
        <w:rPr>
          <w:rFonts w:ascii="Arial" w:cs="Arial" w:eastAsia="Arial" w:hAnsi="Arial"/>
          <w:sz w:val="16"/>
          <w:szCs w:val="16"/>
          <w:color w:val="auto"/>
        </w:rPr>
        <w:t xml:space="preserve"> </w:t>
      </w:r>
      <w:r>
        <w:rPr>
          <w:rFonts w:ascii="Arial" w:cs="Arial" w:eastAsia="Arial" w:hAnsi="Arial"/>
          <w:sz w:val="16"/>
          <w:szCs w:val="16"/>
          <w:u w:val="single" w:color="auto"/>
          <w:color w:val="auto"/>
        </w:rPr>
        <w:t>Cure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 such deposit amount shall not exceed $5,000,000 and (ii) in any event, upon the delivery of the next monthly Borrowing Base Certificate or the date such delivery is required, the relevant Excess Availability thresholds must be satisfied without giving effect to such Eligible Cash Cure. No more than four (4) Eligible Cash Cures may be taken in any twelve (12) consecutive month period, and not more than one (1) Eligible Cash Cure may be taken in any consecutive two (2) month period. Any event or other action caused by the Borrower’s failure to meet any Excess Availability threshold in this Agreement shall not take effect until three Business Days after such failure if the Borrower has the option of effectuating a Eligible Cash Cure.</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Usage</w:t>
      </w:r>
      <w:r>
        <w:rPr>
          <w:rFonts w:ascii="Arial" w:cs="Arial" w:eastAsia="Arial" w:hAnsi="Arial"/>
          <w:sz w:val="18"/>
          <w:szCs w:val="18"/>
          <w:color w:val="auto"/>
        </w:rPr>
        <w:t>” has the meaning specified in Section 2.10(c).</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specified in the definition of “Change of Control”.</w:t>
      </w:r>
    </w:p>
    <w:p>
      <w:pPr>
        <w:spacing w:after="0" w:line="220" w:lineRule="exact"/>
        <w:rPr>
          <w:sz w:val="20"/>
          <w:szCs w:val="20"/>
          <w:color w:val="auto"/>
        </w:rPr>
      </w:pPr>
    </w:p>
    <w:p>
      <w:pPr>
        <w:ind w:right="80" w:firstLine="103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w:t>
      </w:r>
      <w:r>
        <w:rPr>
          <w:rFonts w:ascii="Arial" w:cs="Arial" w:eastAsia="Arial" w:hAnsi="Arial"/>
          <w:sz w:val="17"/>
          <w:szCs w:val="17"/>
          <w:color w:val="auto"/>
        </w:rPr>
        <w:t>” means any and all of the (i) payroll, employee benefits, healthcare, escrow, fiduciary, defeasance, redemption, trust, tax and other similar accounts, (ii) “zero balance” accounts from which balances are swept daily to a Concentration Account, (iii) other accounts prohibited by applicable law from being pledged to, or having a security interest therein granted to, a third party, and (iv) other Deposit Accounts of the Loan Parties (other than Deposit Accounts and other accounts into which customer or other third party payments in respect of the Collateral are scheduled to be or regularly made) with the aggregate balance for all such accounts under this clause (iv) of less than $5,000,000.</w:t>
      </w:r>
    </w:p>
    <w:p>
      <w:pPr>
        <w:spacing w:after="0" w:line="181" w:lineRule="exact"/>
        <w:rPr>
          <w:sz w:val="20"/>
          <w:szCs w:val="20"/>
          <w:color w:val="auto"/>
        </w:rPr>
      </w:pPr>
    </w:p>
    <w:p>
      <w:pPr>
        <w:ind w:right="100"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Immaterial Subsidiary, (b) any direct or indirect domestic Subsidiary of a direct or indirect Foreign Subsidiary, (c) any Captive Insurance Subsidiary, (d) any domestic Subsidiary that has no material assets other than equity interests in one or more CFCs (a “</w:t>
      </w:r>
      <w:r>
        <w:rPr>
          <w:rFonts w:ascii="Arial" w:cs="Arial" w:eastAsia="Arial" w:hAnsi="Arial"/>
          <w:sz w:val="18"/>
          <w:szCs w:val="18"/>
          <w:u w:val="single" w:color="auto"/>
          <w:color w:val="auto"/>
        </w:rPr>
        <w:t>Qualified CFC Holding Company</w:t>
      </w:r>
      <w:r>
        <w:rPr>
          <w:rFonts w:ascii="Arial" w:cs="Arial" w:eastAsia="Arial" w:hAnsi="Arial"/>
          <w:sz w:val="18"/>
          <w:szCs w:val="18"/>
          <w:color w:val="auto"/>
        </w:rPr>
        <w:t>”), (e) any Foreign Subsidiary, (f) any direct or indirect Subsidiary of a CFC or Qualified CFC Holding Company, (g) any Unrestricted Subsidiary, (h) any Subsidiary that is prohibited by applicable law from guaranteeing the Obligations and (i) any other Subsidiary to the extent the Agent and Borrower agree that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2" w:name="page63"/>
    <w:bookmarkEnd w:id="62"/>
    <w:p>
      <w:pPr>
        <w:ind w:right="140"/>
        <w:spacing w:after="0" w:line="257" w:lineRule="auto"/>
        <w:rPr>
          <w:sz w:val="20"/>
          <w:szCs w:val="20"/>
          <w:color w:val="auto"/>
        </w:rPr>
      </w:pPr>
      <w:r>
        <w:rPr>
          <w:rFonts w:ascii="Arial" w:cs="Arial" w:eastAsia="Arial" w:hAnsi="Arial"/>
          <w:sz w:val="18"/>
          <w:szCs w:val="18"/>
          <w:color w:val="auto"/>
        </w:rPr>
        <w:t xml:space="preserve">provision of a Guaranty by such Subsidiary of the Obligations would result in a material adverse tax consequence;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the foregoing, any Subsidiary that provides a guarantee in respect of the Exit First Lien Term Loan Documents or the Exit Second Lien Loan Documents shall not be an Excluded Subsidiary hereunder.</w:t>
      </w:r>
    </w:p>
    <w:p>
      <w:pPr>
        <w:spacing w:after="0" w:line="188" w:lineRule="exact"/>
        <w:rPr>
          <w:sz w:val="20"/>
          <w:szCs w:val="20"/>
          <w:color w:val="auto"/>
        </w:rPr>
      </w:pPr>
    </w:p>
    <w:p>
      <w:pPr>
        <w:ind w:firstLine="10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with respect to any Loan Party, means each Swap Obligation as to which, and only to the extent that, such Loan Party’s guaranty of or grant of a Lien as security for such Swap Obligation is or becomes illegal under the Commodity Exchange Act because the Loan Party does not constitute an “eligible contract participant” as defined in the act (determined after giving effect to any keepwell, support or other agreement for the benefit of such Loan Party and all guarantees of Swap Obligations by other Loan Parties) when such guaranty or grant of Lien becomes effective with respect to the Swap Obligation. If a Hedging Agreement governs more than one Swap Obligation, only the Swap Obligation(s) or portions thereof described in the foregoing sentence shall be Excluded Swap Obligation(s) for the applicable Loan Party.</w:t>
      </w:r>
    </w:p>
    <w:p>
      <w:pPr>
        <w:spacing w:after="0" w:line="1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set forth in the recitals hereto.</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Debt</w:t>
      </w:r>
      <w:r>
        <w:rPr>
          <w:rFonts w:ascii="Arial" w:cs="Arial" w:eastAsia="Arial" w:hAnsi="Arial"/>
          <w:sz w:val="18"/>
          <w:szCs w:val="18"/>
          <w:color w:val="auto"/>
        </w:rPr>
        <w:t>” has the meaning set forth in Section 5.02(d)(ii).</w:t>
      </w:r>
    </w:p>
    <w:p>
      <w:pPr>
        <w:spacing w:after="0" w:line="220" w:lineRule="exact"/>
        <w:rPr>
          <w:sz w:val="20"/>
          <w:szCs w:val="20"/>
          <w:color w:val="auto"/>
        </w:rPr>
      </w:pPr>
    </w:p>
    <w:p>
      <w:pPr>
        <w:ind w:right="40" w:firstLine="103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Exit First Lien Term Loan Agent</w:t>
      </w:r>
      <w:r>
        <w:rPr>
          <w:rFonts w:ascii="Arial" w:cs="Arial" w:eastAsia="Arial" w:hAnsi="Arial"/>
          <w:sz w:val="16"/>
          <w:szCs w:val="16"/>
          <w:color w:val="auto"/>
        </w:rPr>
        <w:t>” means JPMorgan Chase Bank, NA in its capacity as administrative agent pursuant to the Exit First Lien Term Loan Documents, and its successors, assigns or any replacement agent appointed pursuant to the terms of the Exit First Lien Term Loan Agreement.</w:t>
      </w:r>
    </w:p>
    <w:p>
      <w:pPr>
        <w:spacing w:after="0" w:line="133" w:lineRule="exact"/>
        <w:rPr>
          <w:sz w:val="20"/>
          <w:szCs w:val="20"/>
          <w:color w:val="auto"/>
        </w:rPr>
      </w:pPr>
    </w:p>
    <w:p>
      <w:pPr>
        <w:ind w:right="60" w:firstLine="1034"/>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Exit First Lien Term Loan Agreement</w:t>
      </w:r>
      <w:r>
        <w:rPr>
          <w:rFonts w:ascii="Arial" w:cs="Arial" w:eastAsia="Arial" w:hAnsi="Arial"/>
          <w:sz w:val="17"/>
          <w:szCs w:val="17"/>
          <w:color w:val="auto"/>
        </w:rPr>
        <w:t>” means (i) the Senior Secured First Lien Term Credit Agreement, dated as of the Initial Closing Date, among the Company, as borrower, the lenders from time to time parties thereto, and Exit First Lien Term Loan Agent, as it may be amended, restated, refinanced, replaced or otherwise modified from time to time and (ii) any other replacement, refinancing, restructuring, extension, renewal or refinancing thereof (or Incremental Equivalent Debt (as defined in the Exit First Lien Term Loan Agreement) (in each case whether through one or more credit facilities or other debt issuances pursuant to the agreement set forth in subclause (i) or any other agreement, contract or indenture, including any such replacement or refinancing facility or indenture that increases or decreases the amount permitted to be borrowed thereunder (including pursuant to Incremental Term Loans (as defined in the Exit First Lien Term Loan Agreement)) or alters the maturity thereof and whether by the same or any other agent, lender or group of lenders, and any amendments, supplements, modifications, extensions, renewals, restatements, amendments and restatements or refundings thereof) to the extent permitted by this Agreement and the Term Loan Intercreditor Agreement.</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Exit First Lien Term Loan Debt</w:t>
      </w:r>
      <w:r>
        <w:rPr>
          <w:rFonts w:ascii="Arial" w:cs="Arial" w:eastAsia="Arial" w:hAnsi="Arial"/>
          <w:sz w:val="17"/>
          <w:szCs w:val="17"/>
          <w:color w:val="auto"/>
        </w:rPr>
        <w:t>” means the Debt of the Company and its Subsidiaries under the Exit First Lien Term Loan Agreement.</w:t>
      </w:r>
    </w:p>
    <w:p>
      <w:pPr>
        <w:spacing w:after="0" w:line="231" w:lineRule="exact"/>
        <w:rPr>
          <w:sz w:val="20"/>
          <w:szCs w:val="20"/>
          <w:color w:val="auto"/>
        </w:rPr>
      </w:pPr>
    </w:p>
    <w:p>
      <w:pPr>
        <w:ind w:right="14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First Lien Term Loan Documents</w:t>
      </w:r>
      <w:r>
        <w:rPr>
          <w:rFonts w:ascii="Arial" w:cs="Arial" w:eastAsia="Arial" w:hAnsi="Arial"/>
          <w:sz w:val="18"/>
          <w:szCs w:val="18"/>
          <w:color w:val="auto"/>
        </w:rPr>
        <w:t>” means the Exit First Lien Term Loan Agreement, and each other agreement, certificate, document, or instrument executed or delivered by the Company or its Subsidiaries to the Exit First Lien Term Loan Agent or any lender thereunder in connection therewith, whether prior to, on, or after the closing of the Exit First Lien Term Loan Agreement, and any and all renewals, extensions, amendments, modifications, refinancings or restatements of any of the foregoing.</w:t>
      </w:r>
    </w:p>
    <w:p>
      <w:pPr>
        <w:spacing w:after="0" w:line="191" w:lineRule="exact"/>
        <w:rPr>
          <w:sz w:val="20"/>
          <w:szCs w:val="20"/>
          <w:color w:val="auto"/>
        </w:rPr>
      </w:pPr>
    </w:p>
    <w:p>
      <w:pPr>
        <w:ind w:right="200" w:firstLine="103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Exit Second Lien Term Loan Agent</w:t>
      </w:r>
      <w:r>
        <w:rPr>
          <w:rFonts w:ascii="Arial" w:cs="Arial" w:eastAsia="Arial" w:hAnsi="Arial"/>
          <w:sz w:val="16"/>
          <w:szCs w:val="16"/>
          <w:color w:val="auto"/>
        </w:rPr>
        <w:t>” means Barclays Bank PLC in its capacity as administrative agent pursuant to the Exit Second Lien Term Loan Documents, and its successors, assigns or any replacement agent appointed pursuant to the terms of the Exit Second Lien Term Loan Agreement.</w:t>
      </w:r>
    </w:p>
    <w:p>
      <w:pPr>
        <w:spacing w:after="0" w:line="133" w:lineRule="exact"/>
        <w:rPr>
          <w:sz w:val="20"/>
          <w:szCs w:val="20"/>
          <w:color w:val="auto"/>
        </w:rPr>
      </w:pPr>
    </w:p>
    <w:p>
      <w:pPr>
        <w:ind w:firstLine="103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Exit Second Lien Term Loan Agreement</w:t>
      </w:r>
      <w:r>
        <w:rPr>
          <w:rFonts w:ascii="Arial" w:cs="Arial" w:eastAsia="Arial" w:hAnsi="Arial"/>
          <w:sz w:val="16"/>
          <w:szCs w:val="16"/>
          <w:color w:val="auto"/>
        </w:rPr>
        <w:t>” means (i) the Senior Secured Second Lien Term Credit Agreement, dated as of the Initial Closing Date, among the Company, as borrower, the lenders from time to time parties thereto, and the Exit Second Lien Term Loan Agent, as it may be amended, restated, refinanced, replaced or otherwise modified from time to time and (ii) any other replacement, refinancing, restructuring, extension, renewal or refinancing thereof (or Incremental Equivalent Second Lien Debt (as defined in the Exit First Lien Term Loan Agreement) (in each case whether through one or more credit facilities or other debt issuances pursuant to the agreement set forth in subclause (i) or any other agreement, contract or indenture, including any such replacement or refinancing facility or indenture that increases or decreases the amount permitted to be borrowed thereunder (including pursuant to Second Lien Incremental Term Loans (as defined in the Exit First Lien Term Loan Agreement)) or alters the maturity thereof and whether by the same or any other agent, lender or group of lenders, and any amendments, supplements, modifications, extensions, renewals, restatements, amendments and restatements or refundings thereof) to the extent permitted by this Agreement and the Term Loan Intercreditor Agreement.</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Exit Second Lien Term Loan Debt</w:t>
      </w:r>
      <w:r>
        <w:rPr>
          <w:rFonts w:ascii="Arial" w:cs="Arial" w:eastAsia="Arial" w:hAnsi="Arial"/>
          <w:sz w:val="16"/>
          <w:szCs w:val="16"/>
          <w:color w:val="auto"/>
        </w:rPr>
        <w:t>” means the Debt of the Company and its Subsidiaries under the Exit Second Lien Term Loan Agreement.</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63" w:name="page64"/>
    <w:bookmarkEnd w:id="63"/>
    <w:p>
      <w:pPr>
        <w:ind w:right="6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Second Lien Term Loan Documents</w:t>
      </w:r>
      <w:r>
        <w:rPr>
          <w:rFonts w:ascii="Arial" w:cs="Arial" w:eastAsia="Arial" w:hAnsi="Arial"/>
          <w:sz w:val="18"/>
          <w:szCs w:val="18"/>
          <w:color w:val="auto"/>
        </w:rPr>
        <w:t>” means the Exit Second Lien Term Loan Agreement, and each other agreement, certificate, document, or instrument executed or delivered by Company or its Subsidiaries to the Exit Second Lien Term Loan Agent or any lender in connection therewith, whether prior to, on, or after the closing of the Exit Second Lien Term Loan Agreement, and any and all renewals, extensions, amendments, modifications, refinancings or restatements of any of the foregoing.</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Term Loan Debt</w:t>
      </w:r>
      <w:r>
        <w:rPr>
          <w:rFonts w:ascii="Arial" w:cs="Arial" w:eastAsia="Arial" w:hAnsi="Arial"/>
          <w:sz w:val="18"/>
          <w:szCs w:val="18"/>
          <w:color w:val="auto"/>
        </w:rPr>
        <w:t>” means the Exit First Lien Term Loan Debt and the Exit Second Lien Term Loan Debt.</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Term Loan Agreements</w:t>
      </w:r>
      <w:r>
        <w:rPr>
          <w:rFonts w:ascii="Arial" w:cs="Arial" w:eastAsia="Arial" w:hAnsi="Arial"/>
          <w:sz w:val="18"/>
          <w:szCs w:val="18"/>
          <w:color w:val="auto"/>
        </w:rPr>
        <w:t>” means the Exit First Lien Term Loan Agreement and the Exit Second Lien Term Loan Agreement.</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Revolving Credit Facility and the Letter of Credit Facility.</w:t>
      </w:r>
    </w:p>
    <w:p>
      <w:pPr>
        <w:spacing w:after="0" w:line="220" w:lineRule="exact"/>
        <w:rPr>
          <w:sz w:val="20"/>
          <w:szCs w:val="20"/>
          <w:color w:val="auto"/>
        </w:rPr>
      </w:pPr>
    </w:p>
    <w:p>
      <w:pPr>
        <w:ind w:right="420" w:firstLine="1034"/>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(including any amended or successor version if substantively comparable and not materially more onerous to comply with), and any agreements entered into pursuant to Section 1471(b)(1) of the Code.</w:t>
      </w:r>
    </w:p>
    <w:p>
      <w:pPr>
        <w:spacing w:after="0" w:line="156" w:lineRule="exact"/>
        <w:rPr>
          <w:sz w:val="20"/>
          <w:szCs w:val="20"/>
          <w:color w:val="auto"/>
        </w:rPr>
      </w:pPr>
    </w:p>
    <w:p>
      <w:pPr>
        <w:ind w:right="180" w:firstLine="1034"/>
        <w:spacing w:after="0" w:line="33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Federal Funds Rate</w:t>
      </w:r>
      <w:r>
        <w:rPr>
          <w:rFonts w:ascii="Arial" w:cs="Arial" w:eastAsia="Arial" w:hAnsi="Arial"/>
          <w:sz w:val="14"/>
          <w:szCs w:val="14"/>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that</w:t>
      </w:r>
      <w:r>
        <w:rPr>
          <w:rFonts w:ascii="Arial" w:cs="Arial" w:eastAsia="Arial" w:hAnsi="Arial"/>
          <w:sz w:val="14"/>
          <w:szCs w:val="14"/>
          <w:color w:val="auto"/>
        </w:rPr>
        <w:t xml:space="preserve">,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Agent on such day on such transactions as determined by the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in no event shall such rate be less than zero.</w:t>
      </w:r>
    </w:p>
    <w:p>
      <w:pPr>
        <w:spacing w:after="0" w:line="141" w:lineRule="exact"/>
        <w:rPr>
          <w:sz w:val="20"/>
          <w:szCs w:val="20"/>
          <w:color w:val="auto"/>
        </w:rPr>
      </w:pPr>
    </w:p>
    <w:p>
      <w:pPr>
        <w:ind w:firstLine="103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Letters</w:t>
      </w:r>
      <w:r>
        <w:rPr>
          <w:rFonts w:ascii="Arial" w:cs="Arial" w:eastAsia="Arial" w:hAnsi="Arial"/>
          <w:sz w:val="16"/>
          <w:szCs w:val="16"/>
          <w:color w:val="auto"/>
        </w:rPr>
        <w:t>” means, collectively, (i) the Fee Letter, dated as of April 28, 2016, among the Company, the Agent and Bank of America, N.A., as an Arranger and (ii) the Supplemental Fee Letter, dated as of April 28, 2016, among the Company, the Agent and Bank of America, N.A., as an Arranger.</w:t>
      </w:r>
    </w:p>
    <w:p>
      <w:pPr>
        <w:spacing w:after="0" w:line="133" w:lineRule="exact"/>
        <w:rPr>
          <w:sz w:val="20"/>
          <w:szCs w:val="20"/>
          <w:color w:val="auto"/>
        </w:rPr>
      </w:pPr>
    </w:p>
    <w:p>
      <w:pPr>
        <w:ind w:right="2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of any Person (other than a natural person) means the chief financial officer, president, chief executive officer, treasurer or controller or any other officer of such Person designated or authorized by any of the foregoing.</w:t>
      </w:r>
    </w:p>
    <w:p>
      <w:pPr>
        <w:spacing w:after="0" w:line="180" w:lineRule="exact"/>
        <w:rPr>
          <w:sz w:val="20"/>
          <w:szCs w:val="20"/>
          <w:color w:val="auto"/>
        </w:rPr>
      </w:pPr>
    </w:p>
    <w:p>
      <w:pPr>
        <w:ind w:right="20" w:firstLine="103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means, as determined on the last day of any fiscal quarter, the ratio of (i) Consolidated EBITDA for the most recently completed period of four consecutive fiscal quarters ending on such date minus the aggregate amount of any unfinanced Capital Expenditures paid during such period minus income taxes paid in cash (net of refunds received but not less than zero) during such period to (ii) (A) interest payable on, and amortization of debt discount in respect of, all Debt for Borrowed Money during such period (excluding (1) additional interest in respect of the any debt securities, deferred or amortized financing fees, debt issuance costs, commissions, fees and expenses and expensing of any bridge, commitment or other financing fees and (2) any original issue discount in respect of the Exit First Lien Term Loan Debt or Exit Second Lien Term Loan Debt); plus (B) the aggregate amount of all scheduled principal payments (other than at final maturity); plus (C) the aggregate amount of all cash dividend payments to holders of capital stock (including Disqualified Stock) of the Company (excluding any items eliminated or consolidated) on account of such capital stock; minus (D) interest income for such period, as the case may be, in each case, of the Company and its Restricted Subsidiaries on a Consolidated basis.</w:t>
      </w:r>
    </w:p>
    <w:p>
      <w:pPr>
        <w:spacing w:after="0" w:line="174" w:lineRule="exact"/>
        <w:rPr>
          <w:sz w:val="20"/>
          <w:szCs w:val="20"/>
          <w:color w:val="auto"/>
        </w:rPr>
      </w:pPr>
    </w:p>
    <w:p>
      <w:pPr>
        <w:ind w:right="10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 Trigger Event</w:t>
      </w:r>
      <w:r>
        <w:rPr>
          <w:rFonts w:ascii="Arial" w:cs="Arial" w:eastAsia="Arial" w:hAnsi="Arial"/>
          <w:sz w:val="18"/>
          <w:szCs w:val="18"/>
          <w:color w:val="auto"/>
        </w:rPr>
        <w:t xml:space="preserve">” means the failure of the Borrower to maintain Excess Availability at any time of at least 12.5% of the Revolving Credit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occurrence of a Fixed Charge Coverage Ratio Trigger Event shall be deemed continuing until Excess Availability shall have been equal to an amount that is 12.5% or greater of the Revolving Credit Facility for thirty (30) consecutive days, at which time such Fixed Charge Coverage Ratio Trigger Event shall no longer be deemed continuing.</w:t>
      </w:r>
    </w:p>
    <w:p>
      <w:pPr>
        <w:spacing w:after="0" w:line="191" w:lineRule="exact"/>
        <w:rPr>
          <w:sz w:val="20"/>
          <w:szCs w:val="20"/>
          <w:color w:val="auto"/>
        </w:rPr>
      </w:pPr>
    </w:p>
    <w:p>
      <w:pPr>
        <w:ind w:right="5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organized under the laws of a jurisdiction other than the United States of America or any State thereof or the District of Columbia.</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Forward-Looking Information</w:t>
      </w:r>
      <w:r>
        <w:rPr>
          <w:rFonts w:ascii="Arial" w:cs="Arial" w:eastAsia="Arial" w:hAnsi="Arial"/>
          <w:sz w:val="18"/>
          <w:szCs w:val="18"/>
          <w:color w:val="auto"/>
        </w:rPr>
        <w:t>” has the meaning specified in Section 4.01(t).</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0" w:lineRule="exact"/>
        <w:rPr>
          <w:sz w:val="20"/>
          <w:szCs w:val="20"/>
          <w:color w:val="auto"/>
        </w:rPr>
      </w:pPr>
    </w:p>
    <w:p>
      <w:pPr>
        <w:ind w:right="7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an individual) that is or will be engaged in making, purchasing, holding or otherwise investing in commercial loans and similar extensions of credit in the ordinary course.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4" w:name="page65"/>
    <w:bookmarkEnd w:id="64"/>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Security Agreement</w:t>
      </w:r>
      <w:r>
        <w:rPr>
          <w:rFonts w:ascii="Arial" w:cs="Arial" w:eastAsia="Arial" w:hAnsi="Arial"/>
          <w:sz w:val="18"/>
          <w:szCs w:val="18"/>
          <w:color w:val="auto"/>
        </w:rPr>
        <w:t>” means any Collateral Document which is governed by German law.</w:t>
      </w:r>
    </w:p>
    <w:p>
      <w:pPr>
        <w:spacing w:after="0" w:line="220" w:lineRule="exact"/>
        <w:rPr>
          <w:sz w:val="20"/>
          <w:szCs w:val="20"/>
          <w:color w:val="auto"/>
        </w:rPr>
      </w:pPr>
    </w:p>
    <w:p>
      <w:pPr>
        <w:ind w:right="20" w:firstLine="1034"/>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the United States of America, any other nation or any political subdivision thereof, whether state, local or other, and any agency, authority, instrumentality, regulatory body, court, central bank or other entity exercising executive, legislative, judicial, taxing, regulatory or administrative powers or functions of or pertaining to government, in each case, with competent jurisdiction over such Person.</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has the meaning specified in Section 7.01(a).</w:t>
      </w:r>
    </w:p>
    <w:p>
      <w:pPr>
        <w:spacing w:after="0" w:line="220" w:lineRule="exact"/>
        <w:rPr>
          <w:sz w:val="20"/>
          <w:szCs w:val="20"/>
          <w:color w:val="auto"/>
        </w:rPr>
      </w:pPr>
    </w:p>
    <w:p>
      <w:pPr>
        <w:ind w:right="120" w:firstLine="1034"/>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means, collectively (a) each Subsidiary Guarantor, and (b) each Person who now or hereafter guarantees payment or performance of the whole or any part of the Obligations in accordance with Article VII or otherwise and “Guarantor” means any one of them.</w:t>
      </w:r>
    </w:p>
    <w:p>
      <w:pPr>
        <w:spacing w:after="0" w:line="15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the guaranty of each Guarantor set forth in Article VII.</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Supplement</w:t>
      </w:r>
      <w:r>
        <w:rPr>
          <w:rFonts w:ascii="Arial" w:cs="Arial" w:eastAsia="Arial" w:hAnsi="Arial"/>
          <w:sz w:val="18"/>
          <w:szCs w:val="18"/>
          <w:color w:val="auto"/>
        </w:rPr>
        <w:t>” has the meaning specified in Section 7.05.</w:t>
      </w:r>
    </w:p>
    <w:p>
      <w:pPr>
        <w:spacing w:after="0" w:line="220" w:lineRule="exact"/>
        <w:rPr>
          <w:sz w:val="20"/>
          <w:szCs w:val="20"/>
          <w:color w:val="auto"/>
        </w:rPr>
      </w:pPr>
    </w:p>
    <w:p>
      <w:pPr>
        <w:jc w:val="both"/>
        <w:ind w:right="52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“swap agreement” as defined in Section 101(53B)(A) of the Bankruptcy Code.</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w:t>
      </w:r>
      <w:r>
        <w:rPr>
          <w:rFonts w:ascii="Arial" w:cs="Arial" w:eastAsia="Arial" w:hAnsi="Arial"/>
          <w:sz w:val="18"/>
          <w:szCs w:val="18"/>
          <w:color w:val="auto"/>
        </w:rPr>
        <w:t>” means Her Majesty’s Revenue &amp; Customs.</w:t>
      </w:r>
    </w:p>
    <w:p>
      <w:pPr>
        <w:spacing w:after="0" w:line="220" w:lineRule="exact"/>
        <w:rPr>
          <w:sz w:val="20"/>
          <w:szCs w:val="20"/>
          <w:color w:val="auto"/>
        </w:rPr>
      </w:pPr>
    </w:p>
    <w:p>
      <w:pPr>
        <w:ind w:firstLine="103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each Subsidiary designated by the Company to the Agent as an Immaterial Subsidiary on the Closing Date and thereafter, each Subsidiary of Company designated as an “Immaterial Subsidiary” pursuant to a certificate executed and delivered by a Responsible Officer of the Company to the Agent within sixty (60) days after the delivery of annual financial statements pursuant to Section 5.01(h)(ii) (certifying as to each of the items set forth in this definition), but not including the Company, (a) having total assets (as determined in accordance with GAAP) in an amount of seven and one-half (7.5%) percent or less of the Consolidated total assets of the Company and its Subsidiaries shown on such financial statements or (b) contributing seven and one-half (7.5%) percent or less to the Consolidated net sales of the Company and its Subsidiaries for the fiscal year most recently 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total assets (as so determined) and net sales (as so determined) of all Immaterial Subsidiaries shall not exceed seven and one-half (7.5%) percent of the Consolidated total assets shown on the Consolidated financial statements of Company and its Subsidiaries, or seven and one-half (7.5%) percent of Consolidated net sales of the Company and its Subsidiaries as of the delivery of financial statements pursuant to Section 5.01(h)(ii). In the event that total assets of all Immaterial Subsidiaries exceed seven and one-half (7.5%) percent of Consolidated total assets of Company and its Subsidiaries, or the total contribution to Consolidated net sales of all Immaterial Subsidiaries exceeds seven and one-half (7.5%) percent of net sales for any such fiscal period for which financial statements have been delivered pursuant to Section 5.01(h)(ii), as the case may be, (i) the Company will designate certain Subsidiaries which shall no longer constitute Immaterial Subsidiaries and will no longer be Immaterial Subsidiaries until redesignated by the Company and (ii) to the extent not otherwise excluded as a Loan Party, shall comply with the provisions of Section 5.01(i) of this Agreement as if they were a new Subsidiary.</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2.21(a).</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2.21(c).</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Costs</w:t>
      </w:r>
      <w:r>
        <w:rPr>
          <w:rFonts w:ascii="Arial" w:cs="Arial" w:eastAsia="Arial" w:hAnsi="Arial"/>
          <w:sz w:val="18"/>
          <w:szCs w:val="18"/>
          <w:color w:val="auto"/>
        </w:rPr>
        <w:t>” has the meaning specified in Section 8.05(a).</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specified in Section 9.04(b).</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means September 3, 2013.</w:t>
      </w:r>
    </w:p>
    <w:p>
      <w:pPr>
        <w:spacing w:after="0" w:line="220" w:lineRule="exact"/>
        <w:rPr>
          <w:sz w:val="20"/>
          <w:szCs w:val="20"/>
          <w:color w:val="auto"/>
        </w:rPr>
      </w:pPr>
    </w:p>
    <w:p>
      <w:pPr>
        <w:ind w:right="6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 Date Transactions</w:t>
      </w:r>
      <w:r>
        <w:rPr>
          <w:rFonts w:ascii="Arial" w:cs="Arial" w:eastAsia="Arial" w:hAnsi="Arial"/>
          <w:sz w:val="18"/>
          <w:szCs w:val="18"/>
          <w:color w:val="auto"/>
        </w:rPr>
        <w:t>” means, collectively, (a) the satisfaction and termination of the DIP ABL Credit Agreement and DIP Term Loan Credit Agreement and the Liens created in connection therewith (including the Cash Collateralization or backstopping of letters of credit thereunder), (b) the execution, delivery and performance of, the Existing Credit Agreement and the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554" w:right="299" w:bottom="1440" w:gutter="0" w:footer="0" w:header="0"/>
        </w:sectPr>
      </w:pPr>
    </w:p>
    <w:bookmarkStart w:id="65" w:name="page66"/>
    <w:bookmarkEnd w:id="65"/>
    <w:p>
      <w:pPr>
        <w:ind w:right="140"/>
        <w:spacing w:after="0" w:line="257" w:lineRule="auto"/>
        <w:rPr>
          <w:sz w:val="20"/>
          <w:szCs w:val="20"/>
          <w:color w:val="auto"/>
        </w:rPr>
      </w:pPr>
      <w:r>
        <w:rPr>
          <w:rFonts w:ascii="Arial" w:cs="Arial" w:eastAsia="Arial" w:hAnsi="Arial"/>
          <w:sz w:val="18"/>
          <w:szCs w:val="18"/>
          <w:color w:val="auto"/>
        </w:rPr>
        <w:t>other Loan Documents, (c) the consummation of the other transactions contemplated by the Chapter 11 Plan (except to the extent such transactions are waived in accordance with the terms of the Chapter 11 Plan) and the Confirmation Order and (d) all other related transactions including the payment of fees and expenses in connection therewith.</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Issuing Banks</w:t>
      </w:r>
      <w:r>
        <w:rPr>
          <w:rFonts w:ascii="Arial" w:cs="Arial" w:eastAsia="Arial" w:hAnsi="Arial"/>
          <w:sz w:val="18"/>
          <w:szCs w:val="18"/>
          <w:color w:val="auto"/>
        </w:rPr>
        <w:t>” means each Lender (or an Affiliate thereof) with a Letter of Credit Commitment on the Closing Date.</w:t>
      </w:r>
    </w:p>
    <w:p>
      <w:pPr>
        <w:spacing w:after="0" w:line="220" w:lineRule="exact"/>
        <w:rPr>
          <w:sz w:val="20"/>
          <w:szCs w:val="20"/>
          <w:color w:val="auto"/>
        </w:rPr>
      </w:pPr>
    </w:p>
    <w:p>
      <w:pPr>
        <w:ind w:right="12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specified in Section 4.01(i).</w:t>
      </w:r>
    </w:p>
    <w:p>
      <w:pPr>
        <w:spacing w:after="0" w:line="220" w:lineRule="exact"/>
        <w:rPr>
          <w:sz w:val="20"/>
          <w:szCs w:val="20"/>
          <w:color w:val="auto"/>
        </w:rPr>
      </w:pPr>
    </w:p>
    <w:p>
      <w:pPr>
        <w:ind w:right="80" w:firstLine="103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means collectively (a) the Term Loan Intercreditor Agreement, and (b) each other intercreditor agreement executed and delivered by the Agent in connection with the incurrence by the Company of Debt secured by other priority Liens in the Collateral permitted under Section 5.02(a)(ix); as such agreements may be amended, restated, supplemented, replaced or otherwise modified from time to time.</w:t>
      </w:r>
    </w:p>
    <w:p>
      <w:pPr>
        <w:spacing w:after="0" w:line="172" w:lineRule="exact"/>
        <w:rPr>
          <w:sz w:val="20"/>
          <w:szCs w:val="20"/>
          <w:color w:val="auto"/>
        </w:rPr>
      </w:pPr>
    </w:p>
    <w:p>
      <w:pPr>
        <w:ind w:right="20" w:firstLine="1034"/>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for each Eurodollar Rate Revolving Loan comprising part of the same Borrowing, the period commencing on the date of such Eurodollar Rate Revolving Loan or the date of the Conversion of any Base Rate Revolving Loan into such Eurodollar Rate Revolving Loan and ending on the last day of the period selected by Borrower pursuant to the provisions below and, thereafter, each subsequent period commencing on the last day of the immediately preceding Interest Period and ending on the last day of the period selected by Borrower pursuant to the provisions below. The duration of each such Interest Period shall be one, two, three or six months, and subject to clause (c) of this definition twelve months, as Borrower may, upon notice received by the Agent not later than 11:00 a.m. (New York City time) on the third Business Day prior to the first day of such Interest Period, select;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91" w:lineRule="exact"/>
        <w:rPr>
          <w:sz w:val="20"/>
          <w:szCs w:val="20"/>
          <w:color w:val="auto"/>
        </w:rPr>
      </w:pPr>
    </w:p>
    <w:p>
      <w:pPr>
        <w:ind w:left="1280" w:hanging="239"/>
        <w:spacing w:after="0"/>
        <w:tabs>
          <w:tab w:leader="none" w:pos="1280" w:val="left"/>
        </w:tabs>
        <w:numPr>
          <w:ilvl w:val="0"/>
          <w:numId w:val="38"/>
        </w:numPr>
        <w:rPr>
          <w:rFonts w:ascii="Arial" w:cs="Arial" w:eastAsia="Arial" w:hAnsi="Arial"/>
          <w:sz w:val="18"/>
          <w:szCs w:val="18"/>
          <w:color w:val="010000"/>
        </w:rPr>
      </w:pPr>
      <w:r>
        <w:rPr>
          <w:rFonts w:ascii="Arial" w:cs="Arial" w:eastAsia="Arial" w:hAnsi="Arial"/>
          <w:sz w:val="18"/>
          <w:szCs w:val="18"/>
          <w:color w:val="010000"/>
        </w:rPr>
        <w:t>Borrower may not select any Interest Period that ends after the Termination Date;</w:t>
      </w:r>
    </w:p>
    <w:p>
      <w:pPr>
        <w:spacing w:after="0" w:line="113" w:lineRule="exact"/>
        <w:rPr>
          <w:rFonts w:ascii="Arial" w:cs="Arial" w:eastAsia="Arial" w:hAnsi="Arial"/>
          <w:sz w:val="18"/>
          <w:szCs w:val="18"/>
          <w:color w:val="010000"/>
        </w:rPr>
      </w:pPr>
    </w:p>
    <w:p>
      <w:pPr>
        <w:ind w:left="1300" w:hanging="259"/>
        <w:spacing w:after="0"/>
        <w:tabs>
          <w:tab w:leader="none" w:pos="1300" w:val="left"/>
        </w:tabs>
        <w:numPr>
          <w:ilvl w:val="0"/>
          <w:numId w:val="38"/>
        </w:numPr>
        <w:rPr>
          <w:rFonts w:ascii="Arial" w:cs="Arial" w:eastAsia="Arial" w:hAnsi="Arial"/>
          <w:sz w:val="16"/>
          <w:szCs w:val="16"/>
          <w:color w:val="010000"/>
        </w:rPr>
      </w:pPr>
      <w:r>
        <w:rPr>
          <w:rFonts w:ascii="Arial" w:cs="Arial" w:eastAsia="Arial" w:hAnsi="Arial"/>
          <w:sz w:val="16"/>
          <w:szCs w:val="16"/>
          <w:color w:val="010000"/>
        </w:rPr>
        <w:t>Interest Periods commencing on the same date for Eurodollar Rate Revolving Loans comprising part of the same Borrowing shall be of the</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same duration;</w:t>
      </w:r>
    </w:p>
    <w:p>
      <w:pPr>
        <w:spacing w:after="0" w:line="102" w:lineRule="exact"/>
        <w:rPr>
          <w:rFonts w:ascii="Arial" w:cs="Arial" w:eastAsia="Arial" w:hAnsi="Arial"/>
          <w:sz w:val="16"/>
          <w:szCs w:val="16"/>
          <w:color w:val="010000"/>
        </w:rPr>
      </w:pPr>
    </w:p>
    <w:p>
      <w:pPr>
        <w:ind w:firstLine="1041"/>
        <w:spacing w:after="0" w:line="251" w:lineRule="auto"/>
        <w:tabs>
          <w:tab w:leader="none" w:pos="1276" w:val="left"/>
        </w:tabs>
        <w:numPr>
          <w:ilvl w:val="0"/>
          <w:numId w:val="38"/>
        </w:numPr>
        <w:rPr>
          <w:rFonts w:ascii="Arial" w:cs="Arial" w:eastAsia="Arial" w:hAnsi="Arial"/>
          <w:sz w:val="18"/>
          <w:szCs w:val="18"/>
          <w:color w:val="010000"/>
        </w:rPr>
      </w:pPr>
      <w:r>
        <w:rPr>
          <w:rFonts w:ascii="Arial" w:cs="Arial" w:eastAsia="Arial" w:hAnsi="Arial"/>
          <w:sz w:val="18"/>
          <w:szCs w:val="18"/>
          <w:color w:val="010000"/>
        </w:rPr>
        <w:t xml:space="preserve">Borrower shall not be entitled to select an Interest Period having duration of twelve months unless, by 2:00 p.m. (New York City time) on the third Business Day prior to the first day of such Interest Period, each Lender notifies the Agent that such Lender will be providing funding for such Borrowing with such Interest Period (the failure of any Lender to so respond by such time being deemed for all purposes of this Agreement as an objection by such Lender to the requested duration of such Interest Period);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if any or all of the Lenders object to the requested duration of such Interest Period, the duration of the Interest Period for such Borrowing shall be one, two, three or six months, as specified by Borrower in the applicable Notice of Borrowing as the desired alternative to an Interest Period of twelve months;</w:t>
      </w:r>
    </w:p>
    <w:p>
      <w:pPr>
        <w:spacing w:after="0" w:line="87" w:lineRule="exact"/>
        <w:rPr>
          <w:rFonts w:ascii="Arial" w:cs="Arial" w:eastAsia="Arial" w:hAnsi="Arial"/>
          <w:sz w:val="18"/>
          <w:szCs w:val="18"/>
          <w:color w:val="010000"/>
        </w:rPr>
      </w:pPr>
    </w:p>
    <w:p>
      <w:pPr>
        <w:jc w:val="both"/>
        <w:ind w:right="200" w:firstLine="1041"/>
        <w:spacing w:after="0" w:line="304" w:lineRule="auto"/>
        <w:tabs>
          <w:tab w:leader="none" w:pos="1286" w:val="left"/>
        </w:tabs>
        <w:numPr>
          <w:ilvl w:val="0"/>
          <w:numId w:val="38"/>
        </w:numPr>
        <w:rPr>
          <w:rFonts w:ascii="Arial" w:cs="Arial" w:eastAsia="Arial" w:hAnsi="Arial"/>
          <w:sz w:val="16"/>
          <w:szCs w:val="16"/>
          <w:color w:val="010000"/>
        </w:rPr>
      </w:pPr>
      <w:r>
        <w:rPr>
          <w:rFonts w:ascii="Arial" w:cs="Arial" w:eastAsia="Arial" w:hAnsi="Arial"/>
          <w:sz w:val="16"/>
          <w:szCs w:val="16"/>
          <w:color w:val="010000"/>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if such extension would cause the last day of such Interest Period to occur in the next following calendar month, the last day of such Interest Period shall occur on the next preceding Business Day; and</w:t>
      </w:r>
    </w:p>
    <w:p>
      <w:pPr>
        <w:spacing w:after="0" w:line="47" w:lineRule="exact"/>
        <w:rPr>
          <w:rFonts w:ascii="Arial" w:cs="Arial" w:eastAsia="Arial" w:hAnsi="Arial"/>
          <w:sz w:val="16"/>
          <w:szCs w:val="16"/>
          <w:color w:val="010000"/>
        </w:rPr>
      </w:pPr>
    </w:p>
    <w:p>
      <w:pPr>
        <w:ind w:right="40" w:firstLine="1041"/>
        <w:spacing w:after="0" w:line="257" w:lineRule="auto"/>
        <w:tabs>
          <w:tab w:leader="none" w:pos="1276" w:val="left"/>
        </w:tabs>
        <w:numPr>
          <w:ilvl w:val="0"/>
          <w:numId w:val="38"/>
        </w:numPr>
        <w:rPr>
          <w:rFonts w:ascii="Arial" w:cs="Arial" w:eastAsia="Arial" w:hAnsi="Arial"/>
          <w:sz w:val="18"/>
          <w:szCs w:val="18"/>
          <w:color w:val="010000"/>
        </w:rPr>
      </w:pPr>
      <w:r>
        <w:rPr>
          <w:rFonts w:ascii="Arial" w:cs="Arial" w:eastAsia="Arial" w:hAnsi="Arial"/>
          <w:sz w:val="18"/>
          <w:szCs w:val="18"/>
          <w:color w:val="010000"/>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has the meaning specified in the UCC.</w:t>
      </w:r>
    </w:p>
    <w:p>
      <w:pPr>
        <w:spacing w:after="0" w:line="220" w:lineRule="exact"/>
        <w:rPr>
          <w:sz w:val="20"/>
          <w:szCs w:val="20"/>
          <w:color w:val="auto"/>
        </w:rPr>
      </w:pPr>
    </w:p>
    <w:p>
      <w:pPr>
        <w:ind w:right="20" w:firstLine="103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 Value</w:t>
      </w:r>
      <w:r>
        <w:rPr>
          <w:rFonts w:ascii="Arial" w:cs="Arial" w:eastAsia="Arial" w:hAnsi="Arial"/>
          <w:sz w:val="17"/>
          <w:szCs w:val="17"/>
          <w:color w:val="auto"/>
        </w:rPr>
        <w:t>” means with respect to any Inventory of Borrower or any Designated Guarantor at the time of any determination thereof, the standard cost determined on a first in first out basis and carried on the general ledger or inventory system of such Loan Party stated on a basis consistent with its current and historical accounting practices, in Dollars, determined in accordance with the standard cost method of accounting less, without duplication, (i) any markup on Inventory from an Affiliate and (ii) in the event variances under the standard cost method are expensed, a Reserve reasonably determined by the Agent as appropriate in order to adjust the standard cost of Eligible Inventory to approximate actual cost.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6" w:name="page67"/>
    <w:bookmarkEnd w:id="66"/>
    <w:p>
      <w:pPr>
        <w:ind w:right="80"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by any Person means any purchase, holding or acquisition (including pursuant to any merger with any other Person that was not a wholly owned Subsidiary prior to such merger) of any equity interests in or evidence of Debt or other securities (including any option, warrant or other right to acquire any of the foregoing) of, the making of or permitting to exist any loans or advances to, the guarantee of any obligations of, or the making of or permitting to exist any investment or any other interest in, any other Person, or any purchase or other acquisition of (in one transaction or a series of related transactions) any assets of any other Person constituting a business unit.</w:t>
      </w:r>
    </w:p>
    <w:p>
      <w:pPr>
        <w:spacing w:after="0" w:line="193" w:lineRule="exact"/>
        <w:rPr>
          <w:sz w:val="20"/>
          <w:szCs w:val="20"/>
          <w:color w:val="auto"/>
        </w:rPr>
      </w:pPr>
    </w:p>
    <w:p>
      <w:pPr>
        <w:ind w:right="1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w:t>
      </w:r>
      <w:r>
        <w:rPr>
          <w:rFonts w:ascii="Arial" w:cs="Arial" w:eastAsia="Arial" w:hAnsi="Arial"/>
          <w:sz w:val="18"/>
          <w:szCs w:val="18"/>
          <w:color w:val="auto"/>
        </w:rPr>
        <w:t>” with respect to any Letter of Credit means the issuance, amendment, renewal or extension of such Letter of Credit.</w:t>
      </w:r>
    </w:p>
    <w:p>
      <w:pPr>
        <w:spacing w:after="0" w:line="220" w:lineRule="exact"/>
        <w:rPr>
          <w:sz w:val="20"/>
          <w:szCs w:val="20"/>
          <w:color w:val="auto"/>
        </w:rPr>
      </w:pPr>
    </w:p>
    <w:p>
      <w:pPr>
        <w:ind w:right="40" w:firstLine="103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an Initial Issuing Bank, any Eligible Assignee to which a portion of the Letter of Credit Commitment hereunder has been assigned pursuant to Section 9.08 or any other Lender (or an Affiliate thereof) so long as such Eligible Assignee or Lender (or Affiliate thereof) expressly agrees to perform in accordance with their terms all of the obligations that by the terms of this Agreement are required to be performed by it as an Issuing Bank and notifies the Agent of its Applicable Lending Office (which information shall be recorded by the Agent in the Register), for so long as such Initial Issuing Bank, Eligible Assignee or Lender (or Affiliate thereof), as the case may be, shall have a Letter of Credit Commitment.</w:t>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KPP Accounts</w:t>
      </w:r>
      <w:r>
        <w:rPr>
          <w:rFonts w:ascii="Arial" w:cs="Arial" w:eastAsia="Arial" w:hAnsi="Arial"/>
          <w:sz w:val="17"/>
          <w:szCs w:val="17"/>
          <w:color w:val="auto"/>
        </w:rPr>
        <w:t>” means all Accounts owing to Borrower or any Designated Guarantor by KPP Holdco Limited or any of its direct or indirect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09" w:lineRule="exact"/>
        <w:rPr>
          <w:sz w:val="20"/>
          <w:szCs w:val="20"/>
          <w:color w:val="auto"/>
        </w:rPr>
      </w:pPr>
    </w:p>
    <w:p>
      <w:pPr>
        <w:ind w:right="20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KPP Account Eligibility Date</w:t>
      </w:r>
      <w:r>
        <w:rPr>
          <w:rFonts w:ascii="Arial" w:cs="Arial" w:eastAsia="Arial" w:hAnsi="Arial"/>
          <w:sz w:val="18"/>
          <w:szCs w:val="18"/>
          <w:color w:val="auto"/>
        </w:rPr>
        <w:t>” means the earlier of (a) the date that Agent and Borrower agree that KPP Accounts shall not be excluded from the definition of Eligible Receivables solely because they are KPP Accounts or (b) Borrower has certified to Agent for the benefit of Agent and the Secured Parties that the Tolling Agreements (as defined in the Stock and Asset Purchase Agreement) have been terminated (other than pursuant to an event of default thereunder) pursuant to the KPP Settlement Agreement.</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KPP Global Settlement</w:t>
      </w:r>
      <w:r>
        <w:rPr>
          <w:rFonts w:ascii="Arial" w:cs="Arial" w:eastAsia="Arial" w:hAnsi="Arial"/>
          <w:sz w:val="18"/>
          <w:szCs w:val="18"/>
          <w:color w:val="auto"/>
        </w:rPr>
        <w:t>” has the meaning specified in the Chapter 11 Plan.</w:t>
      </w:r>
    </w:p>
    <w:p>
      <w:pPr>
        <w:spacing w:after="0" w:line="220" w:lineRule="exact"/>
        <w:rPr>
          <w:sz w:val="20"/>
          <w:szCs w:val="20"/>
          <w:color w:val="auto"/>
        </w:rPr>
      </w:pPr>
    </w:p>
    <w:p>
      <w:pPr>
        <w:ind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KPP Settlement Agreement</w:t>
      </w:r>
      <w:r>
        <w:rPr>
          <w:rFonts w:ascii="Arial" w:cs="Arial" w:eastAsia="Arial" w:hAnsi="Arial"/>
          <w:sz w:val="18"/>
          <w:szCs w:val="18"/>
          <w:color w:val="auto"/>
        </w:rPr>
        <w:t xml:space="preserve">” means (a) the Stock and Asset Purchase Agreement; (b) the Settlement Agreement, among the Borrower, Kodak Limited, KPP Trustees Limited, Kodak International Finance Limited and Kodak Polychrome Graphics Finance UK Limited, each dated April 26, 2013; and (c) any related contract, agreement, deed and undertaking described in either of the foregoing to the extent entered into in conjunction with the consummation of the transactions and agreements contemplated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documents set forth in clauses (a) through (b) may be modified or amended from time to time, which agreements implement the KPP Global Settlement.</w:t>
      </w:r>
    </w:p>
    <w:p>
      <w:pPr>
        <w:spacing w:after="0" w:line="193" w:lineRule="exact"/>
        <w:rPr>
          <w:sz w:val="20"/>
          <w:szCs w:val="20"/>
          <w:color w:val="auto"/>
        </w:rPr>
      </w:pPr>
    </w:p>
    <w:p>
      <w:pPr>
        <w:ind w:right="44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Cash Deposit Account</w:t>
      </w:r>
      <w:r>
        <w:rPr>
          <w:rFonts w:ascii="Arial" w:cs="Arial" w:eastAsia="Arial" w:hAnsi="Arial"/>
          <w:sz w:val="18"/>
          <w:szCs w:val="18"/>
          <w:color w:val="auto"/>
        </w:rPr>
        <w:t>” means an interest bearing cash deposit account to be established and maintained by the Agent, over which the Agent, as provided in Section 6.02, shall have sole dominion and control, upon terms as may be satisfactory to the Agent.</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Related Documents</w:t>
      </w:r>
      <w:r>
        <w:rPr>
          <w:rFonts w:ascii="Arial" w:cs="Arial" w:eastAsia="Arial" w:hAnsi="Arial"/>
          <w:sz w:val="18"/>
          <w:szCs w:val="18"/>
          <w:color w:val="auto"/>
        </w:rPr>
        <w:t>” has the meaning specified in Section 2.06(a).</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w:t>
      </w:r>
      <w:r>
        <w:rPr>
          <w:rFonts w:ascii="Arial" w:cs="Arial" w:eastAsia="Arial" w:hAnsi="Arial"/>
          <w:sz w:val="16"/>
          <w:szCs w:val="16"/>
          <w:color w:val="auto"/>
        </w:rPr>
        <w:t>” means any agreement pursuant to which a Loan Party is entitled to the use or occupancy of any real property for any period of time.</w:t>
      </w:r>
    </w:p>
    <w:p>
      <w:pPr>
        <w:spacing w:after="0" w:line="24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Appointment Period</w:t>
      </w:r>
      <w:r>
        <w:rPr>
          <w:rFonts w:ascii="Arial" w:cs="Arial" w:eastAsia="Arial" w:hAnsi="Arial"/>
          <w:sz w:val="18"/>
          <w:szCs w:val="18"/>
          <w:color w:val="auto"/>
        </w:rPr>
        <w:t>” has the meaning specified in Section 8.07(a).</w:t>
      </w:r>
    </w:p>
    <w:p>
      <w:pPr>
        <w:spacing w:after="0" w:line="220" w:lineRule="exact"/>
        <w:rPr>
          <w:sz w:val="20"/>
          <w:szCs w:val="20"/>
          <w:color w:val="auto"/>
        </w:rPr>
      </w:pPr>
    </w:p>
    <w:p>
      <w:pPr>
        <w:ind w:firstLine="103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Insolvency Event</w:t>
      </w:r>
      <w:r>
        <w:rPr>
          <w:rFonts w:ascii="Arial" w:cs="Arial" w:eastAsia="Arial" w:hAnsi="Arial"/>
          <w:sz w:val="16"/>
          <w:szCs w:val="16"/>
          <w:color w:val="auto"/>
        </w:rPr>
        <w:t>” 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winding up or similar proceeding, or a receiver, interim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pacing w:after="0" w:line="165" w:lineRule="exact"/>
        <w:rPr>
          <w:sz w:val="20"/>
          <w:szCs w:val="20"/>
          <w:color w:val="auto"/>
        </w:rPr>
      </w:pPr>
    </w:p>
    <w:p>
      <w:pPr>
        <w:ind w:right="540" w:firstLine="1034"/>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has the meaning in the introductory paragraph hereto, and shall include each Assuming Lender that shall become a party hereto pursuant to Section 2.21, each Issuing Bank and each Person that shall become a party hereto pursuant to Section 9.08.</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67" w:name="page68"/>
    <w:bookmarkEnd w:id="67"/>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or commercial letter of credit issued under the Letter of Credit Facility</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specified in Section 2.03(a).</w:t>
      </w:r>
    </w:p>
    <w:p>
      <w:pPr>
        <w:spacing w:after="0" w:line="220" w:lineRule="exact"/>
        <w:rPr>
          <w:sz w:val="20"/>
          <w:szCs w:val="20"/>
          <w:color w:val="auto"/>
        </w:rPr>
      </w:pPr>
    </w:p>
    <w:p>
      <w:pPr>
        <w:ind w:right="140" w:firstLine="10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Commitment</w:t>
      </w:r>
      <w:r>
        <w:rPr>
          <w:rFonts w:ascii="Arial" w:cs="Arial" w:eastAsia="Arial" w:hAnsi="Arial"/>
          <w:sz w:val="17"/>
          <w:szCs w:val="17"/>
          <w:color w:val="auto"/>
        </w:rPr>
        <w:t xml:space="preserve">” means, with respect to each Issuing Bank, the obligation of such Issuing Bank to issue Letters of Credit for the account of the Company and its Subsidiaries in (a) the amount set forth opposite such Issuing Bank’s name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under the caption “Letter of Credit Commitment” or (b) if such Issuing Bank has entered into one or more Assignment and Acceptances or is a Lender that has become an Issuing Bank after the Closing Date in accordance with the definition of “Issuing Bank”, the amount set forth for such Issuing Bank in the Register maintained by the Agent pursuant to Section 9.08(e) as such Issuing Bank’s “Letter of Credit Commitment”, in each case as such amount may be reduced prior to such time pursuant to Section 2.05, and in any event shall not be more than the amount of the Letter of Credit Facility.</w:t>
      </w:r>
    </w:p>
    <w:p>
      <w:pPr>
        <w:spacing w:after="0" w:line="179" w:lineRule="exact"/>
        <w:rPr>
          <w:sz w:val="20"/>
          <w:szCs w:val="20"/>
          <w:color w:val="auto"/>
        </w:rPr>
      </w:pPr>
    </w:p>
    <w:p>
      <w:pPr>
        <w:ind w:right="1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Facility</w:t>
      </w:r>
      <w:r>
        <w:rPr>
          <w:rFonts w:ascii="Arial" w:cs="Arial" w:eastAsia="Arial" w:hAnsi="Arial"/>
          <w:sz w:val="18"/>
          <w:szCs w:val="18"/>
          <w:color w:val="auto"/>
        </w:rPr>
        <w:t>” means, at any time, an amount equal to the lesser of (a) $150,000,000 and (b) the aggregate amount of the Revolving Credit Commitments, as such amount may be reduced at or prior to such time pursuant to Section 2.05.</w:t>
      </w:r>
    </w:p>
    <w:p>
      <w:pPr>
        <w:spacing w:after="0" w:line="180" w:lineRule="exact"/>
        <w:rPr>
          <w:sz w:val="20"/>
          <w:szCs w:val="20"/>
          <w:color w:val="auto"/>
        </w:rPr>
      </w:pPr>
    </w:p>
    <w:p>
      <w:pPr>
        <w:jc w:val="both"/>
        <w:ind w:right="4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 Rate</w:t>
      </w:r>
      <w:r>
        <w:rPr>
          <w:rFonts w:ascii="Arial" w:cs="Arial" w:eastAsia="Arial" w:hAnsi="Arial"/>
          <w:sz w:val="18"/>
          <w:szCs w:val="18"/>
          <w:color w:val="auto"/>
        </w:rPr>
        <w:t xml:space="preserve">” means 2.625%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on and after the first Adjustment Date, the Letter of Credit Fee Rate will be the rate per annum as determined pursuant to the pricing grid below based upon the average daily Excess Availability for the most recently ended fiscal quarter immediately preceding such Adjustment Date:</w:t>
      </w:r>
    </w:p>
    <w:p>
      <w:pPr>
        <w:spacing w:after="0" w:line="181" w:lineRule="exact"/>
        <w:rPr>
          <w:sz w:val="20"/>
          <w:szCs w:val="20"/>
          <w:color w:val="auto"/>
        </w:rPr>
      </w:pPr>
    </w:p>
    <w:tbl>
      <w:tblPr>
        <w:tblLayout w:type="fixed"/>
        <w:tblInd w:w="1170" w:type="dxa"/>
        <w:tblCellMar>
          <w:top w:w="0" w:type="dxa"/>
          <w:left w:w="0" w:type="dxa"/>
          <w:bottom w:w="0" w:type="dxa"/>
          <w:right w:w="0" w:type="dxa"/>
        </w:tblCellMar>
      </w:tblPr>
      <w:tr>
        <w:trPr>
          <w:trHeight w:val="141"/>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6500" w:type="dxa"/>
            <w:vAlign w:val="bottom"/>
            <w:tcBorders>
              <w:top w:val="single" w:sz="8" w:color="auto"/>
              <w:right w:val="single" w:sz="8" w:color="auto"/>
            </w:tcBorders>
          </w:tcPr>
          <w:p>
            <w:pPr>
              <w:ind w:left="2620"/>
              <w:spacing w:after="0" w:line="141" w:lineRule="exact"/>
              <w:rPr>
                <w:sz w:val="20"/>
                <w:szCs w:val="20"/>
                <w:color w:val="auto"/>
              </w:rPr>
            </w:pPr>
            <w:r>
              <w:rPr>
                <w:rFonts w:ascii="Arial" w:cs="Arial" w:eastAsia="Arial" w:hAnsi="Arial"/>
                <w:sz w:val="14"/>
                <w:szCs w:val="14"/>
                <w:color w:val="auto"/>
              </w:rPr>
              <w:t>Average Daily Excess</w:t>
            </w:r>
          </w:p>
        </w:tc>
        <w:tc>
          <w:tcPr>
            <w:tcW w:w="172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Letter of Credit</w:t>
            </w:r>
          </w:p>
        </w:tc>
      </w:tr>
      <w:tr>
        <w:trPr>
          <w:trHeight w:val="165"/>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Tier</w:t>
            </w:r>
          </w:p>
        </w:tc>
        <w:tc>
          <w:tcPr>
            <w:tcW w:w="6500" w:type="dxa"/>
            <w:vAlign w:val="bottom"/>
            <w:tcBorders>
              <w:bottom w:val="single" w:sz="8" w:color="auto"/>
              <w:right w:val="single" w:sz="8" w:color="auto"/>
            </w:tcBorders>
          </w:tcPr>
          <w:p>
            <w:pPr>
              <w:ind w:left="2900"/>
              <w:spacing w:after="0"/>
              <w:rPr>
                <w:sz w:val="20"/>
                <w:szCs w:val="20"/>
                <w:color w:val="auto"/>
              </w:rPr>
            </w:pPr>
            <w:r>
              <w:rPr>
                <w:rFonts w:ascii="Arial" w:cs="Arial" w:eastAsia="Arial" w:hAnsi="Arial"/>
                <w:sz w:val="14"/>
                <w:szCs w:val="14"/>
                <w:color w:val="auto"/>
              </w:rPr>
              <w:t>Availability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Fee Rate</w:t>
            </w:r>
          </w:p>
        </w:tc>
      </w:tr>
      <w:tr>
        <w:trPr>
          <w:trHeight w:val="313"/>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Greater than 66 2/3% of the Revolving Credit Facility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2.125%</w:t>
            </w:r>
          </w:p>
        </w:tc>
      </w:tr>
      <w:tr>
        <w:trPr>
          <w:trHeight w:val="302"/>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Equal to or greater than 33% of the Revolving Credit Facility but less than or equal to 66</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2.375%</w:t>
            </w:r>
          </w:p>
        </w:tc>
      </w:tr>
      <w:tr>
        <w:trPr>
          <w:trHeight w:val="225"/>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2/3% of the Revolving Credit Facility</w:t>
            </w:r>
          </w:p>
        </w:tc>
        <w:tc>
          <w:tcPr>
            <w:tcW w:w="1720" w:type="dxa"/>
            <w:vAlign w:val="bottom"/>
            <w:tcBorders>
              <w:bottom w:val="single" w:sz="8" w:color="auto"/>
              <w:right w:val="single" w:sz="8" w:color="auto"/>
            </w:tcBorders>
          </w:tcPr>
          <w:p>
            <w:pPr>
              <w:spacing w:after="0"/>
              <w:rPr>
                <w:sz w:val="19"/>
                <w:szCs w:val="19"/>
                <w:color w:val="auto"/>
              </w:rPr>
            </w:pPr>
          </w:p>
        </w:tc>
      </w:tr>
      <w:tr>
        <w:trPr>
          <w:trHeight w:val="313"/>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Less than 33% of the Revolving Credit Facility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2.625%</w:t>
            </w:r>
          </w:p>
        </w:tc>
      </w:tr>
    </w:tbl>
    <w:p>
      <w:pPr>
        <w:spacing w:after="0" w:line="201" w:lineRule="exact"/>
        <w:rPr>
          <w:sz w:val="20"/>
          <w:szCs w:val="20"/>
          <w:color w:val="auto"/>
        </w:rPr>
      </w:pPr>
    </w:p>
    <w:p>
      <w:pPr>
        <w:ind w:right="120" w:firstLine="1034"/>
        <w:spacing w:after="0" w:line="251" w:lineRule="auto"/>
        <w:rPr>
          <w:sz w:val="20"/>
          <w:szCs w:val="20"/>
          <w:color w:val="auto"/>
        </w:rPr>
      </w:pPr>
      <w:r>
        <w:rPr>
          <w:rFonts w:ascii="Arial" w:cs="Arial" w:eastAsia="Arial" w:hAnsi="Arial"/>
          <w:sz w:val="18"/>
          <w:szCs w:val="18"/>
          <w:color w:val="auto"/>
        </w:rPr>
        <w:t xml:space="preserve">Any change in the Letter of Credit Fee Rate resulting from changes in average daily Excess Availability shall become effective on the Adjustment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first Adjustment Date shall occur on the first day of the calendar month following the first full fiscal quarter after the Closing Date. If the Agent is unable to calculate average daily Excess Availability for a fiscal quarter due to Borrower’s failure to deliver any Borrowing Base Certificate when required hereunder, then, at the option of the Agent or the Required Lenders, the Letter of Credit Fee Rate shall be determined as if Tier III (rather than the Tier applicable for the prior period) were applicable until the first day of the calendar month following the receipt of the applicable Borrowing Base Certificate.</w:t>
      </w:r>
    </w:p>
    <w:p>
      <w:pPr>
        <w:spacing w:after="0" w:line="195" w:lineRule="exact"/>
        <w:rPr>
          <w:sz w:val="20"/>
          <w:szCs w:val="20"/>
          <w:color w:val="auto"/>
        </w:rPr>
      </w:pPr>
    </w:p>
    <w:p>
      <w:pPr>
        <w:ind w:right="60" w:firstLine="1034"/>
        <w:spacing w:after="0" w:line="252" w:lineRule="auto"/>
        <w:rPr>
          <w:sz w:val="20"/>
          <w:szCs w:val="20"/>
          <w:color w:val="auto"/>
        </w:rPr>
      </w:pPr>
      <w:r>
        <w:rPr>
          <w:rFonts w:ascii="Arial" w:cs="Arial" w:eastAsia="Arial" w:hAnsi="Arial"/>
          <w:sz w:val="18"/>
          <w:szCs w:val="18"/>
          <w:color w:val="auto"/>
        </w:rPr>
        <w:t>In the event that at any time after the end of a fiscal quarter it is discovered that the average daily Excess Availability for such fiscal quarter used for the determination of the Letter of Credit Fee Rate was less than the actual amount of the average daily Excess Availability for such fiscal quarter used to calculate the Letter of Credit Fee Rate, the Letter of Credit Fee Rate for such prior fiscal quarter shall be adjusted to the applicable percentage based on such actual average daily Excess Availability for such fiscal quarter and any additional commission for the applicable period payable as a result of such recalculation shall be promptly paid to the Lenders.</w:t>
      </w:r>
    </w:p>
    <w:p>
      <w:pPr>
        <w:spacing w:after="0" w:line="193" w:lineRule="exact"/>
        <w:rPr>
          <w:sz w:val="20"/>
          <w:szCs w:val="20"/>
          <w:color w:val="auto"/>
        </w:rPr>
      </w:pPr>
    </w:p>
    <w:p>
      <w:pPr>
        <w:ind w:right="40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Obligations</w:t>
      </w:r>
      <w:r>
        <w:rPr>
          <w:rFonts w:ascii="Arial" w:cs="Arial" w:eastAsia="Arial" w:hAnsi="Arial"/>
          <w:sz w:val="18"/>
          <w:szCs w:val="18"/>
          <w:color w:val="auto"/>
        </w:rPr>
        <w:t>” means, at any time, the sum of (i) the Available Amount of all Letters of Credit issued and outstanding and, without duplication, (ii) the aggregate amount of all amounts drawn under Letters of Credit that have not been reimbursed by the Company or converted to Revolving Loans.</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“Eurodollar Base Rate”.</w:t>
      </w:r>
    </w:p>
    <w:p>
      <w:pPr>
        <w:spacing w:after="0" w:line="220" w:lineRule="exact"/>
        <w:rPr>
          <w:sz w:val="20"/>
          <w:szCs w:val="20"/>
          <w:color w:val="auto"/>
        </w:rPr>
      </w:pPr>
    </w:p>
    <w:p>
      <w:pPr>
        <w:ind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lease having substantially the same economic effect as any of the foregoing) relating to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no event shall an operating lease or an agreement to sell be deemed to constitute a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Liens shall not include any license, sublicense, release, immunity or covenant not to sue or with respect to intellectual property (including any Intellectual Property).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8" w:name="page69"/>
    <w:bookmarkEnd w:id="68"/>
    <w:p>
      <w:pPr>
        <w:ind w:right="20" w:firstLine="103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 Waiver</w:t>
      </w:r>
      <w:r>
        <w:rPr>
          <w:rFonts w:ascii="Arial" w:cs="Arial" w:eastAsia="Arial" w:hAnsi="Arial"/>
          <w:sz w:val="16"/>
          <w:szCs w:val="16"/>
          <w:color w:val="auto"/>
        </w:rPr>
        <w:t>” means a customary agreement, in form and substance reasonably satisfactory to the Agent, by which (a) for any ABL Priority Collateral located on leased premises, the lessor waives or subordinates any Lien it may have on the ABL Priority Collateral, and agrees to permit the Agent to enter upon the premises and remove the ABL Priority Collateral or to use the premises to store or Dispose of the ABL Priority Collateral; (b) for any ABL Priority Collateral held by a warehouseman, processor, shipper, customs broker or freight forwarder, such Person waives or subordinates any Lien it may have on the ABL Priority Collateral, agrees to hold any Documents in its possession relating to the ABL Priority Collateral as agent for the Agent, and agrees to deliver the ABL Priority Collateral to the Agent upon request; (c) for any ABL Priority Collateral held by a repairman, mechanic or bailee, such Person acknowledges the Agent’s Lien, waives or subordinates any Lien it may have on the ABL Priority Collateral, and agrees to deliver the ABL Priority Collateral to the Agent upon request; and (d) for any ABL Priority Collateral subject to a licensor’s Intellectual Property rights, the licensor grants to the Agent the right, vis-à-vis such licensor, to enforce the Agent’s Liens with respect to the ABL Priority Collateral, including the right to dispose of it with the benefit of the Intellectual Property, whether or not a default exists under the applicable license.</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Line Cap</w:t>
      </w:r>
      <w:r>
        <w:rPr>
          <w:rFonts w:ascii="Arial" w:cs="Arial" w:eastAsia="Arial" w:hAnsi="Arial"/>
          <w:sz w:val="17"/>
          <w:szCs w:val="17"/>
          <w:color w:val="auto"/>
        </w:rPr>
        <w:t>” means, at any time, the lesser of (a) the Borrowing Base and (b) the aggregate Revolving Credit Commitments of all Lenders.</w:t>
      </w:r>
    </w:p>
    <w:p>
      <w:pPr>
        <w:spacing w:after="0" w:line="231" w:lineRule="exact"/>
        <w:rPr>
          <w:sz w:val="20"/>
          <w:szCs w:val="20"/>
          <w:color w:val="auto"/>
        </w:rPr>
      </w:pPr>
    </w:p>
    <w:p>
      <w:pPr>
        <w:ind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means the exercise by the Agent of those rights and remedies accorded to the Agent under the Loan Documents and applicable laws as a creditor of the Loan Parties with respect to the realization of the Collateral, including (after the occurrence and during the continuation of an Event of Default) the conduct by the Loan Parties acting with the consent of the Agent, of any public, private or other similar sale or other Disposition of the Collateral for the purpose of liquidating the Collateral.</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w:t>
      </w:r>
      <w:r>
        <w:rPr>
          <w:rFonts w:ascii="Arial" w:cs="Arial" w:eastAsia="Arial" w:hAnsi="Arial"/>
          <w:sz w:val="17"/>
          <w:szCs w:val="17"/>
          <w:color w:val="auto"/>
        </w:rPr>
        <w:t>” means, at any time, (a) the sum of (i) Line Cap plus (ii) US Cash, minus (b) the Revolving Credit Facility Usage at such time.</w:t>
      </w:r>
    </w:p>
    <w:p>
      <w:pPr>
        <w:spacing w:after="0" w:line="231" w:lineRule="exact"/>
        <w:rPr>
          <w:sz w:val="20"/>
          <w:szCs w:val="20"/>
          <w:color w:val="auto"/>
        </w:rPr>
      </w:pPr>
    </w:p>
    <w:p>
      <w:pPr>
        <w:ind w:right="16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(a) this Agreement, (b) the Notes, (c) Collateral Documents, (d) all Intercreditor Agreements, and (e) each Letter of Credit Agreement, and each other document and instrument delivered in connection herewith on or after the Initial Closing Date, in each case as amended, restated, supplemented or otherwise modified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Bank Product Agreement or a Specified Secured Creditor Agreement is a Loan Document.</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Borrower and Guarantors.</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 Materials</w:t>
      </w:r>
      <w:r>
        <w:rPr>
          <w:rFonts w:ascii="Arial" w:cs="Arial" w:eastAsia="Arial" w:hAnsi="Arial"/>
          <w:sz w:val="18"/>
          <w:szCs w:val="18"/>
          <w:color w:val="auto"/>
        </w:rPr>
        <w:t>” has the meaning specified in Section 5.01(h).</w:t>
      </w:r>
    </w:p>
    <w:p>
      <w:pPr>
        <w:spacing w:after="0" w:line="220" w:lineRule="exact"/>
        <w:rPr>
          <w:sz w:val="20"/>
          <w:szCs w:val="20"/>
          <w:color w:val="auto"/>
        </w:rPr>
      </w:pPr>
    </w:p>
    <w:p>
      <w:pPr>
        <w:ind w:right="100" w:firstLine="10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Value</w:t>
      </w:r>
      <w:r>
        <w:rPr>
          <w:rFonts w:ascii="Arial" w:cs="Arial" w:eastAsia="Arial" w:hAnsi="Arial"/>
          <w:sz w:val="18"/>
          <w:szCs w:val="18"/>
          <w:color w:val="auto"/>
        </w:rPr>
        <w:t>” means, at any time of determination, an amount (calculated based on the most recent Borrowing Base Certificate delivered to the Agent in accordance with this Agreement) equal to (a) with respect to Eligible Receivables of Borrower and Designated Guarantors, 85% of the Value of Eligible Receivables less the applicable Dilution Reserve plus (b) with respect to Eligible Inventory of Borrower and Designated Guarantors, the lesser of (i) 75% of the Value of Eligible Inventory and (ii) 85% of the Net Orderly Liquidation Value of Eligible Inventory (based on the then most recent independent inventory appraisal) on any date of determination plus (c) Equipment Availability, plus (d) 100% of the amount of the Eligible Cash in the Pledged Cash Account (Eligible Cash).</w:t>
      </w:r>
    </w:p>
    <w:p>
      <w:pPr>
        <w:spacing w:after="0" w:line="19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specified in Regulation U of the Board of Governors.</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Disruption Event</w:t>
      </w:r>
      <w:r>
        <w:rPr>
          <w:rFonts w:ascii="Arial" w:cs="Arial" w:eastAsia="Arial" w:hAnsi="Arial"/>
          <w:sz w:val="18"/>
          <w:szCs w:val="18"/>
          <w:color w:val="auto"/>
        </w:rPr>
        <w:t>” has the meaning specified in Section 2.08(b).</w:t>
      </w:r>
    </w:p>
    <w:p>
      <w:pPr>
        <w:spacing w:after="0" w:line="220" w:lineRule="exact"/>
        <w:rPr>
          <w:sz w:val="20"/>
          <w:szCs w:val="20"/>
          <w:color w:val="auto"/>
        </w:rPr>
      </w:pPr>
    </w:p>
    <w:p>
      <w:pPr>
        <w:ind w:right="280" w:firstLine="103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condition (financial or otherwise), operations, performance or properties of the Company and its Consolidated Subsidiaries taken as a whole, (b) the rights and remedies of the Agent or any Lender under any Loan Document or (c) the ability of any Loan Party to perform its obligations under any Loan Document to which it is a party.</w:t>
      </w:r>
    </w:p>
    <w:p>
      <w:pPr>
        <w:spacing w:after="0" w:line="172" w:lineRule="exact"/>
        <w:rPr>
          <w:sz w:val="20"/>
          <w:szCs w:val="20"/>
          <w:color w:val="auto"/>
        </w:rPr>
      </w:pPr>
    </w:p>
    <w:p>
      <w:pPr>
        <w:ind w:right="3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First-Tier Foreign Subsidiary</w:t>
      </w:r>
      <w:r>
        <w:rPr>
          <w:rFonts w:ascii="Arial" w:cs="Arial" w:eastAsia="Arial" w:hAnsi="Arial"/>
          <w:sz w:val="18"/>
          <w:szCs w:val="18"/>
          <w:color w:val="auto"/>
        </w:rPr>
        <w:t>” means any Foreign Subsidiary or Qualified CFC Holding Company that is owned directly by or on behalf of the Borrower or any Guarantor and is not an Immaterial Subsidiary.</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Restricted Subsidiary other than an Immaterial Subsidiary.</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May 26, 2021.</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specified in Section 2.08(i).</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554" w:right="339" w:bottom="1440" w:gutter="0" w:footer="0" w:header="0"/>
        </w:sectPr>
      </w:pPr>
    </w:p>
    <w:bookmarkStart w:id="69" w:name="page70"/>
    <w:bookmarkEnd w:id="69"/>
    <w:p>
      <w:pPr>
        <w:jc w:val="both"/>
        <w:ind w:right="2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fiscal quarters for which financial statements have been delivered or are required to be delivered (or, with respect to determinations to be made prior to the delivery of the first set of financial statements, the most recently completed four fiscal quarters ended at least thirty (30) days prior to the Closing Date).</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0" w:lineRule="exact"/>
        <w:rPr>
          <w:sz w:val="20"/>
          <w:szCs w:val="20"/>
          <w:color w:val="auto"/>
        </w:rPr>
      </w:pPr>
    </w:p>
    <w:p>
      <w:pPr>
        <w:ind w:right="6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any Loan Party or any ERISA Affiliate is making or accruing an obligation to make contributions, or has within any of the preceding five plan years made or accrued an obligation to make contributions.</w:t>
      </w:r>
    </w:p>
    <w:p>
      <w:pPr>
        <w:spacing w:after="0" w:line="188" w:lineRule="exact"/>
        <w:rPr>
          <w:sz w:val="20"/>
          <w:szCs w:val="20"/>
          <w:color w:val="auto"/>
        </w:rPr>
      </w:pPr>
    </w:p>
    <w:p>
      <w:pPr>
        <w:ind w:right="12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any Loan Party or any ERISA Affiliate and at least one Person other than the Loan Parties and the ERISA Affiliates or (b) was so maintained and in respect of which any Loan Party or any ERISA Affiliate could have liability under Section 4064 or 4069 of ERISA in the event such plan has been or were to be terminated.</w:t>
      </w:r>
    </w:p>
    <w:p>
      <w:pPr>
        <w:spacing w:after="0" w:line="191" w:lineRule="exact"/>
        <w:rPr>
          <w:sz w:val="20"/>
          <w:szCs w:val="20"/>
          <w:color w:val="auto"/>
        </w:rPr>
      </w:pPr>
    </w:p>
    <w:p>
      <w:pPr>
        <w:ind w:firstLine="103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means, with respect to any event (a) the cash proceeds actually received in respect of such event including (i) any cash received in respect of any non-cash proceeds, but only as and when received, (ii) in the case of a casualty, insurance proceeds, and (iii) in the case of a condemnation or similar event, condemnation awards and similar payments, in each case net of (b) the sum of (i) all costs, fees and out-of-pocket fees, commissions, charges and expenses (including fees, costs and expenses related to appraisals, surveys, brokerage, finder, underwriting, arranging, legal, investment banking, placement, printing, auditor, accounting, title, environmental (including remedial expenses), title exceptions and encumbrances, and finder’s fees, success fees or similar fees and commissions) paid or payable by the Borrower and the Restricted Subsidiaries to third parties (other than Affiliates) in connection with such event, (ii) in the case of a Disposition of an asset (including pursuant to a casualty or a condemnation or similar proceeding), the amount of all payments required to be made (or required to be escrowed) by the Borrower and the Restricted Subsidiaries as a result of such event to repay (or establish an escrow, trust, defeasance, discharge or redemption account or similar arrangement for the repayment of) Debt (other than the Obligations) secured by a Lien prior to the Lien of the Collateral Agent on such asset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any amounts in such accounts or subject to such agreements are released to the Borrower and its Restricted Subsidiaries, such amounts shall constitute Net Cash Proceeds upon release), (iii) the amount of all taxes (including transfer tax and recording tax) paid (or reasonably estimated to be payable) by the Borrower and the Restricted Subsidiaries, and the amount of any reserves established by the Borrower and the Restricted Subsidiaries to fund contingent liabilities reasonably estimated to be payable, and that are directly attributable to such event (as determined reasonably and in good faith by the chief financial officer or other Financial Officer of the Borrower), (iv) in respect of any casualty or condemnation, any amounts paid to the Borrower or any Restricted Subsidiary related to the casualty or condemnation, and (v) all other amounts deposited in trust or escrow or paid for the benefit of any third party or to which any third party may be entitled in connection with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such amounts returned to the Borrower or any Restricted Subsidiary shall constitute Net Cash Proceeds when actually received. All amounts received under the KPP Settlement Agreement and the transactions contemplated thereby and in relation thereto shall be deemed not to be Net Cash Proceeds.</w:t>
      </w:r>
    </w:p>
    <w:p>
      <w:pPr>
        <w:spacing w:after="0" w:line="176" w:lineRule="exact"/>
        <w:rPr>
          <w:sz w:val="20"/>
          <w:szCs w:val="20"/>
          <w:color w:val="auto"/>
        </w:rPr>
      </w:pPr>
    </w:p>
    <w:p>
      <w:pPr>
        <w:ind w:right="8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Orderly Liquidation Value</w:t>
      </w:r>
      <w:r>
        <w:rPr>
          <w:rFonts w:ascii="Arial" w:cs="Arial" w:eastAsia="Arial" w:hAnsi="Arial"/>
          <w:sz w:val="18"/>
          <w:szCs w:val="18"/>
          <w:color w:val="auto"/>
        </w:rPr>
        <w:t>” means, with respect to Eligible Equipment and Eligible Inventory, as the case may be, the orderly liquidation value with respect to such Equipment or Inventory, net of expenses estimated to be incurred in connection with such liquidation, based on the most recent third party appraisal by an independent appraisal firm reasonably satisfactory to the Agent (and prior to an Event of Default selected in consultation with the Company).</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Lenders</w:t>
      </w:r>
      <w:r>
        <w:rPr>
          <w:rFonts w:ascii="Arial" w:cs="Arial" w:eastAsia="Arial" w:hAnsi="Arial"/>
          <w:sz w:val="18"/>
          <w:szCs w:val="18"/>
          <w:color w:val="auto"/>
        </w:rPr>
        <w:t>” has the meaning set forth in the introductory paragraphs.</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or a Potential Defaulting Lender.</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has the meaning specified in Section 2.03(a).</w:t>
      </w:r>
    </w:p>
    <w:p>
      <w:pPr>
        <w:spacing w:after="0" w:line="220" w:lineRule="exact"/>
        <w:rPr>
          <w:sz w:val="20"/>
          <w:szCs w:val="20"/>
          <w:color w:val="auto"/>
        </w:rPr>
      </w:pPr>
    </w:p>
    <w:p>
      <w:pPr>
        <w:ind w:right="10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of the Borrower payable to the order of any Lender, delivered pursuant to a request made under Section 2.16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or such other form agreed to by the Agent, in each case, evidencing the aggregate indebtedness of the Borrower to such Lender resulting from the Revolving Loans made by such Lender.</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has the meaning specified in Section 2.02(a).</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Issuance</w:t>
      </w:r>
      <w:r>
        <w:rPr>
          <w:rFonts w:ascii="Arial" w:cs="Arial" w:eastAsia="Arial" w:hAnsi="Arial"/>
          <w:sz w:val="18"/>
          <w:szCs w:val="18"/>
          <w:color w:val="auto"/>
        </w:rPr>
        <w:t>” has the meaning specified in Section 2.03(a).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70" w:name="page71"/>
    <w:bookmarkEnd w:id="70"/>
    <w:p>
      <w:pPr>
        <w:ind w:right="40" w:firstLine="10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liabilities and obligations of every nature of each Loan Party from time to time owed to the Agent, the Lenders, the other Secured Parties or any of them under (a) the Loan Documents, (b) all Bank Product Obligations, and (c) all Specified Secured Obligations, whether for principal, interest (including interest which, but for the filing of a petition or other proceeding in an Insolvency Proceeding with respect to such Loan Party, would have accrued on any Obligation, whether or not a claim is allowed against such Loan Party for such interest in the related bankruptcy or Insolvency Proceeding), fees, expenses, indemnification or otherwise and whether primary, secondary, direct, indirect, contingent, fixed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Obligations of a Loan Party shall not include its Excluded Swap Obligations.</w:t>
      </w:r>
    </w:p>
    <w:p>
      <w:pPr>
        <w:spacing w:after="0" w:line="1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Office of Foreign Assets Control of the U.S. Treasury Department.</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has the meaning specified in Section 2.14(b).</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has the meaning set forth in Section 2.01(c).</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 Loan</w:t>
      </w:r>
      <w:r>
        <w:rPr>
          <w:rFonts w:ascii="Arial" w:cs="Arial" w:eastAsia="Arial" w:hAnsi="Arial"/>
          <w:sz w:val="18"/>
          <w:szCs w:val="18"/>
          <w:color w:val="auto"/>
        </w:rPr>
        <w:t>” means a Base Rate Revolving Loan made when an Overadvance exists or is caused by the funding thereof.</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Debt</w:t>
      </w:r>
      <w:r>
        <w:rPr>
          <w:rFonts w:ascii="Arial" w:cs="Arial" w:eastAsia="Arial" w:hAnsi="Arial"/>
          <w:sz w:val="18"/>
          <w:szCs w:val="18"/>
          <w:color w:val="auto"/>
        </w:rPr>
        <w:t>” has the meaning specified in Section 8.14(a).</w:t>
      </w:r>
    </w:p>
    <w:p>
      <w:pPr>
        <w:spacing w:after="0" w:line="220" w:lineRule="exact"/>
        <w:rPr>
          <w:sz w:val="20"/>
          <w:szCs w:val="20"/>
          <w:color w:val="auto"/>
        </w:rPr>
      </w:pPr>
    </w:p>
    <w:p>
      <w:pPr>
        <w:ind w:right="300" w:firstLine="1034"/>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Company</w:t>
      </w:r>
      <w:r>
        <w:rPr>
          <w:rFonts w:ascii="Arial" w:cs="Arial" w:eastAsia="Arial" w:hAnsi="Arial"/>
          <w:sz w:val="17"/>
          <w:szCs w:val="17"/>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5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9.08(i).</w:t>
      </w:r>
    </w:p>
    <w:p>
      <w:pPr>
        <w:spacing w:after="0" w:line="220" w:lineRule="exact"/>
        <w:rPr>
          <w:sz w:val="20"/>
          <w:szCs w:val="20"/>
          <w:color w:val="auto"/>
        </w:rPr>
      </w:pPr>
    </w:p>
    <w:p>
      <w:pPr>
        <w:ind w:right="3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Pub. L. 107-56, signed into law October 26, 2001.</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220" w:lineRule="exact"/>
        <w:rPr>
          <w:sz w:val="20"/>
          <w:szCs w:val="20"/>
          <w:color w:val="auto"/>
        </w:rPr>
      </w:pPr>
    </w:p>
    <w:p>
      <w:pPr>
        <w:ind w:right="6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Agreements</w:t>
      </w:r>
      <w:r>
        <w:rPr>
          <w:rFonts w:ascii="Arial" w:cs="Arial" w:eastAsia="Arial" w:hAnsi="Arial"/>
          <w:sz w:val="18"/>
          <w:szCs w:val="18"/>
          <w:color w:val="auto"/>
        </w:rPr>
        <w:t>” means defined benefit pension plans and defined benefit postretirement plans as defined by Accounting Standards Codification 715, Compensation - Retirement Benefits.</w:t>
      </w:r>
    </w:p>
    <w:p>
      <w:pPr>
        <w:spacing w:after="0" w:line="180" w:lineRule="exact"/>
        <w:rPr>
          <w:sz w:val="20"/>
          <w:szCs w:val="20"/>
          <w:color w:val="auto"/>
        </w:rPr>
      </w:pPr>
    </w:p>
    <w:p>
      <w:pPr>
        <w:ind w:firstLine="1034"/>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means any Acquisition as long as (a) no Default exists or is caused thereby; (b) such acquisition was not preceded by an unsolicited tender offer for such equity interests by, or proxy contest initiated by, the Company or any Subsidiary; (c) the assets, business or Person being acquired are useful or engaged in the business of the Company and Subsidiaries or the acquired entity, line of business or businesses acquired is engaged in a Related Business; (c) no Debt or Liens are assumed or incurred, except for Debt permitted to be incurred pursuant to Section 5.02(d) or Liens permitted pursuant to Section 5.02(a); (d) upon giving pro forma effect thereto, Excess Availability is at least the amount equal to 15% of the Revolving Credit Facility for the 30 days preceding and as of the date of the Acquisition; (e) the Fixed Charge Coverage Ratio determined on a pro forma basis giving effect to the Acquisition, is not less than 1.00 to 1.00; and (f) the Borrower delivers to Agent, at least 5 Business Days prior to the consummation of such Acquisition, copies of all material agreements relating thereto and a certificate, in form and substance satisfactory to Agent, stating that the Acquisition is a “Permitted Acquisition” and demonstrating compliance with the foregoing requirements. Notwithstanding the foregoing, if, as of the date of any Acquisition, the Excess Availability at any time during the preceding 30 consecutive day period and as of the date of such Acquisition shall have been not less than 25% of the Revolving Credit Facility, and after giving effect to such Acquisition on a pro forma basis using the most recent calculation of the Borrowing Base, as of the date of such Acquisition and at any time during the 30 consecutive day period immediately preceding such Acquisition, the Excess Availability would have been not less than 25% of the Revolving Credit Facility, satisfaction of the Fixed Charge Coverage Ratio test described in subclause (e) shall not be required with respect to such Acquisition.</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Collateral Liens</w:t>
      </w:r>
      <w:r>
        <w:rPr>
          <w:rFonts w:ascii="Arial" w:cs="Arial" w:eastAsia="Arial" w:hAnsi="Arial"/>
          <w:sz w:val="18"/>
          <w:szCs w:val="18"/>
          <w:color w:val="auto"/>
        </w:rPr>
        <w:t>” has the meaning specified in the definition of “Eligible Equipment”.</w:t>
      </w:r>
    </w:p>
    <w:p>
      <w:pPr>
        <w:spacing w:after="0" w:line="220" w:lineRule="exact"/>
        <w:rPr>
          <w:sz w:val="20"/>
          <w:szCs w:val="20"/>
          <w:color w:val="auto"/>
        </w:rPr>
      </w:pPr>
    </w:p>
    <w:p>
      <w:pPr>
        <w:ind w:right="20" w:firstLine="103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Discretion</w:t>
      </w:r>
      <w:r>
        <w:rPr>
          <w:rFonts w:ascii="Arial" w:cs="Arial" w:eastAsia="Arial" w:hAnsi="Arial"/>
          <w:sz w:val="17"/>
          <w:szCs w:val="17"/>
          <w:color w:val="auto"/>
        </w:rPr>
        <w:t>” means a determination made in the exercise, in good faith, of reasonable business judgment (from the perspective of a secured, asset-based lender). Prior to the occurrence of any Default, the establishment or increase of any Reserve shall be limited to such Reserves as the Agent may from time to time determine in its Permitted Discretion following consultation with the Company as being appropriate.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1" w:name="page72"/>
    <w:bookmarkEnd w:id="71"/>
    <w:p>
      <w:pPr>
        <w:ind w:right="140" w:firstLine="103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xml:space="preserve">” means GSO Special Situations Fund LP, GSO Special Situations Overseas Master Fund LTD., GSO Credit-A Partners LP, GSO Palmetto Opportunistic Investment Partners LP, FS Investment Corporation, Locust Street Funding LLC, FS Investment Corporation II, Blue Mountain Credit Alternatives Master Fund L.P., Bluemountain Credit Opportunities Master Fund I L.P., Bluemountain Timberline LTD., Bluemountain Strategic Credit Master Fund L.P., Bluemountain Kicking Horse Fund L.P., Bluemountain Long/Short Credit Master Fund L.P., Bluemountain Distressed Master Fund L.P., Bluemountain Long Short Grasmoor Fund LTD., Bluemountain Long/Short Credit and Distressed Reflection Fund P.L.C., A Sub-Fund of AAI Bluemountain Fund P.L.C., George Karfunkel, United Equities Commodities Company, Momar Corporation and Contrarian Funds, LLC and any of their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 group consisting of Permitted Holders may include any person that forms a group with the persons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after giving effect to the acquisition of Voting Stock by such person, the persons listed above beneficially own in the aggregate, directly or indirectly, a majority of the aggregate ordinary voting power of all persons in such group.</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3" w:lineRule="exact"/>
        <w:rPr>
          <w:sz w:val="20"/>
          <w:szCs w:val="20"/>
          <w:color w:val="auto"/>
        </w:rPr>
      </w:pPr>
    </w:p>
    <w:p>
      <w:pPr>
        <w:ind w:right="80" w:firstLine="1041"/>
        <w:spacing w:after="0" w:line="257" w:lineRule="auto"/>
        <w:tabs>
          <w:tab w:leader="none" w:pos="1276"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 xml:space="preserve">Liens imposed by law for taxes, assessments and governmental charges or claims that are not yet due or that are being contested in good faith by appropriate proceedings,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adequate reserves with respect thereto are maintained on the books of the Company or its Subsidiaries, as the case may be, in conformity with GAAP;</w:t>
      </w:r>
    </w:p>
    <w:p>
      <w:pPr>
        <w:spacing w:after="0" w:line="81" w:lineRule="exact"/>
        <w:rPr>
          <w:rFonts w:ascii="Arial" w:cs="Arial" w:eastAsia="Arial" w:hAnsi="Arial"/>
          <w:sz w:val="18"/>
          <w:szCs w:val="18"/>
          <w:color w:val="010000"/>
        </w:rPr>
      </w:pPr>
    </w:p>
    <w:p>
      <w:pPr>
        <w:ind w:firstLine="1041"/>
        <w:spacing w:after="0" w:line="254" w:lineRule="auto"/>
        <w:tabs>
          <w:tab w:leader="none" w:pos="1286"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carriers’, landlord’s, warehousemen’s, mechanics’, materialmen’s, brokers’, suppliers’ and repairmen’s liens, statutory liens of banks and rights of setoff and other Liens, in each case, imposed by law (other than obligations imposed pursuant to Section 303(k) or 4068 of ERISA or Section 430(k) of the Code), arising in the ordinary course of business and securing obligations that are not overdue by more than thirty (30) days or are being contested in compliance with Section 5.01(b);</w:t>
      </w:r>
    </w:p>
    <w:p>
      <w:pPr>
        <w:spacing w:after="0" w:line="83" w:lineRule="exact"/>
        <w:rPr>
          <w:rFonts w:ascii="Arial" w:cs="Arial" w:eastAsia="Arial" w:hAnsi="Arial"/>
          <w:sz w:val="18"/>
          <w:szCs w:val="18"/>
          <w:color w:val="010000"/>
        </w:rPr>
      </w:pPr>
    </w:p>
    <w:p>
      <w:pPr>
        <w:ind w:right="100" w:firstLine="1041"/>
        <w:spacing w:after="0" w:line="267" w:lineRule="auto"/>
        <w:tabs>
          <w:tab w:leader="none" w:pos="1276"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pledges or deposits made in the ordinary course of business in compliance with workers’ compensation, unemployment insurance, healthcare and other social security laws or regulations;</w:t>
      </w:r>
    </w:p>
    <w:p>
      <w:pPr>
        <w:spacing w:after="0" w:line="72" w:lineRule="exact"/>
        <w:rPr>
          <w:rFonts w:ascii="Arial" w:cs="Arial" w:eastAsia="Arial" w:hAnsi="Arial"/>
          <w:sz w:val="18"/>
          <w:szCs w:val="18"/>
          <w:color w:val="010000"/>
        </w:rPr>
      </w:pPr>
    </w:p>
    <w:p>
      <w:pPr>
        <w:ind w:right="280" w:firstLine="1041"/>
        <w:spacing w:after="0" w:line="254" w:lineRule="auto"/>
        <w:tabs>
          <w:tab w:leader="none" w:pos="1286"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(i) Liens on cash, pledges and deposits of cash to secure the performance of bids, tenders, trade contracts or leases, (ii) deposits of cash to secure public or statutory obligations, surety and appeal bonds, performance bonds and other obligations of a like nature or deposits as security for contested taxes or import duties or for the payment of rent, in each case in the ordinary course of business and (iii) utility deposits made in the ordinary course of business;</w:t>
      </w:r>
    </w:p>
    <w:p>
      <w:pPr>
        <w:spacing w:after="0" w:line="83" w:lineRule="exact"/>
        <w:rPr>
          <w:rFonts w:ascii="Arial" w:cs="Arial" w:eastAsia="Arial" w:hAnsi="Arial"/>
          <w:sz w:val="18"/>
          <w:szCs w:val="18"/>
          <w:color w:val="010000"/>
        </w:rPr>
      </w:pPr>
    </w:p>
    <w:p>
      <w:pPr>
        <w:ind w:left="1280" w:hanging="239"/>
        <w:spacing w:after="0"/>
        <w:tabs>
          <w:tab w:leader="none" w:pos="1280"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judgment Liens in respect of judgments that do not constitute an Event of Default under Section 6.01(f);</w:t>
      </w:r>
    </w:p>
    <w:p>
      <w:pPr>
        <w:spacing w:after="0" w:line="113" w:lineRule="exact"/>
        <w:rPr>
          <w:rFonts w:ascii="Arial" w:cs="Arial" w:eastAsia="Arial" w:hAnsi="Arial"/>
          <w:sz w:val="18"/>
          <w:szCs w:val="18"/>
          <w:color w:val="010000"/>
        </w:rPr>
      </w:pPr>
    </w:p>
    <w:p>
      <w:pPr>
        <w:ind w:right="60" w:firstLine="1041"/>
        <w:spacing w:after="0" w:line="270" w:lineRule="auto"/>
        <w:tabs>
          <w:tab w:leader="none" w:pos="1256" w:val="left"/>
        </w:tabs>
        <w:numPr>
          <w:ilvl w:val="0"/>
          <w:numId w:val="39"/>
        </w:numPr>
        <w:rPr>
          <w:rFonts w:ascii="Arial" w:cs="Arial" w:eastAsia="Arial" w:hAnsi="Arial"/>
          <w:sz w:val="17"/>
          <w:szCs w:val="17"/>
          <w:color w:val="010000"/>
        </w:rPr>
      </w:pPr>
      <w:r>
        <w:rPr>
          <w:rFonts w:ascii="Arial" w:cs="Arial" w:eastAsia="Arial" w:hAnsi="Arial"/>
          <w:sz w:val="17"/>
          <w:szCs w:val="17"/>
          <w:color w:val="010000"/>
        </w:rPr>
        <w:t>leases or subleases granted to others in the ordinary course of business, survey exceptions, minor encumbrances, easements or reservations of, or rights of others for, licenses, rights-of-way, sewers, electric lines, gas lines, water, cable, television, telegraph and telephone lines and other similar purposes, zoning restrictions, or other restrictions as to the use of real properties or Liens incidental, to the conduct of the business or to the ownership of its properties which were not incurred in connection with Debt and which do not in the aggregate materially adversely affect the value of said properties or materially impair their use in the operation of the business of the Company or the Restricted Subsidiaries;</w:t>
      </w:r>
    </w:p>
    <w:p>
      <w:pPr>
        <w:spacing w:after="0" w:line="73" w:lineRule="exact"/>
        <w:rPr>
          <w:rFonts w:ascii="Arial" w:cs="Arial" w:eastAsia="Arial" w:hAnsi="Arial"/>
          <w:sz w:val="17"/>
          <w:szCs w:val="17"/>
          <w:color w:val="010000"/>
        </w:rPr>
      </w:pPr>
    </w:p>
    <w:p>
      <w:pPr>
        <w:ind w:right="160" w:firstLine="1041"/>
        <w:spacing w:after="0" w:line="267" w:lineRule="auto"/>
        <w:tabs>
          <w:tab w:leader="none" w:pos="1286"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encumbrances on assets disposed or to be disposed in a disposition permitted by Section 5.02(e) or created by an agreement(s) providing for such permitted disposition;</w:t>
      </w:r>
    </w:p>
    <w:p>
      <w:pPr>
        <w:spacing w:after="0" w:line="72" w:lineRule="exact"/>
        <w:rPr>
          <w:rFonts w:ascii="Arial" w:cs="Arial" w:eastAsia="Arial" w:hAnsi="Arial"/>
          <w:sz w:val="18"/>
          <w:szCs w:val="18"/>
          <w:color w:val="010000"/>
        </w:rPr>
      </w:pPr>
    </w:p>
    <w:p>
      <w:pPr>
        <w:ind w:right="40" w:firstLine="1041"/>
        <w:spacing w:after="0" w:line="251" w:lineRule="auto"/>
        <w:tabs>
          <w:tab w:leader="none" w:pos="1286"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any (i) reversionary interest or title of lessor or sublessor under any lease, (ii) Lien, easement, restriction or encumbrance to which the interest or title of such lessor or sublessor may be subject, (iii) subordination of the interest of the lessee or sublessees under such lease to any Lien, restriction or encumbrance referred to in the preceding clause (ii), (iv) lease or sublease of real property granted to others in the ordinary course of business, (v) license, sublicense, release, immunity or covenant not to sue with respect to intellectual property granted to others in the ordinary course of business or in connection with the settlement of any litigation, threatened litigation or other dispute, or (vi) license, sublicense, release, immunity or covenant not to sue encumbering intellectual property acquired by any Loan Party;</w:t>
      </w:r>
    </w:p>
    <w:p>
      <w:pPr>
        <w:spacing w:after="0" w:line="87" w:lineRule="exact"/>
        <w:rPr>
          <w:rFonts w:ascii="Arial" w:cs="Arial" w:eastAsia="Arial" w:hAnsi="Arial"/>
          <w:sz w:val="18"/>
          <w:szCs w:val="18"/>
          <w:color w:val="010000"/>
        </w:rPr>
      </w:pPr>
    </w:p>
    <w:p>
      <w:pPr>
        <w:ind w:right="260" w:firstLine="1041"/>
        <w:spacing w:after="0" w:line="267" w:lineRule="auto"/>
        <w:tabs>
          <w:tab w:leader="none" w:pos="1246"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Liens arising from filing UCC financing statements for “informational purposes only” relating solely to the leased asset or consignments or operating leases entered into by any Loan Party in the ordinary course of business;</w:t>
      </w:r>
    </w:p>
    <w:p>
      <w:pPr>
        <w:spacing w:after="0" w:line="72" w:lineRule="exact"/>
        <w:rPr>
          <w:rFonts w:ascii="Arial" w:cs="Arial" w:eastAsia="Arial" w:hAnsi="Arial"/>
          <w:sz w:val="18"/>
          <w:szCs w:val="18"/>
          <w:color w:val="010000"/>
        </w:rPr>
      </w:pPr>
    </w:p>
    <w:p>
      <w:pPr>
        <w:ind w:right="580" w:firstLine="1041"/>
        <w:spacing w:after="0" w:line="267" w:lineRule="auto"/>
        <w:tabs>
          <w:tab w:leader="none" w:pos="1246"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Environmental and zoning laws, ordinances and regulations, now or hereafter in effect relating to real property and the ownership, use, development of and the right to operate or maintain such property; and</w:t>
      </w:r>
    </w:p>
    <w:p>
      <w:pPr>
        <w:spacing w:after="0" w:line="72" w:lineRule="exact"/>
        <w:rPr>
          <w:rFonts w:ascii="Arial" w:cs="Arial" w:eastAsia="Arial" w:hAnsi="Arial"/>
          <w:sz w:val="18"/>
          <w:szCs w:val="18"/>
          <w:color w:val="010000"/>
        </w:rPr>
      </w:pPr>
    </w:p>
    <w:p>
      <w:pPr>
        <w:ind w:left="1300" w:hanging="259"/>
        <w:spacing w:after="0"/>
        <w:tabs>
          <w:tab w:leader="none" w:pos="1300" w:val="left"/>
        </w:tabs>
        <w:numPr>
          <w:ilvl w:val="0"/>
          <w:numId w:val="39"/>
        </w:numPr>
        <w:rPr>
          <w:rFonts w:ascii="Arial" w:cs="Arial" w:eastAsia="Arial" w:hAnsi="Arial"/>
          <w:sz w:val="18"/>
          <w:szCs w:val="18"/>
          <w:color w:val="010000"/>
        </w:rPr>
      </w:pPr>
      <w:r>
        <w:rPr>
          <w:rFonts w:ascii="Arial" w:cs="Arial" w:eastAsia="Arial" w:hAnsi="Arial"/>
          <w:sz w:val="18"/>
          <w:szCs w:val="18"/>
          <w:color w:val="010000"/>
        </w:rPr>
        <w:t>Liens referred to in clause (k) of the definition of “Permitted Encumbrances” in the Exit First Lien Term Loan Agreement.</w:t>
      </w:r>
    </w:p>
    <w:p>
      <w:pPr>
        <w:spacing w:after="0" w:line="220" w:lineRule="exact"/>
        <w:rPr>
          <w:sz w:val="20"/>
          <w:szCs w:val="20"/>
          <w:color w:val="auto"/>
        </w:rPr>
      </w:pPr>
    </w:p>
    <w:p>
      <w:pPr>
        <w:ind w:right="9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Documents</w:t>
      </w:r>
      <w:r>
        <w:rPr>
          <w:rFonts w:ascii="Arial" w:cs="Arial" w:eastAsia="Arial" w:hAnsi="Arial"/>
          <w:sz w:val="18"/>
          <w:szCs w:val="18"/>
          <w:color w:val="auto"/>
        </w:rPr>
        <w:t>” means all documents and agreements evidencing, relating to or otherwise governing a Permitted Receivables Financing.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2" w:name="page73"/>
    <w:bookmarkEnd w:id="72"/>
    <w:p>
      <w:pPr>
        <w:ind w:right="60" w:firstLine="103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Financing</w:t>
      </w:r>
      <w:r>
        <w:rPr>
          <w:rFonts w:ascii="Arial" w:cs="Arial" w:eastAsia="Arial" w:hAnsi="Arial"/>
          <w:sz w:val="16"/>
          <w:szCs w:val="16"/>
          <w:color w:val="auto"/>
        </w:rPr>
        <w:t xml:space="preserve">” means one or more transactions by any Foreign Subsidiary pursuant to which such Foreign Subsidiary may sell, convey or otherwise transfer to one or more Special Purpose Receivables Subsidiaries or to any other person, or may grant a security interest in, any Receivables Assets (whether now existing or arising in the future) of such Foreign Subsidiary, and any assets related thereto including all contracts and all guarantees or other obligations in respect of such Receivables Assets, the proceeds of such Receivables Assets and other assets which are customarily transferred, or in respect of which security interests are customarily granted, in connection with sales, factoring or securitizations involving Receivables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 recourse to the Foreign Subsidiaries (other than the Special Purpose Receivables Subsidiary) in connection with such transactions shall be limited to the extent customary for similar transactions in the applicable jurisdictions (including, to the extent applicable, in a manner consistent with the delivery of a “true sale”/“absolute transfer” opinion with respect to any transfer by any Foreign Subsidiary (other than a Special Purpose Receivables Subsidiary)) and (b) the aggregate Receivables Net Investment shall not exceed $25,000,000 at any time.</w:t>
      </w:r>
    </w:p>
    <w:p>
      <w:pPr>
        <w:spacing w:after="0" w:line="174" w:lineRule="exact"/>
        <w:rPr>
          <w:sz w:val="20"/>
          <w:szCs w:val="20"/>
          <w:color w:val="auto"/>
        </w:rPr>
      </w:pPr>
    </w:p>
    <w:p>
      <w:pPr>
        <w:ind w:firstLine="103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xml:space="preserve">” means, with respect to any Person, any modification, refinancing, refunding, renewal, replacement, exchange or extension of any Debt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 the principal amount (or accreted value, if applicable) thereof does not exceed the principal amount (or accreted value, if applicable) of the Debt so modified, refinanced, refunded, renewed, replaced, exchanged or extended except by an amount equal to accrued and unpaid interest and a reasonable premium thereon plus other reasonable and customary amounts paid, and customary fees and expenses reasonably incurred (including underwriting, arrangement or placement fees, discounts and commissions), in connection with such modification, refinancing, refunding, renewal, replacement, exchange or extension and by an amount equal to any existing commitments unutilized thereunder; (b) such modification, refinancing, refunding, renewal, replacement, exchange or extension (i) has a final maturity date equal to or later than the final maturity date of, and has a Weighted Average Life to Maturity equal to or greater than the Weighted Average Life to Maturity of, the Debt being modified, refinanced, refunded, renewed, replaced, exchanged or extended and (ii) has no scheduled amortization or payments of principal prior to 91 days after the Termination Date or, if the Debt being modified, amended, restated, amended and restated, refinanced, refunded, renewed or extended is subject to scheduled amortization or payments of principal, prior to any such currently scheduled amortization or payments of principal; (c) if the Debt being modified, refinanced, refunded, renewed, replaced, exchanged or extended is subordinated in right of payment to the Obligations, such modification, refinancing, refunding, renewal, replacement, exchange or extension is subordinated in right of payment to the Obligations on terms as favorable in all material respects to the Lenders as those contained in the documentation governing the Debt being modified, refinanced, refunded, renewed, replaced, exchanged or extended; (d) the terms and conditions (including, if applicable, as to collateral) of any such modified, refinanced, refunded, renewed, replaced, exchanged or extended Debt are, either (i) customary for similar debt securities or bank financings in light of then-prevailing market conditions (it being understood that such Debt shall not include any financial maintenance covenants unless such financial covenant is added to this Agreement for the benefit of Lenders or does not take effect until after the Maturity Date and that any negative covenants shall be incurrence-based) or (ii) not materially less favorable to the Loan Parties or the Lenders, taken as a whole, than the terms and conditions of the Debt being modified, refinanced, refunded, renewed, replaced, exchanged or extended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 certificate of a Responsible Officer of the Company delivered to the Agent in good faith at least five Business Days prior to the incurrence of such Debt, together with a reasonably detailed description of the material terms and conditions of such Debt or drafts of the documentation relating thereto, stating that the Company has determined in good faith that such terms and conditions satisfy the requirement set out in the foregoing clause (d), shall be conclusive evidence that such terms and conditions satisfy such requirement unless the Agent provides notice to the Company of its objection during such five Business Day period); (e) any such modification, refinancing, refunding, renewal, replacement, exchange or extension is incurred by the Person who is the obligor or guarantor, or a successor to the obligor or guarantor, on the Debt being modified, refinanced, refunded, renewed, replaced or extended unless otherwise permitted hereunder; (f) any such modification, refinancing, refunding, renewal, replacement, exchange or extension of the Exit Term Loan Agreements shall be subject to (and the holders of, and agents and/or trustees in respect of, any such Debt shall be bound by) the Term Loan Intercreditor Agreement; and (g) at the time of entry into such Agreement, no Event of Default shall have occurred and be continuing.</w:t>
      </w:r>
    </w:p>
    <w:p>
      <w:pPr>
        <w:spacing w:after="0" w:line="177" w:lineRule="exact"/>
        <w:rPr>
          <w:sz w:val="20"/>
          <w:szCs w:val="20"/>
          <w:color w:val="auto"/>
        </w:rPr>
      </w:pPr>
    </w:p>
    <w:p>
      <w:pPr>
        <w:ind w:right="1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or unlimited liability company or other entity, or a government or any political subdivision or agency thereof.</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specified in Section 5.01(h).</w:t>
      </w:r>
    </w:p>
    <w:p>
      <w:pPr>
        <w:spacing w:after="0" w:line="220" w:lineRule="exact"/>
        <w:rPr>
          <w:sz w:val="20"/>
          <w:szCs w:val="20"/>
          <w:color w:val="auto"/>
        </w:rPr>
      </w:pPr>
    </w:p>
    <w:p>
      <w:pPr>
        <w:ind w:right="22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Cash Account (Eligible Cash)</w:t>
      </w:r>
      <w:r>
        <w:rPr>
          <w:rFonts w:ascii="Arial" w:cs="Arial" w:eastAsia="Arial" w:hAnsi="Arial"/>
          <w:sz w:val="18"/>
          <w:szCs w:val="18"/>
          <w:color w:val="auto"/>
        </w:rPr>
        <w:t>” means a deposit account located in the United States with Bank of America (in each case other than a collection, disbursement or other operating account), subject to the Agent’s first priority perfected security interest pursuant to the Pledged Cash Account Agreement (Eligible Cash).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3" w:name="page74"/>
    <w:bookmarkEnd w:id="73"/>
    <w:p>
      <w:pPr>
        <w:ind w:right="6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Cash Account Agreement (Eligible Cash)</w:t>
      </w:r>
      <w:r>
        <w:rPr>
          <w:rFonts w:ascii="Arial" w:cs="Arial" w:eastAsia="Arial" w:hAnsi="Arial"/>
          <w:sz w:val="18"/>
          <w:szCs w:val="18"/>
          <w:color w:val="auto"/>
        </w:rPr>
        <w:t>” means the Deposit Account Control Agreement (Eligible Cash), dated as of the Initial Closing Date, by and among the Borrower, Bank of America, N.A., as the bank and the Agent, Exit First Lien Term Loan Agent and Exit Second Lien Term Loan Agent, as such agreement may be amended, restated, supplemented, replaced or otherwise modified from time to time, with respect to the deposit account maintained for purposes of receiving and maintaining deposits of Eligible Cash.</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Post-Petition Interest</w:t>
      </w:r>
      <w:r>
        <w:rPr>
          <w:rFonts w:ascii="Arial" w:cs="Arial" w:eastAsia="Arial" w:hAnsi="Arial"/>
          <w:sz w:val="18"/>
          <w:szCs w:val="18"/>
          <w:color w:val="auto"/>
        </w:rPr>
        <w:t>” has the meaning specified in Section 7.06(b).</w:t>
      </w:r>
    </w:p>
    <w:p>
      <w:pPr>
        <w:spacing w:after="0" w:line="220" w:lineRule="exact"/>
        <w:rPr>
          <w:sz w:val="20"/>
          <w:szCs w:val="20"/>
          <w:color w:val="auto"/>
        </w:rPr>
      </w:pPr>
    </w:p>
    <w:p>
      <w:pPr>
        <w:ind w:right="20" w:firstLine="103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Potential Defaulting Lender</w:t>
      </w:r>
      <w:r>
        <w:rPr>
          <w:rFonts w:ascii="Arial" w:cs="Arial" w:eastAsia="Arial" w:hAnsi="Arial"/>
          <w:sz w:val="16"/>
          <w:szCs w:val="16"/>
          <w:color w:val="auto"/>
        </w:rPr>
        <w:t>” means, at any time, a Lender (i) as to which the Agent has notified the Company that an event of the kind referred to in the definition of “Lender Insolvency Event” has occurred and is continuing in respect of any financial institution affiliate of such Lender, (ii) as to which the Agent or the Issuing Banks have in good faith reasonably determined and notified the Company that such Lender or its Parent Company or a financial institution affiliate thereof has notified the Agent, or has stated publicly, that it will not comply with its funding obligations under any other loan agreement or credit agreement or other similar/other financing agreement or (iii) that has, or whose Parent Company has, a rating for any class of its long-term senior unsecured debt lower than BBB- by S&amp;P and Baa3 by Moody’s. Any determination that a Lender is a Potential Defaulting Lender under any of clauses (i) through (iii) above will be made by the Agent or, in the case of clause (ii), the Issuing Banks, as the case may be, in their sole discretion acting in good faith and upon consultation with the Company. The Agent will promptly send to all parties hereto a copy of any notice to the Company provided for in this definition.</w:t>
      </w:r>
    </w:p>
    <w:p>
      <w:pPr>
        <w:spacing w:after="0" w:line="17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Currency</w:t>
      </w:r>
      <w:r>
        <w:rPr>
          <w:rFonts w:ascii="Arial" w:cs="Arial" w:eastAsia="Arial" w:hAnsi="Arial"/>
          <w:sz w:val="18"/>
          <w:szCs w:val="18"/>
          <w:color w:val="auto"/>
        </w:rPr>
        <w:t>” has the meaning specified in Section 9.17(b).</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has the meaning specified in Section 5.01(h)(viii).</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Revolving Loan</w:t>
      </w:r>
      <w:r>
        <w:rPr>
          <w:rFonts w:ascii="Arial" w:cs="Arial" w:eastAsia="Arial" w:hAnsi="Arial"/>
          <w:sz w:val="18"/>
          <w:szCs w:val="18"/>
          <w:color w:val="auto"/>
        </w:rPr>
        <w:t>” has the meaning specified in Section 2.01(d).</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specified in Section 5.01(h).</w:t>
      </w:r>
    </w:p>
    <w:p>
      <w:pPr>
        <w:spacing w:after="0" w:line="220" w:lineRule="exact"/>
        <w:rPr>
          <w:sz w:val="20"/>
          <w:szCs w:val="20"/>
          <w:color w:val="auto"/>
        </w:rPr>
      </w:pPr>
    </w:p>
    <w:p>
      <w:pPr>
        <w:ind w:right="420" w:firstLine="103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w:t>
      </w:r>
      <w:r>
        <w:rPr>
          <w:rFonts w:ascii="Arial" w:cs="Arial" w:eastAsia="Arial" w:hAnsi="Arial"/>
          <w:sz w:val="16"/>
          <w:szCs w:val="16"/>
          <w:color w:val="auto"/>
        </w:rPr>
        <w:t>” means a Loan Party with total assets exceeding $10,000,000, or that constitutes an “eligible contract participant” under the Commodity Exchange Act and can cause another Person to qualify as an “eligible contract participant” under Section 1a(18)(A)(v)(II) of such act.</w:t>
      </w:r>
    </w:p>
    <w:p>
      <w:pPr>
        <w:spacing w:after="0" w:line="133" w:lineRule="exact"/>
        <w:rPr>
          <w:sz w:val="20"/>
          <w:szCs w:val="20"/>
          <w:color w:val="auto"/>
        </w:rPr>
      </w:pPr>
    </w:p>
    <w:p>
      <w:pPr>
        <w:ind w:right="440" w:firstLine="103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Ratable Share</w:t>
      </w:r>
      <w:r>
        <w:rPr>
          <w:rFonts w:ascii="Arial" w:cs="Arial" w:eastAsia="Arial" w:hAnsi="Arial"/>
          <w:sz w:val="16"/>
          <w:szCs w:val="16"/>
          <w:color w:val="auto"/>
        </w:rPr>
        <w:t xml:space="preserve">” of any amount means, with respect to any Lender at any time, the product of such amount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a fraction the numerator of which is the amount of such Lender’s Revolving Credit Commitment at such time (or, if the Revolving Credit Commitments shall have been terminated pursuant to Section 2.05 or 6.01, such Lender’s Revolving Credit Commitment as in effect immediately prior to such termination) and the denominator of which is the aggregate amount of all Revolving Credit Commitments at such time (or, if the Revolving Credit Commitments shall have been terminated pursuant to Section 2.05 or 6.01, the aggregate amount of all Revolving Credit Commitments as in effect immediately prior to such termination).</w:t>
      </w:r>
    </w:p>
    <w:p>
      <w:pPr>
        <w:spacing w:after="0" w:line="165" w:lineRule="exact"/>
        <w:rPr>
          <w:sz w:val="20"/>
          <w:szCs w:val="20"/>
          <w:color w:val="auto"/>
        </w:rPr>
      </w:pPr>
    </w:p>
    <w:p>
      <w:pPr>
        <w:ind w:right="50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means all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spacing w:after="0" w:line="188" w:lineRule="exact"/>
        <w:rPr>
          <w:sz w:val="20"/>
          <w:szCs w:val="20"/>
          <w:color w:val="auto"/>
        </w:rPr>
      </w:pPr>
    </w:p>
    <w:p>
      <w:pPr>
        <w:ind w:right="1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(including any bills of exchange) and related assets and property from time to time originated, acquired or otherwise owned by the Company or any Subsidiary.</w:t>
      </w:r>
    </w:p>
    <w:p>
      <w:pPr>
        <w:spacing w:after="0" w:line="180" w:lineRule="exact"/>
        <w:rPr>
          <w:sz w:val="20"/>
          <w:szCs w:val="20"/>
          <w:color w:val="auto"/>
        </w:rPr>
      </w:pPr>
    </w:p>
    <w:p>
      <w:pPr>
        <w:ind w:firstLine="10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Net Investment</w:t>
      </w:r>
      <w:r>
        <w:rPr>
          <w:rFonts w:ascii="Arial" w:cs="Arial" w:eastAsia="Arial" w:hAnsi="Arial"/>
          <w:sz w:val="18"/>
          <w:szCs w:val="18"/>
          <w:color w:val="auto"/>
        </w:rPr>
        <w:t xml:space="preserve">” means the aggregate cash amount paid by the lenders or purchasers under any Permitted Receivables Financing in connection with their purchase of, or the making of loans secured by, Receivables Assets or interests therein, as the same may be reduced from time to time by collections with respect to such Receivables Assets or otherwise in accordance with the terms of the Permitted Receivables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though such distribution had not been made.</w:t>
      </w:r>
    </w:p>
    <w:p>
      <w:pPr>
        <w:spacing w:after="0" w:line="19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Received Amount</w:t>
      </w:r>
      <w:r>
        <w:rPr>
          <w:rFonts w:ascii="Arial" w:cs="Arial" w:eastAsia="Arial" w:hAnsi="Arial"/>
          <w:sz w:val="18"/>
          <w:szCs w:val="18"/>
          <w:color w:val="auto"/>
        </w:rPr>
        <w:t>” has the meaning specified in Section 8.14(d).</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9.08(e).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4" w:name="page75"/>
    <w:bookmarkEnd w:id="74"/>
    <w:p>
      <w:pPr>
        <w:ind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w:t>
      </w:r>
      <w:r>
        <w:rPr>
          <w:rFonts w:ascii="Arial" w:cs="Arial" w:eastAsia="Arial" w:hAnsi="Arial"/>
          <w:sz w:val="18"/>
          <w:szCs w:val="18"/>
          <w:color w:val="auto"/>
        </w:rPr>
        <w:t>” means any business which is the same as or related, ancillary or complementary to, or a reasonable extension or expansion of, any of the businesses of the Company and its Restricted Subsidiaries on the Closing Date.</w:t>
      </w:r>
    </w:p>
    <w:p>
      <w:pPr>
        <w:spacing w:after="0" w:line="180" w:lineRule="exact"/>
        <w:rPr>
          <w:sz w:val="20"/>
          <w:szCs w:val="20"/>
          <w:color w:val="auto"/>
        </w:rPr>
      </w:pPr>
    </w:p>
    <w:p>
      <w:pPr>
        <w:ind w:right="14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trustees, partners and advisors of such Person and such Person’s Affiliates.</w:t>
      </w:r>
    </w:p>
    <w:p>
      <w:pPr>
        <w:spacing w:after="0" w:line="180" w:lineRule="exact"/>
        <w:rPr>
          <w:sz w:val="20"/>
          <w:szCs w:val="20"/>
          <w:color w:val="auto"/>
        </w:rPr>
      </w:pPr>
    </w:p>
    <w:p>
      <w:pPr>
        <w:ind w:right="20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Materials), including the migration of any Hazardous Material through the air, soil, surface water or groundwater.</w:t>
      </w:r>
    </w:p>
    <w:p>
      <w:pPr>
        <w:spacing w:after="0" w:line="191" w:lineRule="exact"/>
        <w:rPr>
          <w:sz w:val="20"/>
          <w:szCs w:val="20"/>
          <w:color w:val="auto"/>
        </w:rPr>
      </w:pPr>
    </w:p>
    <w:p>
      <w:pPr>
        <w:ind w:right="20" w:firstLine="1034"/>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Remedial Action</w:t>
      </w:r>
      <w:r>
        <w:rPr>
          <w:rFonts w:ascii="Arial" w:cs="Arial" w:eastAsia="Arial" w:hAnsi="Arial"/>
          <w:sz w:val="16"/>
          <w:szCs w:val="16"/>
          <w:color w:val="auto"/>
        </w:rPr>
        <w:t>” means (a) all actions taken under any Environmental Law to (i) clean up, remove, remediate, contain, treat, monitor, assess or evaluate Hazardous Materials present in, or threatened to be Released into, the environment, (ii) perform pre-remedial studies and investigations and post-remedial operation and maintenance activities or (b) any response actions authorized by 42 U.S.C. 9601 et seq. or analogous state law.</w:t>
      </w:r>
    </w:p>
    <w:p>
      <w:pPr>
        <w:spacing w:after="0" w:line="154" w:lineRule="exact"/>
        <w:rPr>
          <w:sz w:val="20"/>
          <w:szCs w:val="20"/>
          <w:color w:val="auto"/>
        </w:rPr>
      </w:pPr>
    </w:p>
    <w:p>
      <w:pPr>
        <w:ind w:right="100" w:firstLine="10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 and Charges Reserve</w:t>
      </w:r>
      <w:r>
        <w:rPr>
          <w:rFonts w:ascii="Arial" w:cs="Arial" w:eastAsia="Arial" w:hAnsi="Arial"/>
          <w:sz w:val="17"/>
          <w:szCs w:val="17"/>
          <w:color w:val="auto"/>
        </w:rPr>
        <w:t xml:space="preserve">” means reserves in such amounts as the Agent, may elect to impose in its Permitted Discretion from time to time in respect of all past due rent and other amounts owing by any Loan Party to any landlord, warehouseman, processor, repairman, mechanic, shipper, freight forwarder, broker or other Person who (a) possesses any ABL Priority Collateral or (b) could assert a Lien on any ABL Priority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with respect to any landlord, warehouseman, processor, repairman, mechanic, shipper, freight forwarder, broker or other Person who possesses any ABL Priority Collateral or could assert a Lien on any ABL Priority Collateral, a reserve equal to three (3) months’ rent at such location and such other reserve amounts that may be determined by the Agent in its Permitted Discretion.</w:t>
      </w:r>
    </w:p>
    <w:p>
      <w:pPr>
        <w:spacing w:after="0" w:line="179" w:lineRule="exact"/>
        <w:rPr>
          <w:sz w:val="20"/>
          <w:szCs w:val="20"/>
          <w:color w:val="auto"/>
        </w:rPr>
      </w:pPr>
    </w:p>
    <w:p>
      <w:pPr>
        <w:ind w:right="80" w:firstLine="103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Reportable Event</w:t>
      </w:r>
      <w:r>
        <w:rPr>
          <w:rFonts w:ascii="Arial" w:cs="Arial" w:eastAsia="Arial" w:hAnsi="Arial"/>
          <w:sz w:val="17"/>
          <w:szCs w:val="17"/>
          <w:color w:val="auto"/>
        </w:rPr>
        <w:t>” means any of the events set forth in Section 4043(c) of ERISA or the regulations issued thereunder, with respect to a Plan, other than (a) those events as to which notice is waived pursuant to 29 C.F.R. Section 4043 as in effect on the date hereof (no matter how such notice requirement may be changed in the future) or (b) except as may occur as a result of the transactions contemplated by the KPP Settlement Agreement so long as the Borrower and its Subsidiaries have no liability with respect thereto and only with respect to the portion of the transactions contemplated by the KPP Settlement Agreement that have not been consummated as of the Initial Closing Date.</w:t>
      </w:r>
    </w:p>
    <w:p>
      <w:pPr>
        <w:spacing w:after="0" w:line="181" w:lineRule="exact"/>
        <w:rPr>
          <w:sz w:val="20"/>
          <w:szCs w:val="20"/>
          <w:color w:val="auto"/>
        </w:rPr>
      </w:pPr>
    </w:p>
    <w:p>
      <w:pPr>
        <w:ind w:right="80" w:firstLine="103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owed at least a majority in interest of the sum of (a) the then aggregate unpaid principal amount of the Revolving Loans outstanding at such time, (b) the aggregate Unused Revolving Credit Commitments at such time and (c) the aggregate Letter of Credit Obligations at such time (with the aggregate amount of each Lender’s risk participation and funded participation in Letter of Credit Obligations being deemed held by such Lender for purposes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Lender shall be a Defaulting Lender at such time, there shall be excluded from the determination of Required Lenders at such time (for the avoidance of doubt such exclusion shall apply to both the numerator and denominator (A) the aggregate principal amount of the Revolving Loans owing to such Lender (in its capacity as a Lender) and outstanding at such time, (B) the Unused Revolving Credit Commitment of such Lender at such time and (C) the Letter of Credit Obligations held or deemed held by such Lender at such time.</w:t>
      </w:r>
    </w:p>
    <w:p>
      <w:pPr>
        <w:spacing w:after="0" w:line="167" w:lineRule="exact"/>
        <w:rPr>
          <w:sz w:val="20"/>
          <w:szCs w:val="20"/>
          <w:color w:val="auto"/>
        </w:rPr>
      </w:pPr>
    </w:p>
    <w:p>
      <w:pPr>
        <w:ind w:right="80"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Reserves</w:t>
      </w:r>
      <w:r>
        <w:rPr>
          <w:rFonts w:ascii="Arial" w:cs="Arial" w:eastAsia="Arial" w:hAnsi="Arial"/>
          <w:sz w:val="18"/>
          <w:szCs w:val="18"/>
          <w:color w:val="auto"/>
        </w:rPr>
        <w:t>” means, at any time of determination and without duplication, the sum of (a) the Specified Secured Obligations Reserve, (b) any Rent and Charges Reserves, (c) the Bank Product Reserve, in effect from time to time, (d) a reserve established from time to time by Agent in its Permitted Discretion following consultation with the Company to reflect the additional costs (including labor and overhead) in connection with the conversion of WIP to finished goods, as determined by Agent in good faith, and (e) such additional reserves, in such amounts and with respect to such matters, as the Agent in its Permitted Discretion may elect to impose from time to time.</w:t>
      </w:r>
    </w:p>
    <w:p>
      <w:pPr>
        <w:spacing w:after="0" w:line="193" w:lineRule="exact"/>
        <w:rPr>
          <w:sz w:val="20"/>
          <w:szCs w:val="20"/>
          <w:color w:val="auto"/>
        </w:rPr>
      </w:pPr>
    </w:p>
    <w:p>
      <w:pPr>
        <w:ind w:right="100"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general counsel, executive vice president, secretary, assistant secretary, treasurer, assistant treasurer or controller (or any affiliate or subsidiary party the foregoing) of a Loan Party. Any document delivered hereunder or under any other Loan Document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has the meaning specified in Section 5.02(h).</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each Subsidiary of Loan Parties that is not an Unrestricted Subsidiary.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75" w:name="page76"/>
    <w:bookmarkEnd w:id="75"/>
    <w:p>
      <w:pPr>
        <w:ind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xml:space="preserve">” means as to any Lender (a) the amount set forth opposite such Lender’s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Lender’s “Revolving Credit Commitment”, which shall be designated as a Commitment under the Revolving Credit Facility, (b) that is an Assuming Lender, the amount set forth in the applicable Assumption Agreement or (c) if such Lender has entered into an Assignment and Acceptance, the amount set forth for such Lender in the Register maintained by the Agent pursuant to Section 9.08(e), as such amount may be reduced pursuant to Section 2.05 or increased pursuant to Section 2.21.</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amount of the Lenders’ Revolving Credit Commitments at such time.</w:t>
      </w:r>
    </w:p>
    <w:p>
      <w:pPr>
        <w:spacing w:after="0" w:line="220" w:lineRule="exact"/>
        <w:rPr>
          <w:sz w:val="20"/>
          <w:szCs w:val="20"/>
          <w:color w:val="auto"/>
        </w:rPr>
      </w:pPr>
    </w:p>
    <w:p>
      <w:pPr>
        <w:ind w:right="54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 Usage</w:t>
      </w:r>
      <w:r>
        <w:rPr>
          <w:rFonts w:ascii="Arial" w:cs="Arial" w:eastAsia="Arial" w:hAnsi="Arial"/>
          <w:sz w:val="18"/>
          <w:szCs w:val="18"/>
          <w:color w:val="auto"/>
        </w:rPr>
        <w:t>” means at any time, the amount obtained by adding (i) the aggregate outstanding principal amount of all Revolving Loans and (ii) the aggregate outstanding Letter of Credit Obligations.</w:t>
      </w:r>
    </w:p>
    <w:p>
      <w:pPr>
        <w:spacing w:after="0" w:line="180" w:lineRule="exact"/>
        <w:rPr>
          <w:sz w:val="20"/>
          <w:szCs w:val="20"/>
          <w:color w:val="auto"/>
        </w:rPr>
      </w:pPr>
    </w:p>
    <w:p>
      <w:pPr>
        <w:ind w:right="640" w:firstLine="103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Loan</w:t>
      </w:r>
      <w:r>
        <w:rPr>
          <w:rFonts w:ascii="Arial" w:cs="Arial" w:eastAsia="Arial" w:hAnsi="Arial"/>
          <w:sz w:val="16"/>
          <w:szCs w:val="16"/>
          <w:color w:val="auto"/>
        </w:rPr>
        <w:t>” means a loan made by a Lender as part of a Borrowing and refers to a Base Rate Revolving Loan or a Eurodollar Rate Revolving Loan and shall be deemed to include any Swingline Loan, any Overadvance Loan and any Protective Revolving Loan made hereunder.</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a division of The McGraw-Hill Companies, Inc.</w:t>
      </w:r>
    </w:p>
    <w:p>
      <w:pPr>
        <w:spacing w:after="0" w:line="220" w:lineRule="exact"/>
        <w:rPr>
          <w:sz w:val="20"/>
          <w:szCs w:val="20"/>
          <w:color w:val="auto"/>
        </w:rPr>
      </w:pPr>
    </w:p>
    <w:p>
      <w:pPr>
        <w:ind w:right="8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w:t>
      </w:r>
      <w:r>
        <w:rPr>
          <w:rFonts w:ascii="Arial" w:cs="Arial" w:eastAsia="Arial" w:hAnsi="Arial"/>
          <w:sz w:val="18"/>
          <w:szCs w:val="18"/>
          <w:color w:val="auto"/>
        </w:rPr>
        <w:t>” means any international economic sanction administered or enforced by the United States Government (including OFAC), the United Nations Security Council, the European Union, Her Majesty’s Treasury or other relevant sanctions Governmental Authority.</w:t>
      </w:r>
    </w:p>
    <w:p>
      <w:pPr>
        <w:spacing w:after="0" w:line="180" w:lineRule="exact"/>
        <w:rPr>
          <w:sz w:val="20"/>
          <w:szCs w:val="20"/>
          <w:color w:val="auto"/>
        </w:rPr>
      </w:pPr>
    </w:p>
    <w:p>
      <w:pPr>
        <w:ind w:right="14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Agent, each Lender, each Issuing Bank, each Bank Product Provider and each Specified Secured Creditor (but in the case of each Bank Product Provider and each Specified Secured Creditor only so long as such Bank Product Provider or Specified Secured Creditor (or its Affiliate, as the case may be) is a Lender hereunder).</w:t>
      </w:r>
    </w:p>
    <w:p>
      <w:pPr>
        <w:spacing w:after="0" w:line="188" w:lineRule="exact"/>
        <w:rPr>
          <w:sz w:val="20"/>
          <w:szCs w:val="20"/>
          <w:color w:val="auto"/>
        </w:rPr>
      </w:pPr>
    </w:p>
    <w:p>
      <w:pPr>
        <w:ind w:right="4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Debt</w:t>
      </w:r>
      <w:r>
        <w:rPr>
          <w:rFonts w:ascii="Arial" w:cs="Arial" w:eastAsia="Arial" w:hAnsi="Arial"/>
          <w:sz w:val="18"/>
          <w:szCs w:val="18"/>
          <w:color w:val="auto"/>
        </w:rPr>
        <w:t>” means, without duplication, the aggregate principal amount of Debt for Borrowed Money secured by a Lien on assets of the Company and its Restricted Subsidiaries determined on a Consolidated basis.</w:t>
      </w:r>
    </w:p>
    <w:p>
      <w:pPr>
        <w:spacing w:after="0" w:line="180" w:lineRule="exact"/>
        <w:rPr>
          <w:sz w:val="20"/>
          <w:szCs w:val="20"/>
          <w:color w:val="auto"/>
        </w:rPr>
      </w:pPr>
    </w:p>
    <w:p>
      <w:pPr>
        <w:ind w:right="20" w:firstLine="103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Leverage Ratio</w:t>
      </w:r>
      <w:r>
        <w:rPr>
          <w:rFonts w:ascii="Arial" w:cs="Arial" w:eastAsia="Arial" w:hAnsi="Arial"/>
          <w:sz w:val="17"/>
          <w:szCs w:val="17"/>
          <w:color w:val="auto"/>
        </w:rPr>
        <w:t>” means, on any date, the ratio of (a) Secured Debt on such date less the domestic cash and Cash Equivalents of the Loan Parties (excluding (i) cash in the Professional Fee Escrow Account, (ii) cash and Cash Equivalents included in the Borrowing Base and (iii) cash and Cash Equivalents securing letters of credit referred to in Section 5.02(d)(xxviii)) on such date, in each case free and clear of all Liens other than any Liens permitted pursuant to Section 5.02(a) to (b) Consolidated EBITDA during the most recently completed Measurement Period.</w:t>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the “</w:t>
      </w:r>
      <w:r>
        <w:rPr>
          <w:rFonts w:ascii="Arial" w:cs="Arial" w:eastAsia="Arial" w:hAnsi="Arial"/>
          <w:sz w:val="18"/>
          <w:szCs w:val="18"/>
          <w:u w:val="single" w:color="auto"/>
          <w:color w:val="auto"/>
        </w:rPr>
        <w:t>Secured Obligations</w:t>
      </w:r>
      <w:r>
        <w:rPr>
          <w:rFonts w:ascii="Arial" w:cs="Arial" w:eastAsia="Arial" w:hAnsi="Arial"/>
          <w:sz w:val="18"/>
          <w:szCs w:val="18"/>
          <w:color w:val="auto"/>
        </w:rPr>
        <w:t>”, as defined in the Security Agreement.</w:t>
      </w:r>
    </w:p>
    <w:p>
      <w:pPr>
        <w:spacing w:after="0" w:line="220" w:lineRule="exact"/>
        <w:rPr>
          <w:sz w:val="20"/>
          <w:szCs w:val="20"/>
          <w:color w:val="auto"/>
        </w:rPr>
      </w:pPr>
    </w:p>
    <w:p>
      <w:pPr>
        <w:ind w:right="10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Amended and Restated Security Agreement, dated as of the Closing Date, made by Borrower and each Guarantor in favor of Agent for the benefit of the Secured Parties, as such agreement may be amended, restated, supplemented, replaced or otherwise modified from time to time.</w:t>
      </w:r>
    </w:p>
    <w:p>
      <w:pPr>
        <w:spacing w:after="0" w:line="188" w:lineRule="exact"/>
        <w:rPr>
          <w:sz w:val="20"/>
          <w:szCs w:val="20"/>
          <w:color w:val="auto"/>
        </w:rPr>
      </w:pPr>
    </w:p>
    <w:p>
      <w:pPr>
        <w:ind w:right="140" w:firstLine="1034"/>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any Loan Party or any ERISA Affiliate and no Person other than the Loan Parties and the ERISA Affiliates or (b) was so maintained and in respect of which any Loan Party or any ERISA Affiliate could have liability under Section 4069 of ERISA in the event such plan has been or were to be terminated.</w:t>
      </w:r>
    </w:p>
    <w:p>
      <w:pPr>
        <w:spacing w:after="0" w:line="154" w:lineRule="exact"/>
        <w:rPr>
          <w:sz w:val="20"/>
          <w:szCs w:val="20"/>
          <w:color w:val="auto"/>
        </w:rPr>
      </w:pPr>
    </w:p>
    <w:p>
      <w:pPr>
        <w:ind w:right="60" w:firstLine="103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with respect to any Person on a particular date, that on such date (a) the sum of the debt and liabilities (including subordinated and contingent liabilities) of such Person and its Subsidiaries, taken as a whole, does not exceed the fair value of the present assets of such Person and its Subsidiaries, taken as a whole; (b) the present fair saleable value of the assets of such Person and its Subsidiaries, taken as a whole, is greater than the total amount that will be required to pay the probable debt and liabilities (including subordinated and contingent liabilities) of such Person and its Subsidiaries as they become absolute and matured; (c) the capital of such Person and its Subsidiaries, taken as a whole, is not unreasonably small in relation to the business of such Person or its Subsidiaries, taken as a whole, contemplated as of the date hereof and as proposed to be conducted following the Closing Date; and (d) such Person and its Subsidiaries, taken as a whole, have not incurred, or believe that they will incur, debts or other liabilities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6" w:name="page77"/>
    <w:bookmarkEnd w:id="76"/>
    <w:p>
      <w:pPr>
        <w:ind w:right="20" w:firstLine="103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Purpose Receivables Subsidiary</w:t>
      </w:r>
      <w:r>
        <w:rPr>
          <w:rFonts w:ascii="Arial" w:cs="Arial" w:eastAsia="Arial" w:hAnsi="Arial"/>
          <w:sz w:val="17"/>
          <w:szCs w:val="17"/>
          <w:color w:val="auto"/>
        </w:rPr>
        <w:t>” means a subsidiary of the Company established in connection with a Permitted Receivables Financing for the acquisition of Receivables Assets or interests therein, and which is organized in a manner intended to reduce the likelihood that it would be substantively consolidated with the Company or any of the Subsidiaries (other than Special Purpose Receivables Subsidiaries) in the event the Company or any such Subsidiary becomes subject to a proceeding under the U.S. Bankruptcy Code or a similar foreign debtor relief law.</w:t>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Collateral</w:t>
      </w:r>
      <w:r>
        <w:rPr>
          <w:rFonts w:ascii="Arial" w:cs="Arial" w:eastAsia="Arial" w:hAnsi="Arial"/>
          <w:sz w:val="18"/>
          <w:szCs w:val="18"/>
          <w:color w:val="auto"/>
        </w:rPr>
        <w:t>” has the meaning specified in the Security Agreement.</w:t>
      </w:r>
    </w:p>
    <w:p>
      <w:pPr>
        <w:spacing w:after="0" w:line="220" w:lineRule="exact"/>
        <w:rPr>
          <w:sz w:val="20"/>
          <w:szCs w:val="20"/>
          <w:color w:val="auto"/>
        </w:rPr>
      </w:pPr>
    </w:p>
    <w:p>
      <w:pPr>
        <w:ind w:right="200" w:firstLine="10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Holders</w:t>
      </w:r>
      <w:r>
        <w:rPr>
          <w:rFonts w:ascii="Arial" w:cs="Arial" w:eastAsia="Arial" w:hAnsi="Arial"/>
          <w:sz w:val="18"/>
          <w:szCs w:val="18"/>
          <w:color w:val="auto"/>
        </w:rPr>
        <w:t>” means GSO Special Situations Fund LP, GSO Special Situations Overseas Master Fund LTD., GSO Credit-A Partners LP, GSO Palmetto Opportunistic Investment Partners LP, FS Investment Corporation, Locust Street Funding LLC, FS Investment Corporation II, Blue Mountain Credit Alternatives Master Fund L.P., Bluemountain Credit Opportunities Master Fund I L.P., Bluemountain Timberline LTD., Bluemountain Strategic Credit Master Fund L.P., Bluemountain Kicking Horse Fund L.P., Bluemountain Long/Short Credit Master Fund L.P., Bluemountain Distressed Master Fund L.P., Bluemountain Long Short Grasmoor Fund LTD., Bluemountain Long/Short Credit and Distressed Reflection Fund P.L.C., A Sub-Fund of AAI Bluemountain Fund P.L.C., and any Affiliate of any of the foregoing.</w:t>
      </w:r>
    </w:p>
    <w:p>
      <w:pPr>
        <w:spacing w:after="0" w:line="195" w:lineRule="exact"/>
        <w:rPr>
          <w:sz w:val="20"/>
          <w:szCs w:val="20"/>
          <w:color w:val="auto"/>
        </w:rPr>
      </w:pPr>
    </w:p>
    <w:p>
      <w:pPr>
        <w:ind w:right="26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means a Loan Party that is not then an “eligible contract participant” under the Commodity Exchange Act (determined prior to giving effect to Section 7.08).</w:t>
      </w:r>
    </w:p>
    <w:p>
      <w:pPr>
        <w:spacing w:after="0" w:line="180" w:lineRule="exact"/>
        <w:rPr>
          <w:sz w:val="20"/>
          <w:szCs w:val="20"/>
          <w:color w:val="auto"/>
        </w:rPr>
      </w:pPr>
    </w:p>
    <w:p>
      <w:pPr>
        <w:ind w:firstLine="10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Secured Creditor Agreements</w:t>
      </w:r>
      <w:r>
        <w:rPr>
          <w:rFonts w:ascii="Arial" w:cs="Arial" w:eastAsia="Arial" w:hAnsi="Arial"/>
          <w:sz w:val="17"/>
          <w:szCs w:val="17"/>
          <w:color w:val="auto"/>
        </w:rPr>
        <w:t>” means, to the extent designated as such by the Company in writing to the Agent pursuant to a Specified Secured Obligations Agreement from time to time in accordance with Section 8.13, as to each Specified Secured Creditor, (a) all agreements evidencing any obligations of the Company and any of its Subsidiaries owing to such Specified Secured Creditor and its Affiliates including, related to all letters of credit issued by such Specified Secured Creditor and its Affiliates for the benefit of the Company or any of its Subsidiaries (other than Letters of Credit issued hereunder) and (b) each agreement or instrument delivered by any Loan Party or Subsidiary of the Company pursuant to any of the foregoing, as the same may be amended from time to time in accordance with the provisions thereof.</w:t>
      </w:r>
    </w:p>
    <w:p>
      <w:pPr>
        <w:spacing w:after="0" w:line="179" w:lineRule="exact"/>
        <w:rPr>
          <w:sz w:val="20"/>
          <w:szCs w:val="20"/>
          <w:color w:val="auto"/>
        </w:rPr>
      </w:pPr>
    </w:p>
    <w:p>
      <w:pPr>
        <w:ind w:right="80" w:firstLine="103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Secured Creditors</w:t>
      </w:r>
      <w:r>
        <w:rPr>
          <w:rFonts w:ascii="Arial" w:cs="Arial" w:eastAsia="Arial" w:hAnsi="Arial"/>
          <w:sz w:val="16"/>
          <w:szCs w:val="16"/>
          <w:color w:val="auto"/>
        </w:rPr>
        <w:t xml:space="preserve">” means any Lender or Affiliate of a Lender to the extent of any Specified Secured Obligations furnished by such Lender or Affiliate of a Lender on the Initial Closing Date or, if such Specified Secured Obligations are established by a Lender or Affiliate after the Initial Closing Date, to the extent such Person was a Lender or an Affiliate of a Lender on the date such Specified Secured Obligations are established;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each case a Specified Secured Obligations Agreement has been duly executed and delivered to the Agent within 10 days following the later of the Initial Closing Date or creation of the Specified Secured Obligations, (i) describing the Specified Secured Obligations and setting forth the maximum amount to be secured by the Collateral and the methodology to be used in calculating such amount, and (ii) agreeing to be bound by Section 8.13.</w:t>
      </w:r>
    </w:p>
    <w:p>
      <w:pPr>
        <w:spacing w:after="0" w:line="169" w:lineRule="exact"/>
        <w:rPr>
          <w:sz w:val="20"/>
          <w:szCs w:val="20"/>
          <w:color w:val="auto"/>
        </w:rPr>
      </w:pPr>
    </w:p>
    <w:p>
      <w:pPr>
        <w:ind w:right="140" w:firstLine="1034"/>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Secured Obligations</w:t>
      </w:r>
      <w:r>
        <w:rPr>
          <w:rFonts w:ascii="Arial" w:cs="Arial" w:eastAsia="Arial" w:hAnsi="Arial"/>
          <w:sz w:val="16"/>
          <w:szCs w:val="16"/>
          <w:color w:val="auto"/>
        </w:rPr>
        <w:t xml:space="preserve">” means Debt or other obligations of any Loan Party or any Subsidiary owing to any Specified Secured Creditor under any Specified Secured Creditor Agreement set forth on </w:t>
      </w:r>
      <w:r>
        <w:rPr>
          <w:rFonts w:ascii="Arial" w:cs="Arial" w:eastAsia="Arial" w:hAnsi="Arial"/>
          <w:sz w:val="16"/>
          <w:szCs w:val="16"/>
          <w:u w:val="single" w:color="auto"/>
          <w:color w:val="auto"/>
        </w:rPr>
        <w:t>Schedule S-1</w:t>
      </w:r>
      <w:r>
        <w:rPr>
          <w:rFonts w:ascii="Arial" w:cs="Arial" w:eastAsia="Arial" w:hAnsi="Arial"/>
          <w:sz w:val="16"/>
          <w:szCs w:val="16"/>
          <w:color w:val="auto"/>
        </w:rPr>
        <w:t xml:space="preserve">, in respect of which the Agent shall have received a Specified Secured Obligations Agreement, which Schedule may be amended by the Company from time to time by delivery of an updated Schedule (identified as such) to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aggregate principal amount of all such obligations constituting “Specified Secured Obligations” shall not exceed $25,000,000 at any time.</w:t>
      </w:r>
    </w:p>
    <w:p>
      <w:pPr>
        <w:spacing w:after="0" w:line="162" w:lineRule="exact"/>
        <w:rPr>
          <w:sz w:val="20"/>
          <w:szCs w:val="20"/>
          <w:color w:val="auto"/>
        </w:rPr>
      </w:pPr>
    </w:p>
    <w:p>
      <w:pPr>
        <w:ind w:right="4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Secured Obligations Agreement</w:t>
      </w:r>
      <w:r>
        <w:rPr>
          <w:rFonts w:ascii="Arial" w:cs="Arial" w:eastAsia="Arial" w:hAnsi="Arial"/>
          <w:sz w:val="18"/>
          <w:szCs w:val="18"/>
          <w:color w:val="auto"/>
        </w:rPr>
        <w:t xml:space="preserve">” means an agreement in substantially the form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 duly executed by the applicable Specified Secured Creditor, the Company, and the Agent.</w:t>
      </w:r>
    </w:p>
    <w:p>
      <w:pPr>
        <w:spacing w:after="0" w:line="180" w:lineRule="exact"/>
        <w:rPr>
          <w:sz w:val="20"/>
          <w:szCs w:val="20"/>
          <w:color w:val="auto"/>
        </w:rPr>
      </w:pPr>
    </w:p>
    <w:p>
      <w:pPr>
        <w:ind w:right="80" w:firstLine="1034"/>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Secured Obligations Reserve</w:t>
      </w:r>
      <w:r>
        <w:rPr>
          <w:rFonts w:ascii="Arial" w:cs="Arial" w:eastAsia="Arial" w:hAnsi="Arial"/>
          <w:sz w:val="16"/>
          <w:szCs w:val="16"/>
          <w:color w:val="auto"/>
        </w:rPr>
        <w:t xml:space="preserve">” means, as of any date of determination, the amount of Reserves that the Agent has established (based upon the amounts set forth in the applicable Specified Secured Obligations Agreements received by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Specified Secured Obligations Reserve amount shall be established for any Specified Secured Obligations unless and until the Agent has received a Specified Secured Obligations Agreement requesting the establishment of a Reserve) up to a maximum amount of $25,000,000 in the aggregate for all Specified Secured Obligations then provided.</w:t>
      </w:r>
    </w:p>
    <w:p>
      <w:pPr>
        <w:spacing w:after="0" w:line="162" w:lineRule="exact"/>
        <w:rPr>
          <w:sz w:val="20"/>
          <w:szCs w:val="20"/>
          <w:color w:val="auto"/>
        </w:rPr>
      </w:pPr>
    </w:p>
    <w:p>
      <w:pPr>
        <w:ind w:firstLine="103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(a) any incurrence or repayment of Debt (other than for working capital purposes) or Investment that results in a Person becoming a Subsidiary, (b) any Permitted Acquisition, (c) any Disposition that results in a Subsidiary ceasing to be a Subsidiary of the Company, (d) any Disposition having an aggregate consideration in excess of $5,000,000 (other than Dispositions in the ordinary course of business), (e) any Investment constituting an acquisition of assets constituting a business unit, line of business or division of another Person or any Disposition of a business unit, line of business or division of the Company or a Subsidiary, in each case whether by merger, consolidation, amalgamation or otherwise or (f) any designation of any Restricted Subsidiary as an Unrestricted Subsidiary, or of any Unrestricted Subsidiary as a Restricted Subsidiary, in each case in accordance herewith.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7" w:name="page78"/>
    <w:bookmarkEnd w:id="77"/>
    <w:p>
      <w:pPr>
        <w:ind w:right="1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and Asset Purchase Agreement</w:t>
      </w:r>
      <w:r>
        <w:rPr>
          <w:rFonts w:ascii="Arial" w:cs="Arial" w:eastAsia="Arial" w:hAnsi="Arial"/>
          <w:sz w:val="18"/>
          <w:szCs w:val="18"/>
          <w:color w:val="auto"/>
        </w:rPr>
        <w:t>” means the Amended and Restated Stock and Asset Purchase Agreement, dated August 31, 2013, among the Borrower, Qualex Inc., Kodak (Near East) Inc., as sellers and KPP Trustees Limited.</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Obligations</w:t>
      </w:r>
      <w:r>
        <w:rPr>
          <w:rFonts w:ascii="Arial" w:cs="Arial" w:eastAsia="Arial" w:hAnsi="Arial"/>
          <w:sz w:val="18"/>
          <w:szCs w:val="18"/>
          <w:color w:val="auto"/>
        </w:rPr>
        <w:t>” has the meaning specified in Section 7.06.</w:t>
      </w:r>
    </w:p>
    <w:p>
      <w:pPr>
        <w:spacing w:after="0" w:line="220" w:lineRule="exact"/>
        <w:rPr>
          <w:sz w:val="20"/>
          <w:szCs w:val="20"/>
          <w:color w:val="auto"/>
        </w:rPr>
      </w:pPr>
    </w:p>
    <w:p>
      <w:pPr>
        <w:ind w:right="80" w:firstLine="10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fifty percent (50%) of the ordinary voting power or, in the case of a partnership, more than fifty percent (50%) of the general partnership interests are, as of such date, owned, controlled or held. Unless otherwise specified, “Subsidiary” shall mean a Subsidiary of the Company. A “Subsidiary” shall not include any variable interest entity.</w:t>
      </w:r>
    </w:p>
    <w:p>
      <w:pPr>
        <w:spacing w:after="0" w:line="179" w:lineRule="exact"/>
        <w:rPr>
          <w:sz w:val="20"/>
          <w:szCs w:val="20"/>
          <w:color w:val="auto"/>
        </w:rPr>
      </w:pPr>
    </w:p>
    <w:p>
      <w:pPr>
        <w:ind w:right="100" w:firstLine="1034"/>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the direct and indirect wholly-owned (other than directors’ qualifying shares or similar holdings under applicable law) Subsidiaries of the Company organized under the laws of a state of the United States of America as listed on Part A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(other than Excluded Subsidiaries) and each other Subsidiary of the Company that shall be required to execute and deliver a guaranty pursuant to Section 5.01(i).</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Redesignation</w:t>
      </w:r>
      <w:r>
        <w:rPr>
          <w:rFonts w:ascii="Arial" w:cs="Arial" w:eastAsia="Arial" w:hAnsi="Arial"/>
          <w:sz w:val="18"/>
          <w:szCs w:val="18"/>
          <w:color w:val="auto"/>
        </w:rPr>
        <w:t>” has the meaning specified in the definition of “Unrestricted Subsidiary”.</w:t>
      </w:r>
    </w:p>
    <w:p>
      <w:pPr>
        <w:spacing w:after="0" w:line="220" w:lineRule="exact"/>
        <w:rPr>
          <w:sz w:val="20"/>
          <w:szCs w:val="20"/>
          <w:color w:val="auto"/>
        </w:rPr>
      </w:pPr>
    </w:p>
    <w:p>
      <w:pPr>
        <w:ind w:firstLine="103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Supermajority Lenders</w:t>
      </w:r>
      <w:r>
        <w:rPr>
          <w:rFonts w:ascii="Arial" w:cs="Arial" w:eastAsia="Arial" w:hAnsi="Arial"/>
          <w:sz w:val="16"/>
          <w:szCs w:val="16"/>
          <w:color w:val="auto"/>
        </w:rPr>
        <w:t xml:space="preserve">” means, at any time, Lenders owed or holding at least 75% in interest of the sum of (a) the aggregate principal amount of the Revolving Loans outstanding at such time, (b) the aggregate Unused Revolving Credit Commitment at such time and (c) the aggregate Letter of Credit Obligations at such time (with the aggregate amount of each Lender’s risk participation and funded participation in Letter of Credit Obligations being deemed held by such Lender for purposes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Lender shall be a Defaulting Lender at such time, there shall be excluded from the determination of Supermajority Lenders at such time (for the avoidance of doubt such exclusion shall apply to both the numerator and denominator)</w:t>
      </w:r>
    </w:p>
    <w:p>
      <w:pPr>
        <w:spacing w:after="0" w:line="1" w:lineRule="exact"/>
        <w:rPr>
          <w:sz w:val="20"/>
          <w:szCs w:val="20"/>
          <w:color w:val="auto"/>
        </w:rPr>
      </w:pPr>
    </w:p>
    <w:p>
      <w:pPr>
        <w:ind w:right="340" w:firstLine="7"/>
        <w:spacing w:after="0" w:line="316" w:lineRule="auto"/>
        <w:tabs>
          <w:tab w:leader="none" w:pos="29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aggregate principal amount of the Revolving Loans owing to such Lender (in its capacity as a Lender) and outstanding at such time, (B) the Unused Revolving Credit Commitment of such Lender at such time and (C) the Letter of Credit Obligations held or deemed held by such Lender at such time.</w:t>
      </w:r>
    </w:p>
    <w:p>
      <w:pPr>
        <w:spacing w:after="0" w:line="145" w:lineRule="exact"/>
        <w:rPr>
          <w:sz w:val="20"/>
          <w:szCs w:val="20"/>
          <w:color w:val="auto"/>
        </w:rPr>
      </w:pPr>
    </w:p>
    <w:p>
      <w:pPr>
        <w:ind w:right="3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 Loan Party, its obligations under any agreement, contract or transaction that constitutes a “swap” within the meaning of Section 1a(47) of the Commodity Exchange Act.</w:t>
      </w:r>
    </w:p>
    <w:p>
      <w:pPr>
        <w:spacing w:after="0" w:line="180" w:lineRule="exact"/>
        <w:rPr>
          <w:sz w:val="20"/>
          <w:szCs w:val="20"/>
          <w:color w:val="auto"/>
        </w:rPr>
      </w:pPr>
    </w:p>
    <w:p>
      <w:pPr>
        <w:ind w:right="22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any Borrowing of a Base Rate Revolving Loan funded with the Agent’s funds, until such Borrowing is settled among Lenders or repaid by Borrower.</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 Notice</w:t>
      </w:r>
      <w:r>
        <w:rPr>
          <w:rFonts w:ascii="Arial" w:cs="Arial" w:eastAsia="Arial" w:hAnsi="Arial"/>
          <w:sz w:val="18"/>
          <w:szCs w:val="18"/>
          <w:color w:val="auto"/>
        </w:rPr>
        <w:t>” has the meaning specified in Section 2.22(a).</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specified in Section 2.14(a).</w:t>
      </w:r>
    </w:p>
    <w:p>
      <w:pPr>
        <w:spacing w:after="0" w:line="220" w:lineRule="exact"/>
        <w:rPr>
          <w:sz w:val="20"/>
          <w:szCs w:val="20"/>
          <w:color w:val="auto"/>
        </w:rPr>
      </w:pPr>
    </w:p>
    <w:p>
      <w:pPr>
        <w:ind w:right="80" w:firstLine="103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means the earlier of (a) the Maturity Date, or (b) the date of termination in whole of the Revolving Credit Commitments pursuant to Section 2.05, 6.01 or 9.16(b),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the event that the scheduled maturity date of any of the Exit Term Loan Debt (and Debt incurred to refinance the Exit Term Loan Debt), is a date which is less than 91 days after the scheduled maturity date of the Revolving Credit Facility set forth in clause (a) then the scheduled Termination Date shall be the date which is the earlier of (i) the Maturity Date or (ii) the date that is 90 days prior to the earliest scheduled maturity date of any of the Exit Term Loan Debt (and Debt incurred to refinance the Exit Term Loan Debt), as the case may be.</w:t>
      </w:r>
    </w:p>
    <w:p>
      <w:pPr>
        <w:spacing w:after="0" w:line="165" w:lineRule="exact"/>
        <w:rPr>
          <w:sz w:val="20"/>
          <w:szCs w:val="20"/>
          <w:color w:val="auto"/>
        </w:rPr>
      </w:pPr>
    </w:p>
    <w:p>
      <w:pPr>
        <w:jc w:val="both"/>
        <w:ind w:right="4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Intercreditor Agreement</w:t>
      </w:r>
      <w:r>
        <w:rPr>
          <w:rFonts w:ascii="Arial" w:cs="Arial" w:eastAsia="Arial" w:hAnsi="Arial"/>
          <w:sz w:val="18"/>
          <w:szCs w:val="18"/>
          <w:color w:val="auto"/>
        </w:rPr>
        <w:t>” means the Intercreditor Agreement, dated as of the Initial Closing Date, among the Agent, as ABL Agent, JPMorgan Chase Bank, N.A, as Exit First Lien Term Loan Agent, Barclays Bank PLC, as Exit Second Lien Term Loan Agent, the Company and Guarantors, as the same may from time to time be amended, amended and restated, modified, or replaced.</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Priority Collateral</w:t>
      </w:r>
      <w:r>
        <w:rPr>
          <w:rFonts w:ascii="Arial" w:cs="Arial" w:eastAsia="Arial" w:hAnsi="Arial"/>
          <w:sz w:val="18"/>
          <w:szCs w:val="18"/>
          <w:color w:val="auto"/>
        </w:rPr>
        <w:t>” has the meaning set forth in the Term Loan Intercreditor Agreement.</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TMM Assets</w:t>
      </w:r>
      <w:r>
        <w:rPr>
          <w:rFonts w:ascii="Arial" w:cs="Arial" w:eastAsia="Arial" w:hAnsi="Arial"/>
          <w:sz w:val="18"/>
          <w:szCs w:val="18"/>
          <w:color w:val="auto"/>
        </w:rPr>
        <w:t>” has the meaning set forth in the Stock and Asset Purchase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8" w:name="page79"/>
    <w:bookmarkEnd w:id="78"/>
    <w:p>
      <w:pPr>
        <w:ind w:firstLine="1034"/>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Assets</w:t>
      </w:r>
      <w:r>
        <w:rPr>
          <w:rFonts w:ascii="Arial" w:cs="Arial" w:eastAsia="Arial" w:hAnsi="Arial"/>
          <w:sz w:val="17"/>
          <w:szCs w:val="17"/>
          <w:color w:val="auto"/>
        </w:rPr>
        <w:t>” means, as of any date of determination, the aggregate amount of assets reflected on the consolidated balance sheet of the Company and its Restricted Subsidiaries most recently delivered by the Company pursuant to Section 5.01 on or prior to such date of determination.</w:t>
      </w:r>
    </w:p>
    <w:p>
      <w:pPr>
        <w:spacing w:after="0" w:line="156" w:lineRule="exact"/>
        <w:rPr>
          <w:sz w:val="20"/>
          <w:szCs w:val="20"/>
          <w:color w:val="auto"/>
        </w:rPr>
      </w:pPr>
    </w:p>
    <w:p>
      <w:pPr>
        <w:ind w:right="180" w:firstLine="103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means, at any date, the ratio of (a) the aggregate principal amount of Debt for Borrowed Money of the Borrower and its Restricted Subsidiaries at such date less the domestic cash and Cash Equivalents of the Loan Parties (excluding, without duplication, (x) cash in the Professional Fee Escrow Account, (y) cash and Cash Equivalents included in the Borrowing Base and (z) cash and Cash Equivalents securing letters of credit referred to in Section 5.02(d)(xxvii)) at such date, in each case free and clear of all Liens other than any Liens permitted pursuant to Section 5.02(a) to (b) Consolidated EBITDA during the most recently completed Measurement Period.</w:t>
      </w:r>
    </w:p>
    <w:p>
      <w:pPr>
        <w:spacing w:after="0" w:line="181" w:lineRule="exact"/>
        <w:rPr>
          <w:sz w:val="20"/>
          <w:szCs w:val="20"/>
          <w:color w:val="auto"/>
        </w:rPr>
      </w:pPr>
    </w:p>
    <w:p>
      <w:pPr>
        <w:ind w:right="800" w:firstLine="10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refers to the distinction between Revolving Loans bearing interest at the Base Rate and Revolving Loans bearing interest at the Eurodollar Rate.</w:t>
      </w:r>
    </w:p>
    <w:p>
      <w:pPr>
        <w:spacing w:after="0" w:line="180" w:lineRule="exact"/>
        <w:rPr>
          <w:sz w:val="20"/>
          <w:szCs w:val="20"/>
          <w:color w:val="auto"/>
        </w:rPr>
      </w:pPr>
    </w:p>
    <w:p>
      <w:pPr>
        <w:ind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Pension Scheme</w:t>
      </w:r>
      <w:r>
        <w:rPr>
          <w:rFonts w:ascii="Arial" w:cs="Arial" w:eastAsia="Arial" w:hAnsi="Arial"/>
          <w:sz w:val="18"/>
          <w:szCs w:val="18"/>
          <w:color w:val="auto"/>
        </w:rPr>
        <w:t>” means the retirement benefits scheme known as the Kodak Pension Plan.</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Pensions Regulator</w:t>
      </w:r>
      <w:r>
        <w:rPr>
          <w:rFonts w:ascii="Arial" w:cs="Arial" w:eastAsia="Arial" w:hAnsi="Arial"/>
          <w:sz w:val="18"/>
          <w:szCs w:val="18"/>
          <w:color w:val="auto"/>
        </w:rPr>
        <w:t>” means the Pensions Regulator established in the United Kingdom pursuant to the Pensions Act of 2004.</w:t>
      </w:r>
    </w:p>
    <w:p>
      <w:pPr>
        <w:spacing w:after="0" w:line="220" w:lineRule="exact"/>
        <w:rPr>
          <w:sz w:val="20"/>
          <w:szCs w:val="20"/>
          <w:color w:val="auto"/>
        </w:rPr>
      </w:pPr>
    </w:p>
    <w:p>
      <w:pPr>
        <w:jc w:val="both"/>
        <w:ind w:right="6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Unissued Letter of Credit Commitment</w:t>
      </w:r>
      <w:r>
        <w:rPr>
          <w:rFonts w:ascii="Arial" w:cs="Arial" w:eastAsia="Arial" w:hAnsi="Arial"/>
          <w:sz w:val="18"/>
          <w:szCs w:val="18"/>
          <w:color w:val="auto"/>
        </w:rPr>
        <w:t>” means, with respect to any Issuing Bank, the obligation of such Issuing Bank to issue Letters of Credit for the account of the Company or its Subsidiaries in an amount equal to the excess of (a) the amount of its Letter of Credit Commitment over (b) the aggregate Letter of Credit Obligations outstanding to such Issuing Bank.</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0" w:lineRule="exact"/>
        <w:rPr>
          <w:sz w:val="20"/>
          <w:szCs w:val="20"/>
          <w:color w:val="auto"/>
        </w:rPr>
      </w:pPr>
    </w:p>
    <w:p>
      <w:pPr>
        <w:ind w:right="220" w:firstLine="103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means (a) any Subsidiary of the Company designated by the Company as an “Unrestricted Subsidiary” as listed on </w:t>
      </w:r>
      <w:r>
        <w:rPr>
          <w:rFonts w:ascii="Arial" w:cs="Arial" w:eastAsia="Arial" w:hAnsi="Arial"/>
          <w:sz w:val="16"/>
          <w:szCs w:val="16"/>
          <w:u w:val="single" w:color="auto"/>
          <w:color w:val="auto"/>
        </w:rPr>
        <w:t>Schedule 1.01(u)</w:t>
      </w:r>
      <w:r>
        <w:rPr>
          <w:rFonts w:ascii="Arial" w:cs="Arial" w:eastAsia="Arial" w:hAnsi="Arial"/>
          <w:sz w:val="16"/>
          <w:szCs w:val="16"/>
          <w:color w:val="auto"/>
        </w:rPr>
        <w:t>, (b) any Subsidiary of the Company designated by the Company as an Unrestricted Subsidiary hereunder by written notice to the Agent and</w:t>
      </w:r>
    </w:p>
    <w:p>
      <w:pPr>
        <w:spacing w:after="0" w:line="1" w:lineRule="exact"/>
        <w:rPr>
          <w:sz w:val="20"/>
          <w:szCs w:val="20"/>
          <w:color w:val="auto"/>
        </w:rPr>
      </w:pPr>
    </w:p>
    <w:p>
      <w:pPr>
        <w:ind w:right="20" w:firstLine="7"/>
        <w:spacing w:after="0" w:line="280" w:lineRule="auto"/>
        <w:tabs>
          <w:tab w:leader="none" w:pos="2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any Subsidiary of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each case, as to clause (a) and (b), the Company shall only be permitted to so designate a Subsidiary as an Unrestricted Subsidiary so long as each of the following conditions is satisfied: (i) as of the date of the designation thereof and after giving effect thereto, no Default exists or has occurred and is continuing, (ii) immediately after giving effect to such designation, upon giving pro forma effect to such designation, Excess Availability shall be at least the amount equal to 20% of the Revolving Credit Facility for the 30 days preceding and as of the date of designation, (iii) the Fixed Charge Coverage Ratio for the immediately preceding 12 month period, determined on a pro forma basis giving effect to the designation, is not less than 1.00 to 1.00, (iv) such Unrestricted Subsidiary shall be capitalized (to the extent capitalized by Company or any of its Restricted Subsidiaries) through Investments as permitted by, and in compliance with, Section 5.02(i), such that the equity interests in such Subsidiary as of the date of, and after giving effect to, it becoming an Unrestricted Subsidiary shall be an Investment deemed made on such date to a Person that is not a Subsidiary of Company, and any Debt of such Subsidiary owing to any Loan Party or Restricted Subsidiary as of the date of, and after giving effect to, it becoming an Unrestricted Subsidiary shall be an investment deemed made on such date to a Person that is not a Subsidiary of the Company, (v) without duplication of clause (iv), the value of and investments in such Subsidiary will constitute Investments, (vi) such Subsidiary shall have been or will promptly be designated an “Unrestricted Subsidiary” (or otherwise not be subject to the covenants) under the Exit First Lien Term Loan Agreement, Exit Second Lien Term Loan Agreement and Permitted Refinancing of the Exit First Lien Term Loan Debt and Exit Second Lien Term Loan Debt, if applicable, and shall not be designated a Restricted Subsidiary for purposes of such Debt, (vii) such Subsidiary shall not have as of the date of the designation thereof or at any time thereafter, create, incur, issue, assume, guarantee or otherwise become directly liable with respect to any Debt pursuant to which the lender, or other party to whom such Debt is owing, has recourse to any Loan Party or any Restricted Subsidiary or their assets unless otherwise permitted hereunder with respect to a third party, (viii) (A) such Subsidiary shall have total assets (as determined in accordance with GAAP) in an amount of less than seven and one half percent (7.5%) of the Consolidated total assets of Company and its Subsidiaries as of the last day of the fiscal year most recently ended as set forth in the financial statements delivered pursuant to Section 5.01(h)(ii), and (B) such Subsidiary contributed less than seven and one-half percent (7.5%) to the Consolidated net sales of the Company and its Subsidiaries for the fiscal year most recently ended as set forth in the financial statements delivered pursuant to Section 5.01(h)(ii);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total assets (as so determined) and net sales (as so determined) of all Unrestricted Subsidiaries shall not exceed seven and one-half percent (7.5%) of the Consolidated total assets shown on the Consolidated financial statements of Company and 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Subsidiaries, or seven and one-half percent (7.5%) of Consolidated net sales of the Company and its Subsidiaries for any twelve (12) consecutive fiscal month</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period, as the case may be, and (ix) the Agent shall have received an officer’s certificate executed by a Responsible Officer of the Company, certifying</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the requirements of preceding clauses (i) through (viii), and containing the calculations and information required by the preceding clause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(ii). In the event that total assets of all Unrestricted Subsidiaries exceed seven and one-half percent (7.5%) of the Consolidated total assets of the Company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its Subsidiaries, or the total contribution to Consolidated net sales of all Unrestricted Subsidiaries exceeds seven and one-half percent (7.5%) of net sales for 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such fiscal period for which financial statements have been delivered pursuant to the terms of the Agreement,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first two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and one-half percent of such thresholds do not count against the calculation of total assets and total net sales for purposes of satisfying the requirements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thresholds for Immaterial Subsidiaries), the Company will designate Subsidiaries which shall no longer constitute Unrestricted Subsidiaries in order to comply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with such seven and one half percent (7.5%) thresholds. The Company may designate any Unrestricted Subsidiary to be a Restricted Subsidiary for purposes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Agreement (each, a “Subsidiary Redesignation”);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(1) as of the date thereof, and after giving effect thereto, no Default or Event of Default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exists or has occurred and is continuing, (2) immediately after giving effect to such Subsidiary Redesignation, the Loan Parties shall be in compliance, on a pro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forma basis, with the conditions set forth in clause (iii) above, (3) designation of any Unrestricted Subsidiary as a Restricted Subsidiary shall constitute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incurrence at the time of designation of any Debt or Liens of such Subsidiary existing at such time, and (4) the Agent shall have received an officer’s certificate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executed by a Responsible Officer of the Company, certifying compliance with the requirements of preceding clauses (1) and (2), and containing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calculations and information required by the preceding clause (2).</w:t>
      </w:r>
    </w:p>
    <w:p>
      <w:pPr>
        <w:spacing w:after="0" w:line="209" w:lineRule="exact"/>
        <w:rPr>
          <w:sz w:val="20"/>
          <w:szCs w:val="20"/>
          <w:color w:val="auto"/>
        </w:rPr>
      </w:pPr>
    </w:p>
    <w:p>
      <w:pPr>
        <w:ind w:right="140" w:firstLine="10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Revolving Credit Commitment</w:t>
      </w:r>
      <w:r>
        <w:rPr>
          <w:rFonts w:ascii="Arial" w:cs="Arial" w:eastAsia="Arial" w:hAnsi="Arial"/>
          <w:sz w:val="18"/>
          <w:szCs w:val="18"/>
          <w:color w:val="auto"/>
        </w:rPr>
        <w:t>” means, with respect to each Lender at any time, (a) such Lender’s Revolving Credit Commitment at such time minus (b) the sum of (i) the aggregate principal amount of all Revolving Loans made by such Lender (in its capacity as a Lender) and outstanding at such time, plus (ii) such Lender’s Ratable Share of (A) the aggregate Available Amount of all Letters of Credit outstanding at such time, (B) the aggregate principal amount of all Revolving Loans made by each Issuing Bank pursuant to Section 2.03(c) that have not been ratably funded by such Lender and outstanding at such time and (C) any outstanding Swingline Loans.</w:t>
      </w:r>
    </w:p>
    <w:p>
      <w:pPr>
        <w:spacing w:after="0" w:line="193" w:lineRule="exact"/>
        <w:rPr>
          <w:sz w:val="20"/>
          <w:szCs w:val="20"/>
          <w:color w:val="auto"/>
        </w:rPr>
      </w:pPr>
    </w:p>
    <w:p>
      <w:pPr>
        <w:ind w:right="80" w:firstLine="103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Cash</w:t>
      </w:r>
      <w:r>
        <w:rPr>
          <w:rFonts w:ascii="Arial" w:cs="Arial" w:eastAsia="Arial" w:hAnsi="Arial"/>
          <w:sz w:val="16"/>
          <w:szCs w:val="16"/>
          <w:color w:val="auto"/>
        </w:rPr>
        <w:t>” means, at any time, the amount of cash and Cash Equivalents of the Loan Parties which (a) is maintained in an account located in the United States, subject to the Agent’s first priority perfected security interest pursuant to an account control agreement satisfactory to the Agent, (b) is available for use by a Loan Party, without condition or restriction and (c) is free and clear of any pledge, security interest, lien, claim or other encumbrance (other than in favor of the Agent on behalf of the Secured Parties, the Exit First Lien Term Loan Agent on behalf of the lenders pursuant to the Exit First Lien Term Loan Agreement, and the Exit Second Lien Term Loan Agent on behalf of the lenders pursuant to the Exit Second Lien Term Loan Agreement, and other than in favor of the securities intermediary with which such cash is maintained for its customary fees and charges).</w:t>
      </w:r>
    </w:p>
    <w:p>
      <w:pPr>
        <w:spacing w:after="0" w:line="169" w:lineRule="exact"/>
        <w:rPr>
          <w:sz w:val="20"/>
          <w:szCs w:val="20"/>
          <w:color w:val="auto"/>
        </w:rPr>
      </w:pPr>
    </w:p>
    <w:p>
      <w:pPr>
        <w:ind w:right="4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(a) for Inventory, its value determined on the basis of the lower of cost or market, calculated on a first-in, first-out basis, and excluding any portion of cost attributable to intercompany profit among the Loan Parties and their Affiliates; and (b) for an Account, its face amount, net of any returns, rebates, discounts (calculated on the shortest terms), credits, allowances or taxes (including sales, excise or other taxes) that have been or could be claimed by the Account Debtor or any other Person.</w:t>
      </w:r>
    </w:p>
    <w:p>
      <w:pPr>
        <w:spacing w:after="0" w:line="191" w:lineRule="exact"/>
        <w:rPr>
          <w:sz w:val="20"/>
          <w:szCs w:val="20"/>
          <w:color w:val="auto"/>
        </w:rPr>
      </w:pPr>
    </w:p>
    <w:p>
      <w:pPr>
        <w:ind w:right="60" w:firstLine="103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88" w:lineRule="exact"/>
        <w:rPr>
          <w:sz w:val="20"/>
          <w:szCs w:val="20"/>
          <w:color w:val="auto"/>
        </w:rPr>
      </w:pPr>
    </w:p>
    <w:p>
      <w:pPr>
        <w:ind w:right="80" w:firstLine="10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Debt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Debt.</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has the meaning specified in Part I of Subtitle E of Title IV of ERISA.</w:t>
      </w:r>
    </w:p>
    <w:p>
      <w:pPr>
        <w:spacing w:after="0" w:line="220" w:lineRule="exact"/>
        <w:rPr>
          <w:sz w:val="20"/>
          <w:szCs w:val="20"/>
          <w:color w:val="auto"/>
        </w:rPr>
      </w:pPr>
    </w:p>
    <w:p>
      <w:pPr>
        <w:ind w:right="180" w:firstLine="1034"/>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the write-down and conversion powers of the applicable EEA Resolution Authority from time to time under the Bail-In Legislation for the applicable EEA Member Country, which powers are described in the EU Bail-In Legislation Schedule.</w:t>
      </w:r>
    </w:p>
    <w:p>
      <w:pPr>
        <w:spacing w:after="0" w:line="156" w:lineRule="exact"/>
        <w:rPr>
          <w:sz w:val="20"/>
          <w:szCs w:val="20"/>
          <w:color w:val="auto"/>
        </w:rPr>
      </w:pPr>
    </w:p>
    <w:p>
      <w:pPr>
        <w:ind w:right="200" w:firstLine="518"/>
        <w:spacing w:after="0" w:line="267" w:lineRule="auto"/>
        <w:rPr>
          <w:sz w:val="20"/>
          <w:szCs w:val="20"/>
          <w:color w:val="auto"/>
        </w:rPr>
      </w:pPr>
      <w:r>
        <w:rPr>
          <w:rFonts w:ascii="Arial" w:cs="Arial" w:eastAsia="Arial" w:hAnsi="Arial"/>
          <w:sz w:val="18"/>
          <w:szCs w:val="18"/>
          <w:color w:val="010000"/>
        </w:rPr>
        <w:t xml:space="preserve">SECTION 1.02. </w:t>
      </w:r>
      <w:r>
        <w:rPr>
          <w:rFonts w:ascii="Arial" w:cs="Arial" w:eastAsia="Arial" w:hAnsi="Arial"/>
          <w:sz w:val="18"/>
          <w:szCs w:val="18"/>
          <w:u w:val="single" w:color="auto"/>
          <w:color w:val="010000"/>
        </w:rPr>
        <w:t>Computation of Time Periods</w:t>
      </w:r>
      <w:r>
        <w:rPr>
          <w:rFonts w:ascii="Arial" w:cs="Arial" w:eastAsia="Arial" w:hAnsi="Arial"/>
          <w:sz w:val="18"/>
          <w:szCs w:val="18"/>
          <w:color w:val="010000"/>
        </w:rPr>
        <w:t>. In this Agreement in the computation of periods of time from a specified date to a later specified date, the word “from” means “from and including” and the words “to” and “until” each mean “to but excluding”.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0" w:name="page81"/>
    <w:bookmarkEnd w:id="80"/>
    <w:p>
      <w:pPr>
        <w:ind w:right="20" w:firstLine="518"/>
        <w:spacing w:after="0" w:line="282" w:lineRule="auto"/>
        <w:rPr>
          <w:sz w:val="20"/>
          <w:szCs w:val="20"/>
          <w:color w:val="auto"/>
        </w:rPr>
      </w:pPr>
      <w:r>
        <w:rPr>
          <w:rFonts w:ascii="Arial" w:cs="Arial" w:eastAsia="Arial" w:hAnsi="Arial"/>
          <w:sz w:val="16"/>
          <w:szCs w:val="16"/>
          <w:color w:val="010000"/>
        </w:rPr>
        <w:t xml:space="preserve">SECTION 1.03. </w:t>
      </w:r>
      <w:r>
        <w:rPr>
          <w:rFonts w:ascii="Arial" w:cs="Arial" w:eastAsia="Arial" w:hAnsi="Arial"/>
          <w:sz w:val="16"/>
          <w:szCs w:val="16"/>
          <w:u w:val="single" w:color="auto"/>
          <w:color w:val="010000"/>
        </w:rPr>
        <w:t>Accounting Terms</w:t>
      </w:r>
      <w:r>
        <w:rPr>
          <w:rFonts w:ascii="Arial" w:cs="Arial" w:eastAsia="Arial" w:hAnsi="Arial"/>
          <w:sz w:val="16"/>
          <w:szCs w:val="16"/>
          <w:color w:val="010000"/>
        </w:rPr>
        <w:t xml:space="preserve">. All accounting terms not specifically defined herein shall be construed in accordance with generally accepted accounting principles in the United States of America (“GAAP”). If at any time any change in GAAP or the application thereof would affect the computation of any financial ratio or requirement set forth in any Loan Document, and either the Company or the Required Lenders shall so request, the Agent, the Lenders and the Company shall negotiate in good faith to amend such ratio or requirement to preserve the original intent thereof in light of such change in GAAP or the application thereof (subject to the approval of the Required Lenders);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until so amended, (i) such ratio or requirement shall continue to be computed in accordance with GAAP or the application thereof prior to such change therein and (ii) the Borrower shall provide to the Agent financial statements and other documents required under this Agreement or as reasonably requested hereunder setting forth a reconciliation between calculations of such ratio or requirement made before and after giving effect to such change in GAAP or the application thereof. All terms of an accounting or financial nature used herein shall be construed, and all computations of amounts and ratios referred to herein shall be made, without giving effect to (A) any election under Accounting Standards Codification 825-10-25 (or any other Accounting Standards Codification having a similar result or effect) to value any Debt or other liabilities of the Company or any Subsidiary at “fair value”, as defined therein and (B) any treatment of Debt in respect of convertible debt instruments under Accounting Standards Codification 470-20 (or any other Accounting Standards Codification having a similar result or effect) to value any such Debt in a reduced or bifurcated manner as described therein, and such Debt shall at all times be valued at the full stated principal amount thereof).</w:t>
      </w:r>
    </w:p>
    <w:p>
      <w:pPr>
        <w:spacing w:after="0" w:line="17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010000"/>
        </w:rPr>
        <w:t xml:space="preserve">SECTION 1.04. </w:t>
      </w:r>
      <w:r>
        <w:rPr>
          <w:rFonts w:ascii="Arial" w:cs="Arial" w:eastAsia="Arial" w:hAnsi="Arial"/>
          <w:sz w:val="18"/>
          <w:szCs w:val="18"/>
          <w:u w:val="single" w:color="auto"/>
          <w:color w:val="010000"/>
        </w:rPr>
        <w:t>Reserves</w:t>
      </w:r>
      <w:r>
        <w:rPr>
          <w:rFonts w:ascii="Arial" w:cs="Arial" w:eastAsia="Arial" w:hAnsi="Arial"/>
          <w:sz w:val="18"/>
          <w:szCs w:val="18"/>
          <w:color w:val="010000"/>
        </w:rPr>
        <w:t>. Reserves may be established by Agent or Agent may change the amount, percentage, reserve, eligibility criteria or other item in the definitions of the terms “Borrowing Base”, “Eligible Inventory”, “Eligible Receivables”, “Eligible Equipment” and “Rent and Charges Reserve” in each case in the Agent’s Permitted Discretion.</w:t>
      </w:r>
    </w:p>
    <w:p>
      <w:pPr>
        <w:spacing w:after="0" w:line="188" w:lineRule="exact"/>
        <w:rPr>
          <w:sz w:val="20"/>
          <w:szCs w:val="20"/>
          <w:color w:val="auto"/>
        </w:rPr>
      </w:pPr>
    </w:p>
    <w:p>
      <w:pPr>
        <w:ind w:right="160" w:firstLine="518"/>
        <w:spacing w:after="0" w:line="252" w:lineRule="auto"/>
        <w:rPr>
          <w:sz w:val="20"/>
          <w:szCs w:val="20"/>
          <w:color w:val="auto"/>
        </w:rPr>
      </w:pPr>
      <w:r>
        <w:rPr>
          <w:rFonts w:ascii="Arial" w:cs="Arial" w:eastAsia="Arial" w:hAnsi="Arial"/>
          <w:sz w:val="18"/>
          <w:szCs w:val="18"/>
          <w:color w:val="010000"/>
        </w:rPr>
        <w:t xml:space="preserve">SECTION 1.05. </w:t>
      </w:r>
      <w:r>
        <w:rPr>
          <w:rFonts w:ascii="Arial" w:cs="Arial" w:eastAsia="Arial" w:hAnsi="Arial"/>
          <w:sz w:val="18"/>
          <w:szCs w:val="18"/>
          <w:u w:val="single" w:color="auto"/>
          <w:color w:val="010000"/>
        </w:rPr>
        <w:t>Letter of Credit Amount</w:t>
      </w:r>
      <w:r>
        <w:rPr>
          <w:rFonts w:ascii="Arial" w:cs="Arial" w:eastAsia="Arial" w:hAnsi="Arial"/>
          <w:sz w:val="18"/>
          <w:szCs w:val="18"/>
          <w:color w:val="010000"/>
        </w:rPr>
        <w:t xml:space="preserve">. Unless otherwise specified herein, the amount of a Letter of Credit at any time shall be deemed to be the stated amount of such Letter of Credit in effect at such time;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however</w:t>
      </w:r>
      <w:r>
        <w:rPr>
          <w:rFonts w:ascii="Arial" w:cs="Arial" w:eastAsia="Arial" w:hAnsi="Arial"/>
          <w:sz w:val="18"/>
          <w:szCs w:val="18"/>
          <w:color w:val="010000"/>
        </w:rPr>
        <w:t>, that with respect to any Letter of Credit that, by its terms or the terms of any L/C Related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93"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010000"/>
        </w:rPr>
        <w:t xml:space="preserve">SECTION 1.06. </w:t>
      </w:r>
      <w:r>
        <w:rPr>
          <w:rFonts w:ascii="Arial" w:cs="Arial" w:eastAsia="Arial" w:hAnsi="Arial"/>
          <w:sz w:val="18"/>
          <w:szCs w:val="18"/>
          <w:u w:val="single" w:color="auto"/>
          <w:color w:val="010000"/>
        </w:rPr>
        <w:t>Currency Equivalents Generally</w:t>
      </w:r>
      <w:r>
        <w:rPr>
          <w:rFonts w:ascii="Arial" w:cs="Arial" w:eastAsia="Arial" w:hAnsi="Arial"/>
          <w:sz w:val="18"/>
          <w:szCs w:val="18"/>
          <w:color w:val="010000"/>
        </w:rPr>
        <w:t>. Any amount specified in this Agreement (other than in Article II) or in any other Loan Document to be in Dollars shall also include the equivalent of such amount in any currency other than Dollars to the extent necessary to give effect to the intent of this Agreement, such equivalent amount thereof in the applicable currency to be determined by the Agent at such time on the basis of the exchange rate for the purchase of such currency with Dollars as quoted by the Agent.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1.07. </w:t>
      </w:r>
      <w:r>
        <w:rPr>
          <w:rFonts w:ascii="Arial" w:cs="Arial" w:eastAsia="Arial" w:hAnsi="Arial"/>
          <w:sz w:val="18"/>
          <w:szCs w:val="18"/>
          <w:u w:val="single" w:color="auto"/>
          <w:color w:val="010000"/>
        </w:rPr>
        <w:t>Pro Forma Calculations</w:t>
      </w:r>
      <w:r>
        <w:rPr>
          <w:rFonts w:ascii="Arial" w:cs="Arial" w:eastAsia="Arial" w:hAnsi="Arial"/>
          <w:sz w:val="18"/>
          <w:szCs w:val="18"/>
          <w:color w:val="010000"/>
        </w:rPr>
        <w:t>.</w:t>
      </w:r>
    </w:p>
    <w:p>
      <w:pPr>
        <w:spacing w:after="0" w:line="113" w:lineRule="exact"/>
        <w:rPr>
          <w:sz w:val="20"/>
          <w:szCs w:val="20"/>
          <w:color w:val="auto"/>
        </w:rPr>
      </w:pPr>
    </w:p>
    <w:p>
      <w:pPr>
        <w:ind w:right="80" w:firstLine="1041"/>
        <w:spacing w:after="0" w:line="257" w:lineRule="auto"/>
        <w:tabs>
          <w:tab w:leader="none" w:pos="1276" w:val="left"/>
        </w:tabs>
        <w:numPr>
          <w:ilvl w:val="0"/>
          <w:numId w:val="42"/>
        </w:numPr>
        <w:rPr>
          <w:rFonts w:ascii="Arial" w:cs="Arial" w:eastAsia="Arial" w:hAnsi="Arial"/>
          <w:sz w:val="18"/>
          <w:szCs w:val="18"/>
          <w:color w:val="010000"/>
        </w:rPr>
      </w:pPr>
      <w:r>
        <w:rPr>
          <w:rFonts w:ascii="Arial" w:cs="Arial" w:eastAsia="Arial" w:hAnsi="Arial"/>
          <w:sz w:val="18"/>
          <w:szCs w:val="18"/>
          <w:color w:val="010000"/>
        </w:rPr>
        <w:t>Notwithstanding anything to the contrary herein, Consolidated EBITDA and the Fixed Charge Coverage Ratio (except in each case with respect to any transaction contemplated by the KPP Settlement Agreement) shall be calculated in the manner prescribed by this Section 1.07 for purposes other than in connection with the compliance of Section 5.03 hereof.</w:t>
      </w:r>
    </w:p>
    <w:p>
      <w:pPr>
        <w:spacing w:after="0" w:line="81" w:lineRule="exact"/>
        <w:rPr>
          <w:rFonts w:ascii="Arial" w:cs="Arial" w:eastAsia="Arial" w:hAnsi="Arial"/>
          <w:sz w:val="18"/>
          <w:szCs w:val="18"/>
          <w:color w:val="010000"/>
        </w:rPr>
      </w:pPr>
    </w:p>
    <w:p>
      <w:pPr>
        <w:ind w:right="80" w:firstLine="1041"/>
        <w:spacing w:after="0" w:line="284" w:lineRule="auto"/>
        <w:tabs>
          <w:tab w:leader="none" w:pos="1286" w:val="left"/>
        </w:tabs>
        <w:numPr>
          <w:ilvl w:val="0"/>
          <w:numId w:val="42"/>
        </w:numPr>
        <w:rPr>
          <w:rFonts w:ascii="Arial" w:cs="Arial" w:eastAsia="Arial" w:hAnsi="Arial"/>
          <w:sz w:val="16"/>
          <w:szCs w:val="16"/>
          <w:color w:val="010000"/>
        </w:rPr>
      </w:pPr>
      <w:r>
        <w:rPr>
          <w:rFonts w:ascii="Arial" w:cs="Arial" w:eastAsia="Arial" w:hAnsi="Arial"/>
          <w:sz w:val="16"/>
          <w:szCs w:val="16"/>
          <w:color w:val="010000"/>
        </w:rPr>
        <w:t>For purposes of calculating Consolidated EBITDA and the Fixed Charge Coverage Ratio, Specified Transactions (and the incurrence or repayment of any Debt in connection therewith) that have been made (i) during the applicable Measurement Period and (ii) subsequent to such Measurement Period and prior to or simultaneously with the event for which the calculation of any such ratio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Measurement Period. If since the beginning of any applicable Measurement Period any Person that subsequently became a Restricted Subsidiary or was merged, amalgamated or consolidated with or into the Borrower or any of its Restricted Subsidiaries since the beginning of such Measurement Period shall have made any Specified Transaction that would have required adjustment pursuant to this Section 1.07, then the Fixed Charge Coverage Ratio shall be calculated to give pro forma effect thereto in accordance with this Section 1.07 (but for the avoidance of doubt, not in connection with the calculation of Consolidated EBITDA and the Fixed Charge Coverage Ratio required under Section 5.03).</w:t>
      </w:r>
    </w:p>
    <w:p>
      <w:pPr>
        <w:spacing w:after="0" w:line="67" w:lineRule="exact"/>
        <w:rPr>
          <w:rFonts w:ascii="Arial" w:cs="Arial" w:eastAsia="Arial" w:hAnsi="Arial"/>
          <w:sz w:val="16"/>
          <w:szCs w:val="16"/>
          <w:color w:val="010000"/>
        </w:rPr>
      </w:pPr>
    </w:p>
    <w:p>
      <w:pPr>
        <w:ind w:right="140" w:firstLine="1041"/>
        <w:spacing w:after="0" w:line="269" w:lineRule="auto"/>
        <w:tabs>
          <w:tab w:leader="none" w:pos="1276" w:val="left"/>
        </w:tabs>
        <w:numPr>
          <w:ilvl w:val="0"/>
          <w:numId w:val="42"/>
        </w:numPr>
        <w:rPr>
          <w:rFonts w:ascii="Arial" w:cs="Arial" w:eastAsia="Arial" w:hAnsi="Arial"/>
          <w:sz w:val="17"/>
          <w:szCs w:val="17"/>
          <w:color w:val="010000"/>
        </w:rPr>
      </w:pPr>
      <w:r>
        <w:rPr>
          <w:rFonts w:ascii="Arial" w:cs="Arial" w:eastAsia="Arial" w:hAnsi="Arial"/>
          <w:sz w:val="17"/>
          <w:szCs w:val="17"/>
          <w:color w:val="010000"/>
        </w:rPr>
        <w:t>Whenever pro forma effect is to be given to a Specified Transaction for purposes of this Section 1.07, the pro forma calculations shall be made in good faith by a Financial Officer of the Borrower and include, for the avoidance of doubt, the amount of cost savings, operating expense reductions, other operating improvements and synergies actually realized as of the date of such pro forma calculation (calculated on a pro forma basis as though such cost savings, operating expense reductions, other operating improvements and synergies had been realized on the first day of such period as if such cost savings, operating expense reductions, other operating improvements and synergies were realized during the entirety of such period) relating to such Specified Transaction, net of the amount of actual benefits realized during such period from such actions.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81" w:name="page82"/>
    <w:bookmarkEnd w:id="81"/>
    <w:p>
      <w:pPr>
        <w:ind w:right="40" w:firstLine="1041"/>
        <w:spacing w:after="0" w:line="269" w:lineRule="auto"/>
        <w:tabs>
          <w:tab w:leader="none" w:pos="1286" w:val="left"/>
        </w:tabs>
        <w:numPr>
          <w:ilvl w:val="0"/>
          <w:numId w:val="43"/>
        </w:numPr>
        <w:rPr>
          <w:rFonts w:ascii="Arial" w:cs="Arial" w:eastAsia="Arial" w:hAnsi="Arial"/>
          <w:sz w:val="17"/>
          <w:szCs w:val="17"/>
          <w:color w:val="010000"/>
        </w:rPr>
      </w:pPr>
      <w:r>
        <w:rPr>
          <w:rFonts w:ascii="Arial" w:cs="Arial" w:eastAsia="Arial" w:hAnsi="Arial"/>
          <w:sz w:val="17"/>
          <w:szCs w:val="17"/>
          <w:color w:val="010000"/>
        </w:rPr>
        <w:t>In the event that the Borrower or any Restricted Subsidiary incurs (including by assumption or guarantees) or repays (including by redemption, repayment, retirement or extinguishment) any Debt included in the calculations of the Fixed Charge Coverage Ratio (other than Debt incurred or repaid under any revolving credit facility in the ordinary course of business for working capital purposes), (i) during the applicable Measurement Period and (ii) subsequent to the end of the applicable Measurement Period and prior to or simultaneously with the event for which the calculation of any such ratio is made, then the Fixed Charge Coverage Ratio shall be calculated giving pro forma effect to such incurrence or repayment of Debt, to the extent required, as if the same had occurred on the first day of the applicable Measurement Period.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II</w:t>
      </w:r>
    </w:p>
    <w:p>
      <w:pPr>
        <w:spacing w:after="0" w:line="220"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AMOUNTS AND TERMS OF THE REVOLVING LOANS AND LETTERS OF CREDIT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u w:val="single" w:color="auto"/>
          <w:color w:val="010000"/>
        </w:rPr>
        <w:t>The Revolving Loans and Letters of Credit</w:t>
      </w:r>
      <w:r>
        <w:rPr>
          <w:rFonts w:ascii="Arial" w:cs="Arial" w:eastAsia="Arial" w:hAnsi="Arial"/>
          <w:sz w:val="18"/>
          <w:szCs w:val="18"/>
          <w:color w:val="010000"/>
        </w:rPr>
        <w:t>.</w:t>
      </w:r>
    </w:p>
    <w:p>
      <w:pPr>
        <w:spacing w:after="0" w:line="113" w:lineRule="exact"/>
        <w:rPr>
          <w:sz w:val="20"/>
          <w:szCs w:val="20"/>
          <w:color w:val="auto"/>
        </w:rPr>
      </w:pPr>
    </w:p>
    <w:p>
      <w:pPr>
        <w:ind w:left="1280" w:hanging="239"/>
        <w:spacing w:after="0"/>
        <w:tabs>
          <w:tab w:leader="none" w:pos="1280"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010000"/>
        </w:rPr>
        <w:t>Revolving Credit Facility</w:t>
      </w:r>
      <w:r>
        <w:rPr>
          <w:rFonts w:ascii="Arial" w:cs="Arial" w:eastAsia="Arial" w:hAnsi="Arial"/>
          <w:sz w:val="18"/>
          <w:szCs w:val="18"/>
          <w:color w:val="010000"/>
        </w:rPr>
        <w:t>.</w:t>
      </w:r>
    </w:p>
    <w:p>
      <w:pPr>
        <w:spacing w:after="0" w:line="113" w:lineRule="exact"/>
        <w:rPr>
          <w:sz w:val="20"/>
          <w:szCs w:val="20"/>
          <w:color w:val="auto"/>
        </w:rPr>
      </w:pPr>
    </w:p>
    <w:p>
      <w:pPr>
        <w:ind w:right="20" w:firstLine="1034"/>
        <w:spacing w:after="0" w:line="267" w:lineRule="auto"/>
        <w:rPr>
          <w:sz w:val="20"/>
          <w:szCs w:val="20"/>
          <w:color w:val="auto"/>
        </w:rPr>
      </w:pPr>
      <w:r>
        <w:rPr>
          <w:rFonts w:ascii="Arial" w:cs="Arial" w:eastAsia="Arial" w:hAnsi="Arial"/>
          <w:sz w:val="17"/>
          <w:szCs w:val="17"/>
          <w:color w:val="auto"/>
        </w:rPr>
        <w:t>Each Lender severally agrees, on the terms and conditions hereinafter set forth, to make Revolving Loans in Dollars to the Borrower from time to time on any Business Day during the period from the Closing Date until the Termination Date, in each case (A) in an amount for each such Revolving Loan not to exceed such Lender’s Unused Revolving Credit Commitment at such time and (B) in an aggregate amount for all such Revolving Loans not to exceed such Lender’s ratable portion (based on the aggregate amount of the Unused Revolving Credit Commitments at such time) of the Line Cap at such time. Each Borrowing shall be in an aggregate amount of $10,000,000 or an integral multiple of $1,000,000 in excess thereof (or such lesser amount as may be applied and reborrowed in accordance with Section 2.18) and shall consist of Revolving Loans of the same Type made on the same day by the Lenders ratably according to their respective Revolving Credit Commitments. Within the limits of each Lender’s Revolving Credit Commitment, Borrower may borrow under this Section 2.01(a), prepay pursuant to Section 2.10 and reborrow under this Section 2.01(a).</w:t>
      </w:r>
    </w:p>
    <w:p>
      <w:pPr>
        <w:spacing w:after="0" w:line="74" w:lineRule="exact"/>
        <w:rPr>
          <w:sz w:val="20"/>
          <w:szCs w:val="20"/>
          <w:color w:val="auto"/>
        </w:rPr>
      </w:pPr>
    </w:p>
    <w:p>
      <w:pPr>
        <w:ind w:right="100" w:firstLine="1041"/>
        <w:spacing w:after="0" w:line="250" w:lineRule="auto"/>
        <w:tabs>
          <w:tab w:leader="none" w:pos="1286" w:val="left"/>
        </w:tabs>
        <w:numPr>
          <w:ilvl w:val="0"/>
          <w:numId w:val="45"/>
        </w:numPr>
        <w:rPr>
          <w:rFonts w:ascii="Arial" w:cs="Arial" w:eastAsia="Arial" w:hAnsi="Arial"/>
          <w:sz w:val="18"/>
          <w:szCs w:val="18"/>
          <w:color w:val="010000"/>
        </w:rPr>
      </w:pPr>
      <w:r>
        <w:rPr>
          <w:rFonts w:ascii="Arial" w:cs="Arial" w:eastAsia="Arial" w:hAnsi="Arial"/>
          <w:sz w:val="18"/>
          <w:szCs w:val="18"/>
          <w:u w:val="single" w:color="auto"/>
          <w:color w:val="010000"/>
        </w:rPr>
        <w:t>Letters of Credit</w:t>
      </w:r>
      <w:r>
        <w:rPr>
          <w:rFonts w:ascii="Arial" w:cs="Arial" w:eastAsia="Arial" w:hAnsi="Arial"/>
          <w:sz w:val="18"/>
          <w:szCs w:val="18"/>
          <w:color w:val="010000"/>
        </w:rPr>
        <w:t>. Each Issuing Bank agrees, on the terms and conditions hereinafter set forth, and in reliance upon the agreements of the other Lenders set forth in this Agreement, to issue or continue Letters of Credit for the account of the Company and its Subsidiaries from time to time on any Business Day during the period from the Closing Date until 30 days before the Termination Date in an aggregate Available Amount not to exceed (i) for all Letters of Credit at any time the Letter of Credit Facility at such time, (ii) for all Letters of Credit issued by each Issuing Bank at any time such Issuing Bank’s Letter of Credit Commitment at such time, and (iii) for each such Letter of Credit an amount equal to the Unused Revolving Credit Commitments of the Lenders at such time. No Letter of Credit shall have an expiration date (including all rights of the Company or the beneficiary to require renewal) later than 10 Business Days before the Termination Date. Within the limits referred to above, the Company may from time to time request the Issuance of Letters of Credit under this Section 2.01(b).</w:t>
      </w:r>
    </w:p>
    <w:p>
      <w:pPr>
        <w:spacing w:after="0" w:line="88" w:lineRule="exact"/>
        <w:rPr>
          <w:rFonts w:ascii="Arial" w:cs="Arial" w:eastAsia="Arial" w:hAnsi="Arial"/>
          <w:sz w:val="18"/>
          <w:szCs w:val="18"/>
          <w:color w:val="010000"/>
        </w:rPr>
      </w:pPr>
    </w:p>
    <w:p>
      <w:pPr>
        <w:ind w:firstLine="1041"/>
        <w:spacing w:after="0" w:line="264" w:lineRule="auto"/>
        <w:tabs>
          <w:tab w:leader="none" w:pos="1276"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010000"/>
        </w:rPr>
        <w:t>Overadvances</w:t>
      </w:r>
      <w:r>
        <w:rPr>
          <w:rFonts w:ascii="Arial" w:cs="Arial" w:eastAsia="Arial" w:hAnsi="Arial"/>
          <w:sz w:val="17"/>
          <w:szCs w:val="17"/>
          <w:color w:val="010000"/>
        </w:rPr>
        <w:t>. If Revolving Credit Facility Usage exceeds the Borrowing Base (“</w:t>
      </w:r>
      <w:r>
        <w:rPr>
          <w:rFonts w:ascii="Arial" w:cs="Arial" w:eastAsia="Arial" w:hAnsi="Arial"/>
          <w:sz w:val="17"/>
          <w:szCs w:val="17"/>
          <w:u w:val="single" w:color="auto"/>
          <w:color w:val="010000"/>
        </w:rPr>
        <w:t>Overadvance</w:t>
      </w:r>
      <w:r>
        <w:rPr>
          <w:rFonts w:ascii="Arial" w:cs="Arial" w:eastAsia="Arial" w:hAnsi="Arial"/>
          <w:sz w:val="17"/>
          <w:szCs w:val="17"/>
          <w:color w:val="010000"/>
        </w:rPr>
        <w:t>”) at any time, the excess amount shall be payable by Borrower within one (1) Business Day after demand by the Agent, but all such Revolving Loans shall nevertheless constitute Obligations secured by the Collateral and entitled to all benefits of the Loan Documents. Agent may require Lenders to honor requests for Overadvance Loans and to forbear from requiring Borrower to cure an Overadvance, (a) when no other Event of Default is known to Agent, as long as (i) the Overadvance does not continue for more than 30 consecutive days (and no Overadvance may exist for at least five consecutive days thereafter before further Overadvance Loans are required), and (ii) the Overadvance is not known by Agent to exceed when taken together with the aggregate outstanding amount of any Protective Revolving Loans, the greater of (A) $20,000,000 and (B) 10% of the aggregate Revolving Credit Commitments at any time outstanding; and (b) regardless of whether an Event of Default exists, if Agent discovers an Overadvance not previously known by it to exist, as long as from the date of such discovery the Overadvance is not increased by more than an amount such that the outstanding amount of such Overadvance when taken together with all outstanding Protective Revolving Loans does not exceed the greater of (A) $20,000,000 and (B) 10% of the aggregate Revolving Credit Commitments in the aggregate and does not continue for more than 30 consecutive days. In no event shall Overadvance Loans be required that would cause Revolving Credit Facility Usage to exceed the aggregate Revolving Credit Commitments. Any funding of an Overadvance Loan or sufferance of an Overadvance shall not constitute a waiver by Agent or Lenders of the Event of Default caused thereby. In no event shall Borrower or other Loan Party be deemed a beneficiary of this Section nor shall it be authorized to enforce any of its terms.</w:t>
      </w:r>
    </w:p>
    <w:p>
      <w:pPr>
        <w:spacing w:after="0" w:line="83" w:lineRule="exact"/>
        <w:rPr>
          <w:rFonts w:ascii="Arial" w:cs="Arial" w:eastAsia="Arial" w:hAnsi="Arial"/>
          <w:sz w:val="17"/>
          <w:szCs w:val="17"/>
          <w:color w:val="010000"/>
        </w:rPr>
      </w:pPr>
    </w:p>
    <w:p>
      <w:pPr>
        <w:ind w:right="60" w:firstLine="1041"/>
        <w:spacing w:after="0" w:line="288" w:lineRule="auto"/>
        <w:tabs>
          <w:tab w:leader="none" w:pos="1286" w:val="left"/>
        </w:tabs>
        <w:numPr>
          <w:ilvl w:val="0"/>
          <w:numId w:val="45"/>
        </w:numPr>
        <w:rPr>
          <w:rFonts w:ascii="Arial" w:cs="Arial" w:eastAsia="Arial" w:hAnsi="Arial"/>
          <w:sz w:val="16"/>
          <w:szCs w:val="16"/>
          <w:color w:val="010000"/>
        </w:rPr>
      </w:pPr>
      <w:r>
        <w:rPr>
          <w:rFonts w:ascii="Arial" w:cs="Arial" w:eastAsia="Arial" w:hAnsi="Arial"/>
          <w:sz w:val="16"/>
          <w:szCs w:val="16"/>
          <w:u w:val="single" w:color="auto"/>
          <w:color w:val="010000"/>
        </w:rPr>
        <w:t>Protective Revolving Loans</w:t>
      </w:r>
      <w:r>
        <w:rPr>
          <w:rFonts w:ascii="Arial" w:cs="Arial" w:eastAsia="Arial" w:hAnsi="Arial"/>
          <w:sz w:val="16"/>
          <w:szCs w:val="16"/>
          <w:color w:val="010000"/>
        </w:rPr>
        <w:t>. The Agent shall be authorized, in its Permitted Discretion, at any time that any conditions in Section 3.02 are not satisfied, to make Revolving Loans in Dollars that are Base Rate Revolving Loans (any such Revolving Loans made pursuant to this Section 2.01(d), “</w:t>
      </w:r>
      <w:r>
        <w:rPr>
          <w:rFonts w:ascii="Arial" w:cs="Arial" w:eastAsia="Arial" w:hAnsi="Arial"/>
          <w:sz w:val="16"/>
          <w:szCs w:val="16"/>
          <w:u w:val="single" w:color="auto"/>
          <w:color w:val="010000"/>
        </w:rPr>
        <w:t>Protective Revolving Loans</w:t>
      </w:r>
      <w:r>
        <w:rPr>
          <w:rFonts w:ascii="Arial" w:cs="Arial" w:eastAsia="Arial" w:hAnsi="Arial"/>
          <w:sz w:val="16"/>
          <w:szCs w:val="16"/>
          <w:color w:val="010000"/>
        </w:rPr>
        <w:t xml:space="preserve">”) in an aggregate amount (when aggregated with any outstanding Overadvance Loans not to exceed the greater of (i) $20,000,000 and (ii) 10% of the aggregate Revolving Credit Commitments at any time outstanding, if the Agent reasonably deems such Revolving Loans necessary to preserve or protect Collateral, or to enhance the collectability or repayment of Obligations;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no Protective Revolving Loan shall continue for more than 90 consecutive days (and no further Protective Revolving Loan may be made for at least five consecutive days after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82" w:name="page83"/>
    <w:bookmarkEnd w:id="82"/>
    <w:p>
      <w:pPr>
        <w:ind w:right="40"/>
        <w:spacing w:after="0" w:line="283" w:lineRule="auto"/>
        <w:rPr>
          <w:sz w:val="20"/>
          <w:szCs w:val="20"/>
          <w:color w:val="auto"/>
        </w:rPr>
      </w:pPr>
      <w:r>
        <w:rPr>
          <w:rFonts w:ascii="Arial" w:cs="Arial" w:eastAsia="Arial" w:hAnsi="Arial"/>
          <w:sz w:val="16"/>
          <w:szCs w:val="16"/>
          <w:color w:val="010000"/>
        </w:rPr>
        <w:t>repayment by the Borrower of any outstanding Protective Revolving Loans). Protective Revolving Loans shall constitute Obligations secured by the Collateral and shall be entitled to all of the benefits of the Loan Documents. Immediately upon the making of a Protective Revolving Loan, each applicable Lender shall be deemed to, and hereby irrevocably and unconditionally agrees to, purchase from the Agent a risk participation in such Protective Revolving Loan in an amount equal to the product of such applicable Lender’s Ratable Share times the amount of such Protective Revolving Loan. From and after the date, if any, on which any Lender is required to fund its participation in any Protective Revolving Loan purchased hereunder, the Agent shall promptly distribute to such Lender, such Lender’s Ratable Share of all payments of principal and interest and all proceeds of Collateral received by the Agent in respect of such Protective Revolving Loan (and prior to such date, all payments on account of the Protective Revolving Loans shall be payable to Agent solely for its own account). The Required Lenders may at any time revoke the Agent’s authority to make further Protective Revolving Loans by written notice to the Agent. Absent such revocation, the Agent’s determination that funding of a Protective Revolving Loan is appropriate shall be conclusive. In no event shall Protective Revolving Loans cause the aggregate outstanding amount of the Revolving Loans of any Lender, plus such Lender’s Ratable Share of the outstanding amount of all Letter of Credit Obligations to exceed such Lender’s Revolving Credit Commitment. Protective Revolving Loans shall be payable by the Borrower on demand.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10000"/>
        </w:rPr>
        <w:t>Making the Revolving Loans</w:t>
      </w:r>
      <w:r>
        <w:rPr>
          <w:rFonts w:ascii="Arial" w:cs="Arial" w:eastAsia="Arial" w:hAnsi="Arial"/>
          <w:sz w:val="18"/>
          <w:szCs w:val="18"/>
          <w:color w:val="010000"/>
        </w:rPr>
        <w:t>.</w:t>
      </w:r>
    </w:p>
    <w:p>
      <w:pPr>
        <w:spacing w:after="0" w:line="113" w:lineRule="exact"/>
        <w:rPr>
          <w:sz w:val="20"/>
          <w:szCs w:val="20"/>
          <w:color w:val="auto"/>
        </w:rPr>
      </w:pPr>
    </w:p>
    <w:p>
      <w:pPr>
        <w:ind w:firstLine="1041"/>
        <w:spacing w:after="0" w:line="265" w:lineRule="auto"/>
        <w:tabs>
          <w:tab w:leader="none" w:pos="1276" w:val="left"/>
        </w:tabs>
        <w:numPr>
          <w:ilvl w:val="0"/>
          <w:numId w:val="46"/>
        </w:numPr>
        <w:rPr>
          <w:rFonts w:ascii="Arial" w:cs="Arial" w:eastAsia="Arial" w:hAnsi="Arial"/>
          <w:sz w:val="17"/>
          <w:szCs w:val="17"/>
          <w:color w:val="010000"/>
        </w:rPr>
      </w:pPr>
      <w:r>
        <w:rPr>
          <w:rFonts w:ascii="Arial" w:cs="Arial" w:eastAsia="Arial" w:hAnsi="Arial"/>
          <w:sz w:val="17"/>
          <w:szCs w:val="17"/>
          <w:color w:val="010000"/>
        </w:rPr>
        <w:t>Except as otherwise provided in Section 2.03(a), each Borrowing shall be made on notice, given not later than (x) 11:00 a.m. (New York City time) on the third Business Day prior to the date of the proposed Borrowing in the case of a Borrowing consisting of Eurodollar Rate Revolving Loans or (y) 11:00 a.m. (New York City time) on the date of the proposed Borrowing in the case of a Borrowing consisting of Base Rate Revolving Loans, by the Borrower (or the Company on behalf of the Borrower) to the Agent, which shall give to each applicable Lender prompt notice thereof by telecopier or any other electronic means agreed to by the Agent. Each such notice of a Borrowing (a “</w:t>
      </w:r>
      <w:r>
        <w:rPr>
          <w:rFonts w:ascii="Arial" w:cs="Arial" w:eastAsia="Arial" w:hAnsi="Arial"/>
          <w:sz w:val="17"/>
          <w:szCs w:val="17"/>
          <w:u w:val="single" w:color="auto"/>
          <w:color w:val="010000"/>
        </w:rPr>
        <w:t>Notice of Borrowing</w:t>
      </w:r>
      <w:r>
        <w:rPr>
          <w:rFonts w:ascii="Arial" w:cs="Arial" w:eastAsia="Arial" w:hAnsi="Arial"/>
          <w:sz w:val="17"/>
          <w:szCs w:val="17"/>
          <w:color w:val="010000"/>
        </w:rPr>
        <w:t xml:space="preserve">”) shall be by telephone, confirmed promptly in writing, or by telecopier (or any other electronic means agreed to by the Agent), in substantially the form of </w:t>
      </w:r>
      <w:r>
        <w:rPr>
          <w:rFonts w:ascii="Arial" w:cs="Arial" w:eastAsia="Arial" w:hAnsi="Arial"/>
          <w:sz w:val="17"/>
          <w:szCs w:val="17"/>
          <w:u w:val="single" w:color="auto"/>
          <w:color w:val="010000"/>
        </w:rPr>
        <w:t>Exhibit B-1</w:t>
      </w:r>
      <w:r>
        <w:rPr>
          <w:rFonts w:ascii="Arial" w:cs="Arial" w:eastAsia="Arial" w:hAnsi="Arial"/>
          <w:sz w:val="17"/>
          <w:szCs w:val="17"/>
          <w:color w:val="010000"/>
        </w:rPr>
        <w:t xml:space="preserve"> hereto, specifying therein the requested (i) date of such Borrowing, (ii) Type of Revolving Loans comprising such Borrowing, (iii) aggregate amount of such Borrowing, and (iv) in the case of a Borrowing consisting of Eurodollar Rate Revolving Loans, the initial Interest Period for each such Revolving Loan. Except for Borrowings to be made as Swingline Loans, each Lender shall, before 1:00 p.m. (New York City time) on the date of such Borrowing make available for the account of its Applicable Lending Office to the Agent at the Agent’s Account, in same day funds, such Lender’s Ratable Share of such Borrowing. After the Agent’s receipt of such funds and upon fulfillment of the applicable conditions set forth in Article III, the Agent will make such funds available to the Borrower at the Agent’s address referred to in Section 9.02(a).</w:t>
      </w:r>
    </w:p>
    <w:p>
      <w:pPr>
        <w:spacing w:after="0" w:line="76" w:lineRule="exact"/>
        <w:rPr>
          <w:rFonts w:ascii="Arial" w:cs="Arial" w:eastAsia="Arial" w:hAnsi="Arial"/>
          <w:sz w:val="17"/>
          <w:szCs w:val="17"/>
          <w:color w:val="010000"/>
        </w:rPr>
      </w:pPr>
    </w:p>
    <w:p>
      <w:pPr>
        <w:ind w:right="120" w:firstLine="1041"/>
        <w:spacing w:after="0" w:line="254" w:lineRule="auto"/>
        <w:tabs>
          <w:tab w:leader="none" w:pos="1286" w:val="left"/>
        </w:tabs>
        <w:numPr>
          <w:ilvl w:val="0"/>
          <w:numId w:val="46"/>
        </w:numPr>
        <w:rPr>
          <w:rFonts w:ascii="Arial" w:cs="Arial" w:eastAsia="Arial" w:hAnsi="Arial"/>
          <w:sz w:val="18"/>
          <w:szCs w:val="18"/>
          <w:color w:val="010000"/>
        </w:rPr>
      </w:pPr>
      <w:r>
        <w:rPr>
          <w:rFonts w:ascii="Arial" w:cs="Arial" w:eastAsia="Arial" w:hAnsi="Arial"/>
          <w:sz w:val="18"/>
          <w:szCs w:val="18"/>
          <w:color w:val="010000"/>
        </w:rPr>
        <w:t>Anything in subsection (a) above to the contrary notwithstanding, (i) the Borrower (or the Company on behalf of the Borrower) may not select Eurodollar Rate Revolving Loans for any Borrowing if the aggregate amount of such Borrowing is less than $10,000,000 or if the obligation of the Lenders to make Eurodollar Rate Revolving Loans shall then be suspended pursuant to Section 2.08 or 2.12 and (ii) the Eurodollar Rate Revolving Loans may not be outstanding as part of more than eighteen (18) separate Borrowings.</w:t>
      </w:r>
    </w:p>
    <w:p>
      <w:pPr>
        <w:spacing w:after="0" w:line="83" w:lineRule="exact"/>
        <w:rPr>
          <w:rFonts w:ascii="Arial" w:cs="Arial" w:eastAsia="Arial" w:hAnsi="Arial"/>
          <w:sz w:val="18"/>
          <w:szCs w:val="18"/>
          <w:color w:val="010000"/>
        </w:rPr>
      </w:pPr>
    </w:p>
    <w:p>
      <w:pPr>
        <w:ind w:right="40" w:firstLine="1041"/>
        <w:spacing w:after="0" w:line="269" w:lineRule="auto"/>
        <w:tabs>
          <w:tab w:leader="none" w:pos="1276" w:val="left"/>
        </w:tabs>
        <w:numPr>
          <w:ilvl w:val="0"/>
          <w:numId w:val="46"/>
        </w:numPr>
        <w:rPr>
          <w:rFonts w:ascii="Arial" w:cs="Arial" w:eastAsia="Arial" w:hAnsi="Arial"/>
          <w:sz w:val="17"/>
          <w:szCs w:val="17"/>
          <w:color w:val="010000"/>
        </w:rPr>
      </w:pPr>
      <w:r>
        <w:rPr>
          <w:rFonts w:ascii="Arial" w:cs="Arial" w:eastAsia="Arial" w:hAnsi="Arial"/>
          <w:sz w:val="17"/>
          <w:szCs w:val="17"/>
          <w:color w:val="010000"/>
        </w:rPr>
        <w:t>Each Notice of Borrowing shall be irrevocable and binding on the Borrower delivering such notice. In the case of any Borrowing that the related Notice of Borrowing specifies is to be comprised of Eurodollar Rate Revolving Loans, the Borrower shall indemnify each applicable Lender against any loss, cost or expense incurred by such Lender as a result of any failure of Borrower to fulfill on or before the date specified in such Notice of Borrowing for such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Loan to be made by such Lender as part of such Borrowing when such Revolving Loan, as a result of such failure, is not made on such date.</w:t>
      </w:r>
    </w:p>
    <w:p>
      <w:pPr>
        <w:spacing w:after="0" w:line="72" w:lineRule="exact"/>
        <w:rPr>
          <w:rFonts w:ascii="Arial" w:cs="Arial" w:eastAsia="Arial" w:hAnsi="Arial"/>
          <w:sz w:val="17"/>
          <w:szCs w:val="17"/>
          <w:color w:val="010000"/>
        </w:rPr>
      </w:pPr>
    </w:p>
    <w:p>
      <w:pPr>
        <w:ind w:right="40" w:firstLine="1041"/>
        <w:spacing w:after="0" w:line="266" w:lineRule="auto"/>
        <w:tabs>
          <w:tab w:leader="none" w:pos="1286" w:val="left"/>
        </w:tabs>
        <w:numPr>
          <w:ilvl w:val="0"/>
          <w:numId w:val="46"/>
        </w:numPr>
        <w:rPr>
          <w:rFonts w:ascii="Arial" w:cs="Arial" w:eastAsia="Arial" w:hAnsi="Arial"/>
          <w:sz w:val="17"/>
          <w:szCs w:val="17"/>
          <w:color w:val="010000"/>
        </w:rPr>
      </w:pPr>
      <w:r>
        <w:rPr>
          <w:rFonts w:ascii="Arial" w:cs="Arial" w:eastAsia="Arial" w:hAnsi="Arial"/>
          <w:sz w:val="17"/>
          <w:szCs w:val="17"/>
          <w:color w:val="010000"/>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as applicable,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Borrower until the date such amount is repaid to the Agent, at (i) in the case of Borrower, the interest rate applicable at the time to the Revolving Loans comprising such Borrowing and (ii) in the case of such Lender, the Federal Funds Rate. If such Lender shall repay to the Agent such corresponding amount, such amount so repaid shall constitute such Lender’s Revolving Loan as part of such Borrowing for purposes of this Agreement.</w:t>
      </w:r>
    </w:p>
    <w:p>
      <w:pPr>
        <w:spacing w:after="0" w:line="77" w:lineRule="exact"/>
        <w:rPr>
          <w:rFonts w:ascii="Arial" w:cs="Arial" w:eastAsia="Arial" w:hAnsi="Arial"/>
          <w:sz w:val="17"/>
          <w:szCs w:val="17"/>
          <w:color w:val="010000"/>
        </w:rPr>
      </w:pPr>
    </w:p>
    <w:p>
      <w:pPr>
        <w:ind w:firstLine="1041"/>
        <w:spacing w:after="0" w:line="257" w:lineRule="auto"/>
        <w:tabs>
          <w:tab w:leader="none" w:pos="1276" w:val="left"/>
        </w:tabs>
        <w:numPr>
          <w:ilvl w:val="0"/>
          <w:numId w:val="46"/>
        </w:numPr>
        <w:rPr>
          <w:rFonts w:ascii="Arial" w:cs="Arial" w:eastAsia="Arial" w:hAnsi="Arial"/>
          <w:sz w:val="18"/>
          <w:szCs w:val="18"/>
          <w:color w:val="010000"/>
        </w:rPr>
      </w:pPr>
      <w:r>
        <w:rPr>
          <w:rFonts w:ascii="Arial" w:cs="Arial" w:eastAsia="Arial" w:hAnsi="Arial"/>
          <w:sz w:val="18"/>
          <w:szCs w:val="18"/>
          <w:color w:val="010000"/>
        </w:rPr>
        <w:t>The failure of any Lender to make the Revolving Loan to be made by it as part of any Borrowing shall not relieve any other Lender of its obligation, if any, hereunder to make its Revolving Loan on the date of such Borrowing, but no Lender shall be responsible for the failure of any other Lender to make the Revolving Loan to be made by such other Lender on the date of any Borrowing.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83" w:name="page84"/>
    <w:bookmarkEnd w:id="83"/>
    <w:p>
      <w:pPr>
        <w:ind w:left="520"/>
        <w:spacing w:after="0"/>
        <w:rPr>
          <w:sz w:val="20"/>
          <w:szCs w:val="20"/>
          <w:color w:val="auto"/>
        </w:rPr>
      </w:pPr>
      <w:r>
        <w:rPr>
          <w:rFonts w:ascii="Arial" w:cs="Arial" w:eastAsia="Arial" w:hAnsi="Arial"/>
          <w:sz w:val="18"/>
          <w:szCs w:val="18"/>
          <w:color w:val="010000"/>
        </w:rPr>
        <w:t xml:space="preserve">SECTION 2.03. </w:t>
      </w:r>
      <w:r>
        <w:rPr>
          <w:rFonts w:ascii="Arial" w:cs="Arial" w:eastAsia="Arial" w:hAnsi="Arial"/>
          <w:sz w:val="18"/>
          <w:szCs w:val="18"/>
          <w:u w:val="single" w:color="auto"/>
          <w:color w:val="010000"/>
        </w:rPr>
        <w:t>Issuance of and Drawings and Reimbursement Under Letters of Credit</w:t>
      </w:r>
      <w:r>
        <w:rPr>
          <w:rFonts w:ascii="Arial" w:cs="Arial" w:eastAsia="Arial" w:hAnsi="Arial"/>
          <w:sz w:val="18"/>
          <w:szCs w:val="18"/>
          <w:color w:val="010000"/>
        </w:rPr>
        <w:t>.</w:t>
      </w:r>
    </w:p>
    <w:p>
      <w:pPr>
        <w:spacing w:after="0" w:line="113" w:lineRule="exact"/>
        <w:rPr>
          <w:sz w:val="20"/>
          <w:szCs w:val="20"/>
          <w:color w:val="auto"/>
        </w:rPr>
      </w:pPr>
    </w:p>
    <w:p>
      <w:pPr>
        <w:ind w:right="40" w:firstLine="1041"/>
        <w:spacing w:after="0" w:line="281" w:lineRule="auto"/>
        <w:tabs>
          <w:tab w:leader="none" w:pos="1276" w:val="left"/>
        </w:tabs>
        <w:numPr>
          <w:ilvl w:val="0"/>
          <w:numId w:val="47"/>
        </w:numPr>
        <w:rPr>
          <w:rFonts w:ascii="Arial" w:cs="Arial" w:eastAsia="Arial" w:hAnsi="Arial"/>
          <w:sz w:val="16"/>
          <w:szCs w:val="16"/>
          <w:color w:val="010000"/>
        </w:rPr>
      </w:pPr>
      <w:r>
        <w:rPr>
          <w:rFonts w:ascii="Arial" w:cs="Arial" w:eastAsia="Arial" w:hAnsi="Arial"/>
          <w:sz w:val="16"/>
          <w:szCs w:val="16"/>
          <w:u w:val="single" w:color="auto"/>
          <w:color w:val="010000"/>
        </w:rPr>
        <w:t>Request for Issuance</w:t>
      </w:r>
      <w:r>
        <w:rPr>
          <w:rFonts w:ascii="Arial" w:cs="Arial" w:eastAsia="Arial" w:hAnsi="Arial"/>
          <w:sz w:val="16"/>
          <w:szCs w:val="16"/>
          <w:color w:val="010000"/>
        </w:rPr>
        <w:t>. (i) Each Letter of Credit shall be issued upon notice, given not later than 11:00 a.m. (New York City time) on the fifth Business Day prior to the date of the proposed Issuance of such Letter of Credit (or on such shorter notice as the applicable Issuing Bank may agree), by the Company to any Issuing Bank, and such Issuing Bank shall give the Agent, prompt notice thereof. Each such notice by the Company of Issuance of a Letter of Credit (a “</w:t>
      </w:r>
      <w:r>
        <w:rPr>
          <w:rFonts w:ascii="Arial" w:cs="Arial" w:eastAsia="Arial" w:hAnsi="Arial"/>
          <w:sz w:val="16"/>
          <w:szCs w:val="16"/>
          <w:u w:val="single" w:color="auto"/>
          <w:color w:val="010000"/>
        </w:rPr>
        <w:t>Notice of Issuance</w:t>
      </w:r>
      <w:r>
        <w:rPr>
          <w:rFonts w:ascii="Arial" w:cs="Arial" w:eastAsia="Arial" w:hAnsi="Arial"/>
          <w:sz w:val="16"/>
          <w:szCs w:val="16"/>
          <w:color w:val="010000"/>
        </w:rPr>
        <w:t>”) shall be by telephone, confirmed promptly in writing, or by telecopier (or any other electronic means agreed to by the Agent), specifying therein (A) the requested date of such Issuance (which shall be a Business Day), (B) the Available Amount of such Letter of Credit, (C) expiration date of such Letter of Credit (which shall not be later than 5 Business Days before the Termination Date), (D) the name and address of the beneficiary of such Letter of Credit, (E) the form of such Letter of Credit, and that such Letter of Credit shall be issued pursuant to such application and agreement for letter of credit as such Issuing Bank and the Company shall agree for use in connection with such requested Letter of Credit (a “</w:t>
      </w:r>
      <w:r>
        <w:rPr>
          <w:rFonts w:ascii="Arial" w:cs="Arial" w:eastAsia="Arial" w:hAnsi="Arial"/>
          <w:sz w:val="16"/>
          <w:szCs w:val="16"/>
          <w:u w:val="single" w:color="auto"/>
          <w:color w:val="010000"/>
        </w:rPr>
        <w:t>Letter of Credit Agreement</w:t>
      </w:r>
      <w:r>
        <w:rPr>
          <w:rFonts w:ascii="Arial" w:cs="Arial" w:eastAsia="Arial" w:hAnsi="Arial"/>
          <w:sz w:val="16"/>
          <w:szCs w:val="16"/>
          <w:color w:val="010000"/>
        </w:rPr>
        <w:t>”) and (F) such other matters as the applicable Issuing Bank may require. In the case of a request for an amendment of any outstanding Letter of Credit, such Notice of Issuance shall specify in form and detail reasonably satisfactory to the applicable Issuing Bank, (A) the Letter of Credit to be amended, (B) the proposed date of amendment thereof (which shall be a Business Day), (C) the nature of the proposed amendment and (D) such other matters as the applicable Issuing Bank may require. Additionally, the Company shall furnish to the applicable Issuing Bank and the Agent such other documents and information pertaining to such requested Letter of Credit issuance or amendment, as such Issuing Bank or the Agent may require. If the requested form of such Letter of Credit is acceptable to the applicable Issuing Bank in its reasonable discretion (it being understood that any such form shall have only explicit documentary conditions to draw and shall not include discretionary conditions), such Issuing Bank will, upon fulfillment of the applicable conditions set forth in Section 3.02, make such Letter of Credit available to the Company at its office referred to in Section 9.02 or as otherwise agreed with the Company in connection with such Issuance. In the event and to the extent that the provisions of any Letter of Credit Agreement shall conflict with this Agreement, the provisions of this Agreement shall govern.</w:t>
      </w:r>
    </w:p>
    <w:p>
      <w:pPr>
        <w:spacing w:after="0" w:line="71" w:lineRule="exact"/>
        <w:rPr>
          <w:rFonts w:ascii="Arial" w:cs="Arial" w:eastAsia="Arial" w:hAnsi="Arial"/>
          <w:sz w:val="16"/>
          <w:szCs w:val="16"/>
          <w:color w:val="010000"/>
        </w:rPr>
      </w:pPr>
    </w:p>
    <w:p>
      <w:pPr>
        <w:ind w:right="20" w:firstLine="1559"/>
        <w:spacing w:after="0" w:line="264" w:lineRule="auto"/>
        <w:tabs>
          <w:tab w:leader="none" w:pos="1814" w:val="left"/>
        </w:tabs>
        <w:numPr>
          <w:ilvl w:val="1"/>
          <w:numId w:val="47"/>
        </w:numPr>
        <w:rPr>
          <w:rFonts w:ascii="Arial" w:cs="Arial" w:eastAsia="Arial" w:hAnsi="Arial"/>
          <w:sz w:val="17"/>
          <w:szCs w:val="17"/>
          <w:color w:val="010000"/>
        </w:rPr>
      </w:pPr>
      <w:r>
        <w:rPr>
          <w:rFonts w:ascii="Arial" w:cs="Arial" w:eastAsia="Arial" w:hAnsi="Arial"/>
          <w:sz w:val="17"/>
          <w:szCs w:val="17"/>
          <w:color w:val="010000"/>
        </w:rPr>
        <w:t>No Issuing Bank shall be under any obligation to issue any Letter of Credit if: (A) any order, judgment or decree of any Governmental Authority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(B) except as otherwise agreed by the Agent and such Issuing Bank, the Letter of Credit is in an initial stated amount less than $100,000, in the case of a commercial Letter of Credit, or $100,000, in the case of a standby Letter of Credit; (C) the Letter of Credit is to be denominated in a currency other than Dollars; (D) any Lender is at that time a Defaulting Lender, unless such Issuing Bank has entered into arrangements, including the delivery of Cash Collateral, satisfactory to such Issuing Bank (in its sole discretion) with the Company or such Lender to eliminate such Issuing Bank’s actual or potential fronting exposure (after giving effect to Section 2.19(f)) with respect to the Defaulting Lender arising from either the Letter of Credit then proposed to be issued or that Letter of Credit and all other Letter of Credit Obligations as to which such Issuing Bank has actual or potential fronting exposure, as it may elect in its sole discretion; or (E) the Letter of Credit contains any provisions for automatic reinstatement of the stated amount after any drawing thereunder.</w:t>
      </w:r>
    </w:p>
    <w:p>
      <w:pPr>
        <w:spacing w:after="0" w:line="83" w:lineRule="exact"/>
        <w:rPr>
          <w:rFonts w:ascii="Arial" w:cs="Arial" w:eastAsia="Arial" w:hAnsi="Arial"/>
          <w:sz w:val="17"/>
          <w:szCs w:val="17"/>
          <w:color w:val="010000"/>
        </w:rPr>
      </w:pPr>
    </w:p>
    <w:p>
      <w:pPr>
        <w:ind w:right="220" w:firstLine="1559"/>
        <w:spacing w:after="0" w:line="267" w:lineRule="auto"/>
        <w:tabs>
          <w:tab w:leader="none" w:pos="1863" w:val="left"/>
        </w:tabs>
        <w:numPr>
          <w:ilvl w:val="1"/>
          <w:numId w:val="47"/>
        </w:numPr>
        <w:rPr>
          <w:rFonts w:ascii="Arial" w:cs="Arial" w:eastAsia="Arial" w:hAnsi="Arial"/>
          <w:sz w:val="18"/>
          <w:szCs w:val="18"/>
          <w:color w:val="010000"/>
        </w:rPr>
      </w:pPr>
      <w:r>
        <w:rPr>
          <w:rFonts w:ascii="Arial" w:cs="Arial" w:eastAsia="Arial" w:hAnsi="Arial"/>
          <w:sz w:val="18"/>
          <w:szCs w:val="18"/>
          <w:color w:val="010000"/>
        </w:rPr>
        <w:t>No Issuing Bank shall amend or continue any Letter of Credit if such Issuing Bank would not be permitted at such time to issue the Letter of Credit in its amended or continued form under the terms hereof.</w:t>
      </w:r>
    </w:p>
    <w:p>
      <w:pPr>
        <w:spacing w:after="0" w:line="72" w:lineRule="exact"/>
        <w:rPr>
          <w:rFonts w:ascii="Arial" w:cs="Arial" w:eastAsia="Arial" w:hAnsi="Arial"/>
          <w:sz w:val="18"/>
          <w:szCs w:val="18"/>
          <w:color w:val="010000"/>
        </w:rPr>
      </w:pPr>
    </w:p>
    <w:p>
      <w:pPr>
        <w:ind w:right="200" w:firstLine="1559"/>
        <w:spacing w:after="0" w:line="252" w:lineRule="auto"/>
        <w:tabs>
          <w:tab w:leader="none" w:pos="1853" w:val="left"/>
        </w:tabs>
        <w:numPr>
          <w:ilvl w:val="1"/>
          <w:numId w:val="47"/>
        </w:numPr>
        <w:rPr>
          <w:rFonts w:ascii="Arial" w:cs="Arial" w:eastAsia="Arial" w:hAnsi="Arial"/>
          <w:sz w:val="18"/>
          <w:szCs w:val="18"/>
          <w:color w:val="010000"/>
        </w:rPr>
      </w:pPr>
      <w:r>
        <w:rPr>
          <w:rFonts w:ascii="Arial" w:cs="Arial" w:eastAsia="Arial" w:hAnsi="Arial"/>
          <w:sz w:val="18"/>
          <w:szCs w:val="18"/>
          <w:color w:val="010000"/>
        </w:rPr>
        <w:t>Each Issuing Bank shall act on behalf of the Lenders with respect to any Letters of Credit issued by it and the documents associated therewith, and each Issuing Bank shall have all of the benefits and immunities (A) provided to the Agent in Article VIII with respect to any acts taken or omissions suffered by such Issuing Bank in connection with Letters of Credit issued by it or proposed to be issued by it and documents pertaining to such Letters of Credit as fully as if the term “Agent” as used in Article VIII included such Issuing Bank with respect to such acts or omissions, and (B) as additionally provided herein with respect to such Issuing Bank.</w:t>
      </w:r>
    </w:p>
    <w:p>
      <w:pPr>
        <w:spacing w:after="0" w:line="86" w:lineRule="exact"/>
        <w:rPr>
          <w:rFonts w:ascii="Arial" w:cs="Arial" w:eastAsia="Arial" w:hAnsi="Arial"/>
          <w:sz w:val="18"/>
          <w:szCs w:val="18"/>
          <w:color w:val="010000"/>
        </w:rPr>
      </w:pPr>
    </w:p>
    <w:p>
      <w:pPr>
        <w:ind w:firstLine="1559"/>
        <w:spacing w:after="0" w:line="266" w:lineRule="auto"/>
        <w:tabs>
          <w:tab w:leader="none" w:pos="1804" w:val="left"/>
        </w:tabs>
        <w:numPr>
          <w:ilvl w:val="1"/>
          <w:numId w:val="47"/>
        </w:numPr>
        <w:rPr>
          <w:rFonts w:ascii="Arial" w:cs="Arial" w:eastAsia="Arial" w:hAnsi="Arial"/>
          <w:sz w:val="17"/>
          <w:szCs w:val="17"/>
          <w:color w:val="010000"/>
        </w:rPr>
      </w:pPr>
      <w:r>
        <w:rPr>
          <w:rFonts w:ascii="Arial" w:cs="Arial" w:eastAsia="Arial" w:hAnsi="Arial"/>
          <w:sz w:val="17"/>
          <w:szCs w:val="17"/>
          <w:color w:val="010000"/>
        </w:rPr>
        <w:t>If the Borrower so requests in an applicable Notice of Issuance, the Issuing Bank may, in its discretion, agree to issue a Letter of Credit that has automatic extension provisions (each an “</w:t>
      </w:r>
      <w:r>
        <w:rPr>
          <w:rFonts w:ascii="Arial" w:cs="Arial" w:eastAsia="Arial" w:hAnsi="Arial"/>
          <w:sz w:val="17"/>
          <w:szCs w:val="17"/>
          <w:u w:val="single" w:color="auto"/>
          <w:color w:val="010000"/>
        </w:rPr>
        <w:t>Auto-Extension Letter of Credit</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any such Auto-Extension Letter of Credit must permit the Issuing Bank to prevent any such extension at least once in each twelve month period commencing with the date of issuance of such Letter of Credit by giving prior notice to the beneficiary thereof not later than a day (the “</w:t>
      </w:r>
      <w:r>
        <w:rPr>
          <w:rFonts w:ascii="Arial" w:cs="Arial" w:eastAsia="Arial" w:hAnsi="Arial"/>
          <w:sz w:val="17"/>
          <w:szCs w:val="17"/>
          <w:u w:val="single" w:color="auto"/>
          <w:color w:val="010000"/>
        </w:rPr>
        <w:t>Non-Extension Notice Date</w:t>
      </w:r>
      <w:r>
        <w:rPr>
          <w:rFonts w:ascii="Arial" w:cs="Arial" w:eastAsia="Arial" w:hAnsi="Arial"/>
          <w:sz w:val="17"/>
          <w:szCs w:val="17"/>
          <w:color w:val="010000"/>
        </w:rPr>
        <w:t xml:space="preserve">”) in each such twelve month period to be agreed upon at the time such Letter of Credit is issued. Unless otherwise directed by the Issuing Bank, the Borrower shall not be required to make a specific request to the Issuing Bank for any such extension. Once an Auto-Extension Letter of Credit has been issued, the Lenders shall be deemed to have authorized (but may not require) the Issuing Bank to permit the extension of such Letter of Credit at any time to a date not later than the expiration date of such Letter of Credit;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that the Issuing Bank shall not permit any such extension if (A) the Issuing Bank has determined that it would not be permitted, or would have no obligation, at such time to issue such Letter of Credit in its revised form (as extended)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4" w:name="page85"/>
    <w:bookmarkEnd w:id="84"/>
    <w:p>
      <w:pPr>
        <w:ind w:right="100"/>
        <w:spacing w:after="0" w:line="254" w:lineRule="auto"/>
        <w:rPr>
          <w:sz w:val="20"/>
          <w:szCs w:val="20"/>
          <w:color w:val="auto"/>
        </w:rPr>
      </w:pPr>
      <w:r>
        <w:rPr>
          <w:rFonts w:ascii="Arial" w:cs="Arial" w:eastAsia="Arial" w:hAnsi="Arial"/>
          <w:sz w:val="18"/>
          <w:szCs w:val="18"/>
          <w:color w:val="010000"/>
        </w:rPr>
        <w:t>under the terms hereof or (B) it has received notice (which may be by telephone or in writing) on or before the day that is five Business Days before the Non-Extension Notice Date (x) from the Agent that the Required Lenders have elected not to permit such extension or (y) from the Agent, any Lender or any Loan Party that one or more of the applicable conditions specified in Section 3.02 is not then satisfied, and in each case directing the Issuing Bank not to permit such extension.</w:t>
      </w:r>
    </w:p>
    <w:p>
      <w:pPr>
        <w:spacing w:after="0" w:line="84" w:lineRule="exact"/>
        <w:rPr>
          <w:sz w:val="20"/>
          <w:szCs w:val="20"/>
          <w:color w:val="auto"/>
        </w:rPr>
      </w:pPr>
    </w:p>
    <w:p>
      <w:pPr>
        <w:ind w:right="60" w:firstLine="1559"/>
        <w:spacing w:after="0" w:line="297" w:lineRule="auto"/>
        <w:tabs>
          <w:tab w:leader="none" w:pos="1853" w:val="left"/>
        </w:tabs>
        <w:numPr>
          <w:ilvl w:val="1"/>
          <w:numId w:val="48"/>
        </w:numPr>
        <w:rPr>
          <w:rFonts w:ascii="Arial" w:cs="Arial" w:eastAsia="Arial" w:hAnsi="Arial"/>
          <w:sz w:val="17"/>
          <w:szCs w:val="17"/>
          <w:color w:val="010000"/>
        </w:rPr>
      </w:pPr>
      <w:r>
        <w:rPr>
          <w:rFonts w:ascii="Arial" w:cs="Arial" w:eastAsia="Arial" w:hAnsi="Arial"/>
          <w:sz w:val="17"/>
          <w:szCs w:val="17"/>
          <w:color w:val="010000"/>
        </w:rPr>
        <w:t>No Issuing Bank shall have any obligation to issue any Letter of Credit hereunder if the expiry date of such requested Letter of Credit would occur more than twelve months after the date of issuance or last extension thereof (without giving effect to any auto-extension features).</w:t>
      </w:r>
    </w:p>
    <w:p>
      <w:pPr>
        <w:spacing w:after="0" w:line="49" w:lineRule="exact"/>
        <w:rPr>
          <w:rFonts w:ascii="Arial" w:cs="Arial" w:eastAsia="Arial" w:hAnsi="Arial"/>
          <w:sz w:val="17"/>
          <w:szCs w:val="17"/>
          <w:color w:val="010000"/>
        </w:rPr>
      </w:pPr>
    </w:p>
    <w:p>
      <w:pPr>
        <w:ind w:firstLine="1559"/>
        <w:spacing w:after="0" w:line="297" w:lineRule="auto"/>
        <w:tabs>
          <w:tab w:leader="none" w:pos="1903" w:val="left"/>
        </w:tabs>
        <w:numPr>
          <w:ilvl w:val="1"/>
          <w:numId w:val="48"/>
        </w:numPr>
        <w:rPr>
          <w:rFonts w:ascii="Arial" w:cs="Arial" w:eastAsia="Arial" w:hAnsi="Arial"/>
          <w:sz w:val="17"/>
          <w:szCs w:val="17"/>
          <w:color w:val="010000"/>
        </w:rPr>
      </w:pPr>
      <w:r>
        <w:rPr>
          <w:rFonts w:ascii="Arial" w:cs="Arial" w:eastAsia="Arial" w:hAnsi="Arial"/>
          <w:sz w:val="17"/>
          <w:szCs w:val="17"/>
          <w:color w:val="010000"/>
        </w:rPr>
        <w:t>No Issuing Bank shall have any obligation to issue any Letter of Credit hereunder if the expiry date of such requested Letter of Credit would occur more than twelve months after the date of issuance or last extension thereof (without giving effect to any auto-extension features).</w:t>
      </w:r>
    </w:p>
    <w:p>
      <w:pPr>
        <w:spacing w:after="0" w:line="49" w:lineRule="exact"/>
        <w:rPr>
          <w:rFonts w:ascii="Arial" w:cs="Arial" w:eastAsia="Arial" w:hAnsi="Arial"/>
          <w:sz w:val="17"/>
          <w:szCs w:val="17"/>
          <w:color w:val="010000"/>
        </w:rPr>
      </w:pPr>
    </w:p>
    <w:p>
      <w:pPr>
        <w:ind w:right="60" w:firstLine="1041"/>
        <w:spacing w:after="0" w:line="282" w:lineRule="auto"/>
        <w:tabs>
          <w:tab w:leader="none" w:pos="1286" w:val="left"/>
        </w:tabs>
        <w:numPr>
          <w:ilvl w:val="0"/>
          <w:numId w:val="49"/>
        </w:numPr>
        <w:rPr>
          <w:rFonts w:ascii="Arial" w:cs="Arial" w:eastAsia="Arial" w:hAnsi="Arial"/>
          <w:sz w:val="16"/>
          <w:szCs w:val="16"/>
          <w:color w:val="010000"/>
        </w:rPr>
      </w:pPr>
      <w:r>
        <w:rPr>
          <w:rFonts w:ascii="Arial" w:cs="Arial" w:eastAsia="Arial" w:hAnsi="Arial"/>
          <w:sz w:val="16"/>
          <w:szCs w:val="16"/>
          <w:u w:val="single" w:color="auto"/>
          <w:color w:val="010000"/>
        </w:rPr>
        <w:t>Participations</w:t>
      </w:r>
      <w:r>
        <w:rPr>
          <w:rFonts w:ascii="Arial" w:cs="Arial" w:eastAsia="Arial" w:hAnsi="Arial"/>
          <w:sz w:val="16"/>
          <w:szCs w:val="16"/>
          <w:color w:val="010000"/>
        </w:rPr>
        <w:t>. By the Issuance of a Letter of Credit (or an amendment to a Letter of Credit increasing or decreasing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Ratable Share of the Available Amount of such Letter of Credit. The Company hereby agrees to each such participation. In consideration and in furtherance of the foregoing, each Lender hereby absolutely and unconditionally agrees to pay to the Agent, for the account of such Issuing Bank, such Lender’s Ratable Share of each drawing made under a Letter of Credit funded by such Issuing Bank and not reimbursed by the Company on the date funded, or of any reimbursement payment required to be refunded to the Company for any reason, which amount will be advanced, and deemed to be a Revolving Loan hereunder, regardless of the satisfaction of the conditions set forth in Section 3.02.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Each Lender further acknowledges and agrees that its participation in each Letter of Credit will be automatically adjusted to reflect such Lender’s Ratable Share of the Available Amount of such Letter of Credit at each time such Lender’s Revolving Credit Commitment is amended pursuant to an assignment in accordance with Section 9.08 or otherwise pursuant to this Agreement.</w:t>
      </w:r>
    </w:p>
    <w:p>
      <w:pPr>
        <w:spacing w:after="0" w:line="69" w:lineRule="exact"/>
        <w:rPr>
          <w:rFonts w:ascii="Arial" w:cs="Arial" w:eastAsia="Arial" w:hAnsi="Arial"/>
          <w:sz w:val="16"/>
          <w:szCs w:val="16"/>
          <w:color w:val="010000"/>
        </w:rPr>
      </w:pPr>
    </w:p>
    <w:p>
      <w:pPr>
        <w:ind w:right="200" w:firstLine="1041"/>
        <w:spacing w:after="0" w:line="280" w:lineRule="auto"/>
        <w:tabs>
          <w:tab w:leader="none" w:pos="1276" w:val="left"/>
        </w:tabs>
        <w:numPr>
          <w:ilvl w:val="0"/>
          <w:numId w:val="49"/>
        </w:numPr>
        <w:rPr>
          <w:rFonts w:ascii="Arial" w:cs="Arial" w:eastAsia="Arial" w:hAnsi="Arial"/>
          <w:sz w:val="16"/>
          <w:szCs w:val="16"/>
          <w:color w:val="010000"/>
        </w:rPr>
      </w:pPr>
      <w:r>
        <w:rPr>
          <w:rFonts w:ascii="Arial" w:cs="Arial" w:eastAsia="Arial" w:hAnsi="Arial"/>
          <w:sz w:val="16"/>
          <w:szCs w:val="16"/>
          <w:u w:val="single" w:color="auto"/>
          <w:color w:val="010000"/>
        </w:rPr>
        <w:t>Drawing and Reimbursement</w:t>
      </w:r>
      <w:r>
        <w:rPr>
          <w:rFonts w:ascii="Arial" w:cs="Arial" w:eastAsia="Arial" w:hAnsi="Arial"/>
          <w:sz w:val="16"/>
          <w:szCs w:val="16"/>
          <w:color w:val="010000"/>
        </w:rPr>
        <w:t>. The payment by an Issuing Bank of a draft drawn under any Letter of Credit which is not reimbursed by the Company or the Borrower on the date funded shall constitute for all purposes of this Agreement the making by any such Issuing Bank of a Revolving Loan under the Revolving Credit Facility which shall be a Base Rate Revolving Loan, in the amount of such draft, without regard to whether the making of such a Revolving Loan would exceed such Issuing Bank’s Unused Revolving Credit Commitment. Each Issuing Bank shall give prompt notice to the Company and the Agent of each drawing under any Letter of Credit issued by it. Upon written demand by such Issuing Bank, with a copy of such demand to the Agent and the Company, each applicable Lender shall pay to the Agent such Lender’s Ratable Share of such outstanding Revolving Loan pursuant to Section</w:t>
      </w:r>
    </w:p>
    <w:p>
      <w:pPr>
        <w:spacing w:after="0" w:line="3" w:lineRule="exact"/>
        <w:rPr>
          <w:rFonts w:ascii="Arial" w:cs="Arial" w:eastAsia="Arial" w:hAnsi="Arial"/>
          <w:sz w:val="16"/>
          <w:szCs w:val="16"/>
          <w:color w:val="010000"/>
        </w:rPr>
      </w:pPr>
    </w:p>
    <w:p>
      <w:pPr>
        <w:ind w:right="20"/>
        <w:spacing w:after="0" w:line="281" w:lineRule="auto"/>
        <w:rPr>
          <w:rFonts w:ascii="Arial" w:cs="Arial" w:eastAsia="Arial" w:hAnsi="Arial"/>
          <w:sz w:val="16"/>
          <w:szCs w:val="16"/>
          <w:color w:val="010000"/>
        </w:rPr>
      </w:pPr>
      <w:r>
        <w:rPr>
          <w:rFonts w:ascii="Arial" w:cs="Arial" w:eastAsia="Arial" w:hAnsi="Arial"/>
          <w:sz w:val="16"/>
          <w:szCs w:val="16"/>
          <w:color w:val="010000"/>
        </w:rPr>
        <w:t xml:space="preserve">2.03(b). Each applicable Lender acknowledges and agrees that its obligation to make Revolving Loans pursuant to this paragraph (c)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Promptly after receipt thereof, the Agent shall transfer such funds to such Issuing Bank. Each Lender agrees to fund its Ratable Share of an outstanding Revolving Loan on (i) the Business Day on which demand therefor is made by such Issuing Bank,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notice of such demand is given not later than 11:00 a.m. (New York City time) on such Business Day, or (ii) the first Business Day next succeeding such demand if notice of such demand is given after such time. If and to the extent that any Lender shall not have so made the amount of such Revolving Loan available to the Agent, such Lender agrees to pay to the Agent forthwith on demand such amount together with interest thereon, for each day from the date of demand by any such Issuing Bank until the date such amount is paid to the Agent, at the Federal Funds Rate for its account or the account of such Issuing Bank, as applicable. If such Lender shall pay to the Agent such amount for the account of any such Issuing Bank on any Business Day, such amount so paid in respect of principal shall constitute a Revolving Loan made by such Lender on such Business Day for purposes of this Agreement, and the outstanding principal amount of the Revolving Loan made by such Issuing Bank shall be reduced by such amount on such Business Day.</w:t>
      </w:r>
    </w:p>
    <w:p>
      <w:pPr>
        <w:spacing w:after="0" w:line="70" w:lineRule="exact"/>
        <w:rPr>
          <w:rFonts w:ascii="Arial" w:cs="Arial" w:eastAsia="Arial" w:hAnsi="Arial"/>
          <w:sz w:val="16"/>
          <w:szCs w:val="16"/>
          <w:color w:val="010000"/>
        </w:rPr>
      </w:pPr>
    </w:p>
    <w:p>
      <w:pPr>
        <w:jc w:val="both"/>
        <w:ind w:right="240" w:firstLine="1041"/>
        <w:spacing w:after="0" w:line="295" w:lineRule="auto"/>
        <w:tabs>
          <w:tab w:leader="none" w:pos="1286" w:val="left"/>
        </w:tabs>
        <w:numPr>
          <w:ilvl w:val="0"/>
          <w:numId w:val="49"/>
        </w:numPr>
        <w:rPr>
          <w:rFonts w:ascii="Arial" w:cs="Arial" w:eastAsia="Arial" w:hAnsi="Arial"/>
          <w:sz w:val="16"/>
          <w:szCs w:val="16"/>
          <w:color w:val="010000"/>
        </w:rPr>
      </w:pPr>
      <w:r>
        <w:rPr>
          <w:rFonts w:ascii="Arial" w:cs="Arial" w:eastAsia="Arial" w:hAnsi="Arial"/>
          <w:sz w:val="16"/>
          <w:szCs w:val="16"/>
          <w:u w:val="single" w:color="auto"/>
          <w:color w:val="010000"/>
        </w:rPr>
        <w:t>Letter of Credit Reports</w:t>
      </w:r>
      <w:r>
        <w:rPr>
          <w:rFonts w:ascii="Arial" w:cs="Arial" w:eastAsia="Arial" w:hAnsi="Arial"/>
          <w:sz w:val="16"/>
          <w:szCs w:val="16"/>
          <w:color w:val="010000"/>
        </w:rPr>
        <w:t>. Each Issuing Bank shall furnish (A) to the Agent (with a copy to the Company) on the first Business Day of each month a written report summarizing Issuance and expiration dates of Letters of Credit issued by such Issuing Bank during the preceding month and drawings during such month under all Letters of Credit and (B) to the Agent (with a copy to the Company) on the first Business Day of each calendar quarter a written report setting forth the average daily aggregate Available Amount during the preceding calendar quarter of all Letters of Credit issued by such Issuing Bank.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85" w:name="page86"/>
    <w:bookmarkEnd w:id="85"/>
    <w:p>
      <w:pPr>
        <w:ind w:firstLine="1041"/>
        <w:spacing w:after="0" w:line="304" w:lineRule="auto"/>
        <w:tabs>
          <w:tab w:leader="none" w:pos="1276" w:val="left"/>
        </w:tabs>
        <w:numPr>
          <w:ilvl w:val="0"/>
          <w:numId w:val="50"/>
        </w:numPr>
        <w:rPr>
          <w:rFonts w:ascii="Arial" w:cs="Arial" w:eastAsia="Arial" w:hAnsi="Arial"/>
          <w:sz w:val="16"/>
          <w:szCs w:val="16"/>
          <w:color w:val="010000"/>
        </w:rPr>
      </w:pPr>
      <w:r>
        <w:rPr>
          <w:rFonts w:ascii="Arial" w:cs="Arial" w:eastAsia="Arial" w:hAnsi="Arial"/>
          <w:sz w:val="16"/>
          <w:szCs w:val="16"/>
          <w:u w:val="single" w:color="auto"/>
          <w:color w:val="010000"/>
        </w:rPr>
        <w:t>Applicability of ISP and UCP</w:t>
      </w:r>
      <w:r>
        <w:rPr>
          <w:rFonts w:ascii="Arial" w:cs="Arial" w:eastAsia="Arial" w:hAnsi="Arial"/>
          <w:sz w:val="16"/>
          <w:szCs w:val="16"/>
          <w:color w:val="010000"/>
        </w:rPr>
        <w:t>. Unless otherwise expressly agreed by the applicable Issuing Bank and the Company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47" w:lineRule="exact"/>
        <w:rPr>
          <w:rFonts w:ascii="Arial" w:cs="Arial" w:eastAsia="Arial" w:hAnsi="Arial"/>
          <w:sz w:val="16"/>
          <w:szCs w:val="16"/>
          <w:color w:val="010000"/>
        </w:rPr>
      </w:pPr>
    </w:p>
    <w:p>
      <w:pPr>
        <w:ind w:left="1260" w:hanging="219"/>
        <w:spacing w:after="0"/>
        <w:tabs>
          <w:tab w:leader="none" w:pos="1260" w:val="left"/>
        </w:tabs>
        <w:numPr>
          <w:ilvl w:val="0"/>
          <w:numId w:val="50"/>
        </w:numPr>
        <w:rPr>
          <w:rFonts w:ascii="Arial" w:cs="Arial" w:eastAsia="Arial" w:hAnsi="Arial"/>
          <w:sz w:val="16"/>
          <w:szCs w:val="16"/>
          <w:color w:val="010000"/>
        </w:rPr>
      </w:pPr>
      <w:r>
        <w:rPr>
          <w:rFonts w:ascii="Arial" w:cs="Arial" w:eastAsia="Arial" w:hAnsi="Arial"/>
          <w:sz w:val="16"/>
          <w:szCs w:val="16"/>
          <w:u w:val="single" w:color="auto"/>
          <w:color w:val="010000"/>
        </w:rPr>
        <w:t>Failure to Make Revolving Loans</w:t>
      </w:r>
      <w:r>
        <w:rPr>
          <w:rFonts w:ascii="Arial" w:cs="Arial" w:eastAsia="Arial" w:hAnsi="Arial"/>
          <w:sz w:val="16"/>
          <w:szCs w:val="16"/>
          <w:color w:val="010000"/>
        </w:rPr>
        <w:t>. The failure of any Lender to make the Revolving Loan to be made by it on the date specified in Section</w:t>
      </w:r>
    </w:p>
    <w:p>
      <w:pPr>
        <w:spacing w:after="0" w:line="4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010000"/>
        </w:rPr>
        <w:t>2.03(c) shall not relieve any other Lender of its obligation hereunder to make its Revolving Loan on such date, but no Lender shall be responsible for the failure of any other Lender to make the Revolving Loan to be made by such other Lender on such date. No failure by any Lender to make such Revolving Loans shall limit or restrict the availability of any Letter of Credit to the Company.</w:t>
      </w:r>
    </w:p>
    <w:p>
      <w:pPr>
        <w:spacing w:after="0" w:line="86" w:lineRule="exact"/>
        <w:rPr>
          <w:sz w:val="20"/>
          <w:szCs w:val="20"/>
          <w:color w:val="auto"/>
        </w:rPr>
      </w:pPr>
    </w:p>
    <w:p>
      <w:pPr>
        <w:jc w:val="both"/>
        <w:ind w:right="280" w:firstLine="1041"/>
        <w:spacing w:after="0" w:line="295" w:lineRule="auto"/>
        <w:tabs>
          <w:tab w:leader="none" w:pos="1286" w:val="left"/>
        </w:tabs>
        <w:numPr>
          <w:ilvl w:val="0"/>
          <w:numId w:val="51"/>
        </w:numPr>
        <w:rPr>
          <w:rFonts w:ascii="Arial" w:cs="Arial" w:eastAsia="Arial" w:hAnsi="Arial"/>
          <w:sz w:val="16"/>
          <w:szCs w:val="16"/>
          <w:color w:val="010000"/>
        </w:rPr>
      </w:pPr>
      <w:r>
        <w:rPr>
          <w:rFonts w:ascii="Arial" w:cs="Arial" w:eastAsia="Arial" w:hAnsi="Arial"/>
          <w:sz w:val="16"/>
          <w:szCs w:val="16"/>
          <w:u w:val="single" w:color="auto"/>
          <w:color w:val="010000"/>
        </w:rPr>
        <w:t>Letters of Credit Issued for Subsidiaries</w:t>
      </w:r>
      <w:r>
        <w:rPr>
          <w:rFonts w:ascii="Arial" w:cs="Arial" w:eastAsia="Arial" w:hAnsi="Arial"/>
          <w:sz w:val="16"/>
          <w:szCs w:val="16"/>
          <w:color w:val="010000"/>
        </w:rPr>
        <w:t>. Notwithstanding that a Letter of Credit issued or outstanding hereunder is in support of any obligations of, or is for the account of, a Subsidiary, the Company shall be obligated to reimburse the applicable Issuing Bank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2.04. </w:t>
      </w:r>
      <w:r>
        <w:rPr>
          <w:rFonts w:ascii="Arial" w:cs="Arial" w:eastAsia="Arial" w:hAnsi="Arial"/>
          <w:sz w:val="18"/>
          <w:szCs w:val="18"/>
          <w:u w:val="single" w:color="auto"/>
          <w:color w:val="010000"/>
        </w:rPr>
        <w:t>Fees</w:t>
      </w:r>
      <w:r>
        <w:rPr>
          <w:rFonts w:ascii="Arial" w:cs="Arial" w:eastAsia="Arial" w:hAnsi="Arial"/>
          <w:sz w:val="18"/>
          <w:szCs w:val="18"/>
          <w:color w:val="010000"/>
        </w:rPr>
        <w:t>.</w:t>
      </w:r>
    </w:p>
    <w:p>
      <w:pPr>
        <w:spacing w:after="0" w:line="113" w:lineRule="exact"/>
        <w:rPr>
          <w:sz w:val="20"/>
          <w:szCs w:val="20"/>
          <w:color w:val="auto"/>
        </w:rPr>
      </w:pPr>
    </w:p>
    <w:p>
      <w:pPr>
        <w:ind w:firstLine="1041"/>
        <w:spacing w:after="0" w:line="291" w:lineRule="auto"/>
        <w:tabs>
          <w:tab w:leader="none" w:pos="1276" w:val="left"/>
        </w:tabs>
        <w:numPr>
          <w:ilvl w:val="0"/>
          <w:numId w:val="52"/>
        </w:numPr>
        <w:rPr>
          <w:rFonts w:ascii="Arial" w:cs="Arial" w:eastAsia="Arial" w:hAnsi="Arial"/>
          <w:sz w:val="16"/>
          <w:szCs w:val="16"/>
          <w:color w:val="010000"/>
        </w:rPr>
      </w:pPr>
      <w:r>
        <w:rPr>
          <w:rFonts w:ascii="Arial" w:cs="Arial" w:eastAsia="Arial" w:hAnsi="Arial"/>
          <w:sz w:val="16"/>
          <w:szCs w:val="16"/>
          <w:u w:val="single" w:color="auto"/>
          <w:color w:val="010000"/>
        </w:rPr>
        <w:t>Commitment Fee</w:t>
      </w:r>
      <w:r>
        <w:rPr>
          <w:rFonts w:ascii="Arial" w:cs="Arial" w:eastAsia="Arial" w:hAnsi="Arial"/>
          <w:sz w:val="16"/>
          <w:szCs w:val="16"/>
          <w:color w:val="010000"/>
        </w:rPr>
        <w:t xml:space="preserve">. The Borrower agrees to pay to the Agent for the account of each applicable Lender a commitment fee on the aggregate amount of such Lender’s Unused Revolving Credit Commitment (without giving effect to such Lender’s Ratable Share of any outstanding Swingline Loans) from the Closing Date until the Termination Date calculated by multiplying such Lender’s Unused Revolving Credit Commitment by the Applicable Percentage in effect from time to time, payable in arrears monthly on the first day of each calendar month and on the Termination Date;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no commitment fee shall accrue on any of the Commitments of a Defaulting Lender so long as such Lender shall be a Defaulting Lender.</w:t>
      </w:r>
    </w:p>
    <w:p>
      <w:pPr>
        <w:spacing w:after="0" w:line="58" w:lineRule="exact"/>
        <w:rPr>
          <w:rFonts w:ascii="Arial" w:cs="Arial" w:eastAsia="Arial" w:hAnsi="Arial"/>
          <w:sz w:val="16"/>
          <w:szCs w:val="16"/>
          <w:color w:val="010000"/>
        </w:rPr>
      </w:pPr>
    </w:p>
    <w:p>
      <w:pPr>
        <w:ind w:firstLine="1041"/>
        <w:spacing w:after="0" w:line="270" w:lineRule="auto"/>
        <w:tabs>
          <w:tab w:leader="none" w:pos="1286" w:val="left"/>
        </w:tabs>
        <w:numPr>
          <w:ilvl w:val="0"/>
          <w:numId w:val="52"/>
        </w:numPr>
        <w:rPr>
          <w:rFonts w:ascii="Arial" w:cs="Arial" w:eastAsia="Arial" w:hAnsi="Arial"/>
          <w:sz w:val="17"/>
          <w:szCs w:val="17"/>
          <w:color w:val="010000"/>
        </w:rPr>
      </w:pPr>
      <w:r>
        <w:rPr>
          <w:rFonts w:ascii="Arial" w:cs="Arial" w:eastAsia="Arial" w:hAnsi="Arial"/>
          <w:sz w:val="17"/>
          <w:szCs w:val="17"/>
          <w:u w:val="single" w:color="auto"/>
          <w:color w:val="010000"/>
        </w:rPr>
        <w:t>Letter of Credit Fees</w:t>
      </w:r>
      <w:r>
        <w:rPr>
          <w:rFonts w:ascii="Arial" w:cs="Arial" w:eastAsia="Arial" w:hAnsi="Arial"/>
          <w:sz w:val="17"/>
          <w:szCs w:val="17"/>
          <w:color w:val="010000"/>
        </w:rPr>
        <w:t xml:space="preserve">. (i) The Borrower shall pay to the Agent for the account of each applicable Lender (other than a Defaulting Lender) a commission on such Lender’s Ratable Share of the average daily aggregate Available Amount of all Letters of Credit issued and outstanding from time to time at a rate per annum equal to the Letter of Credit Fee Rate in effect from time to time during such calendar quarter, payable in arrears monthly on the first day of each calendar month, and on the Termination Date;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the Letter of Credit Fee Rate shall be deemed to be 200 basis points above the Letter of Credit Fee Rate in effect if the Borrower is required to pay default interest pursuant to Section 2.07(b).</w:t>
      </w:r>
    </w:p>
    <w:p>
      <w:pPr>
        <w:spacing w:after="0" w:line="73" w:lineRule="exact"/>
        <w:rPr>
          <w:rFonts w:ascii="Arial" w:cs="Arial" w:eastAsia="Arial" w:hAnsi="Arial"/>
          <w:sz w:val="17"/>
          <w:szCs w:val="17"/>
          <w:color w:val="010000"/>
        </w:rPr>
      </w:pPr>
    </w:p>
    <w:p>
      <w:pPr>
        <w:ind w:right="20" w:firstLine="1559"/>
        <w:spacing w:after="0" w:line="254" w:lineRule="auto"/>
        <w:tabs>
          <w:tab w:leader="none" w:pos="1814" w:val="left"/>
        </w:tabs>
        <w:numPr>
          <w:ilvl w:val="1"/>
          <w:numId w:val="52"/>
        </w:numPr>
        <w:rPr>
          <w:rFonts w:ascii="Arial" w:cs="Arial" w:eastAsia="Arial" w:hAnsi="Arial"/>
          <w:sz w:val="18"/>
          <w:szCs w:val="18"/>
          <w:color w:val="010000"/>
        </w:rPr>
      </w:pPr>
      <w:r>
        <w:rPr>
          <w:rFonts w:ascii="Arial" w:cs="Arial" w:eastAsia="Arial" w:hAnsi="Arial"/>
          <w:sz w:val="18"/>
          <w:szCs w:val="18"/>
          <w:color w:val="010000"/>
        </w:rPr>
        <w:t>The Borrower shall pay to each Issuing Bank, for its own account, a fronting fee of 0.25% of the face amount of all Letters of Credit issued by such Issuing Bank and outstanding from time to time, payable in arrears monthly on the first day of each calendar month and on the Termination Date and such other customary commissions, issuance fees, transfer fees and other customary fees and charges in connection with the Issuance or administration of each Letter of Credit as the Borrower and such Issuing Bank shall agree.</w:t>
      </w:r>
    </w:p>
    <w:p>
      <w:pPr>
        <w:spacing w:after="0" w:line="83" w:lineRule="exact"/>
        <w:rPr>
          <w:rFonts w:ascii="Arial" w:cs="Arial" w:eastAsia="Arial" w:hAnsi="Arial"/>
          <w:sz w:val="18"/>
          <w:szCs w:val="18"/>
          <w:color w:val="010000"/>
        </w:rPr>
      </w:pPr>
    </w:p>
    <w:p>
      <w:pPr>
        <w:ind w:right="60" w:firstLine="1041"/>
        <w:spacing w:after="0" w:line="279" w:lineRule="auto"/>
        <w:tabs>
          <w:tab w:leader="none" w:pos="1276" w:val="left"/>
        </w:tabs>
        <w:numPr>
          <w:ilvl w:val="0"/>
          <w:numId w:val="52"/>
        </w:numPr>
        <w:rPr>
          <w:rFonts w:ascii="Arial" w:cs="Arial" w:eastAsia="Arial" w:hAnsi="Arial"/>
          <w:sz w:val="17"/>
          <w:szCs w:val="17"/>
          <w:color w:val="010000"/>
        </w:rPr>
      </w:pPr>
      <w:r>
        <w:rPr>
          <w:rFonts w:ascii="Arial" w:cs="Arial" w:eastAsia="Arial" w:hAnsi="Arial"/>
          <w:sz w:val="17"/>
          <w:szCs w:val="17"/>
          <w:u w:val="single" w:color="auto"/>
          <w:color w:val="010000"/>
        </w:rPr>
        <w:t>Other Fees</w:t>
      </w:r>
      <w:r>
        <w:rPr>
          <w:rFonts w:ascii="Arial" w:cs="Arial" w:eastAsia="Arial" w:hAnsi="Arial"/>
          <w:sz w:val="17"/>
          <w:szCs w:val="17"/>
          <w:color w:val="010000"/>
        </w:rPr>
        <w:t>. The Company shall pay the fees set forth in the Fee Letters, as such Fee Letters may from time to time be amended by the Company and the Agent and, to the extent any such amendment is adverse to the interests of any Arranger, by such Arranger, it being agreed that an increase in the amount of any administrative agency or other similar fee payable to the Agent is not adverse to the Arrangers.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2.05. </w:t>
      </w:r>
      <w:r>
        <w:rPr>
          <w:rFonts w:ascii="Arial" w:cs="Arial" w:eastAsia="Arial" w:hAnsi="Arial"/>
          <w:sz w:val="18"/>
          <w:szCs w:val="18"/>
          <w:u w:val="single" w:color="auto"/>
          <w:color w:val="010000"/>
        </w:rPr>
        <w:t>Termination or Reduction of the Commitments</w:t>
      </w:r>
      <w:r>
        <w:rPr>
          <w:rFonts w:ascii="Arial" w:cs="Arial" w:eastAsia="Arial" w:hAnsi="Arial"/>
          <w:sz w:val="18"/>
          <w:szCs w:val="18"/>
          <w:color w:val="010000"/>
        </w:rPr>
        <w:t>.</w:t>
      </w:r>
    </w:p>
    <w:p>
      <w:pPr>
        <w:spacing w:after="0" w:line="113" w:lineRule="exact"/>
        <w:rPr>
          <w:sz w:val="20"/>
          <w:szCs w:val="20"/>
          <w:color w:val="auto"/>
        </w:rPr>
      </w:pPr>
    </w:p>
    <w:p>
      <w:pPr>
        <w:ind w:right="140" w:firstLine="1041"/>
        <w:spacing w:after="0" w:line="252" w:lineRule="auto"/>
        <w:tabs>
          <w:tab w:leader="none" w:pos="1276" w:val="left"/>
        </w:tabs>
        <w:numPr>
          <w:ilvl w:val="0"/>
          <w:numId w:val="53"/>
        </w:numPr>
        <w:rPr>
          <w:rFonts w:ascii="Arial" w:cs="Arial" w:eastAsia="Arial" w:hAnsi="Arial"/>
          <w:sz w:val="18"/>
          <w:szCs w:val="18"/>
          <w:color w:val="010000"/>
        </w:rPr>
      </w:pPr>
      <w:r>
        <w:rPr>
          <w:rFonts w:ascii="Arial" w:cs="Arial" w:eastAsia="Arial" w:hAnsi="Arial"/>
          <w:sz w:val="18"/>
          <w:szCs w:val="18"/>
          <w:u w:val="single" w:color="auto"/>
          <w:color w:val="010000"/>
        </w:rPr>
        <w:t>Optional</w:t>
      </w:r>
      <w:r>
        <w:rPr>
          <w:rFonts w:ascii="Arial" w:cs="Arial" w:eastAsia="Arial" w:hAnsi="Arial"/>
          <w:sz w:val="18"/>
          <w:szCs w:val="18"/>
          <w:color w:val="010000"/>
        </w:rPr>
        <w:t xml:space="preserve">. The Borrower shall have the right at any time and without penalty, upon at least three Business Days’ notice to the Agent, to terminate in whole or permanently reduce in part the Unissued Letter of Credit Commitments and the Unused Revolving Credit Commitments;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each partial reduction of a Facility (i) shall be in an aggregate amount of $5,000,000 and an integral multiple of $1,000,000 in excess thereof and (ii) if made under the Revolving Credit Facility, shall be made ratably among the Lenders in accordance with their Revolving Credit Commitments in respect of the Revolving Credit Facility.</w:t>
      </w:r>
    </w:p>
    <w:p>
      <w:pPr>
        <w:spacing w:after="0" w:line="86" w:lineRule="exact"/>
        <w:rPr>
          <w:rFonts w:ascii="Arial" w:cs="Arial" w:eastAsia="Arial" w:hAnsi="Arial"/>
          <w:sz w:val="18"/>
          <w:szCs w:val="18"/>
          <w:color w:val="010000"/>
        </w:rPr>
      </w:pPr>
    </w:p>
    <w:p>
      <w:pPr>
        <w:ind w:right="60" w:firstLine="1041"/>
        <w:spacing w:after="0" w:line="304" w:lineRule="auto"/>
        <w:tabs>
          <w:tab w:leader="none" w:pos="1286" w:val="left"/>
        </w:tabs>
        <w:numPr>
          <w:ilvl w:val="0"/>
          <w:numId w:val="53"/>
        </w:numPr>
        <w:rPr>
          <w:rFonts w:ascii="Arial" w:cs="Arial" w:eastAsia="Arial" w:hAnsi="Arial"/>
          <w:sz w:val="16"/>
          <w:szCs w:val="16"/>
          <w:color w:val="010000"/>
        </w:rPr>
      </w:pPr>
      <w:r>
        <w:rPr>
          <w:rFonts w:ascii="Arial" w:cs="Arial" w:eastAsia="Arial" w:hAnsi="Arial"/>
          <w:sz w:val="16"/>
          <w:szCs w:val="16"/>
          <w:u w:val="single" w:color="auto"/>
          <w:color w:val="010000"/>
        </w:rPr>
        <w:t>Mandatory</w:t>
      </w:r>
      <w:r>
        <w:rPr>
          <w:rFonts w:ascii="Arial" w:cs="Arial" w:eastAsia="Arial" w:hAnsi="Arial"/>
          <w:sz w:val="16"/>
          <w:szCs w:val="16"/>
          <w:color w:val="010000"/>
        </w:rPr>
        <w:t>. Unless previously terminated, the Revolving Credit Commitments shall automatically terminate on the Maturity Date. The Letter of Credit Facility shall be permanently reduced from time to time on the date of each reduction in the Revolving Credit Facility by the amount, if any, by which the amount of the Letter of Credit Facility exceeds the Revolving Credit Facility after giving effect to such reduction of the Revolving Credit Facility.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86" w:name="page87"/>
    <w:bookmarkEnd w:id="86"/>
    <w:p>
      <w:pPr>
        <w:ind w:firstLine="518"/>
        <w:spacing w:after="0" w:line="281" w:lineRule="auto"/>
        <w:rPr>
          <w:sz w:val="20"/>
          <w:szCs w:val="20"/>
          <w:color w:val="auto"/>
        </w:rPr>
      </w:pPr>
      <w:r>
        <w:rPr>
          <w:rFonts w:ascii="Arial" w:cs="Arial" w:eastAsia="Arial" w:hAnsi="Arial"/>
          <w:sz w:val="16"/>
          <w:szCs w:val="16"/>
          <w:color w:val="010000"/>
        </w:rPr>
        <w:t xml:space="preserve">SECTION 2.06. </w:t>
      </w:r>
      <w:r>
        <w:rPr>
          <w:rFonts w:ascii="Arial" w:cs="Arial" w:eastAsia="Arial" w:hAnsi="Arial"/>
          <w:sz w:val="16"/>
          <w:szCs w:val="16"/>
          <w:u w:val="single" w:color="auto"/>
          <w:color w:val="010000"/>
        </w:rPr>
        <w:t>Letter of Credit Drawings</w:t>
      </w:r>
      <w:r>
        <w:rPr>
          <w:rFonts w:ascii="Arial" w:cs="Arial" w:eastAsia="Arial" w:hAnsi="Arial"/>
          <w:sz w:val="16"/>
          <w:szCs w:val="16"/>
          <w:color w:val="010000"/>
        </w:rPr>
        <w:t>. The obligations of the Company under any Letter of Credit Agreement and any other agreement or instrument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the Company is without prejudice to, and does not constitute a waiver of, any rights the Company might have or might acquire as a result of the payment by any Lender of any draft or the reimbursement by the Company thereof, including, without limitation, pursuant to 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10000"/>
        </w:rPr>
        <w:t>9.14):</w:t>
      </w:r>
    </w:p>
    <w:p>
      <w:pPr>
        <w:spacing w:after="0" w:line="102" w:lineRule="exact"/>
        <w:rPr>
          <w:sz w:val="20"/>
          <w:szCs w:val="20"/>
          <w:color w:val="auto"/>
        </w:rPr>
      </w:pPr>
    </w:p>
    <w:p>
      <w:pPr>
        <w:ind w:right="100" w:firstLine="1041"/>
        <w:spacing w:after="0" w:line="257" w:lineRule="auto"/>
        <w:tabs>
          <w:tab w:leader="none" w:pos="1276" w:val="left"/>
        </w:tabs>
        <w:numPr>
          <w:ilvl w:val="0"/>
          <w:numId w:val="54"/>
        </w:numPr>
        <w:rPr>
          <w:rFonts w:ascii="Arial" w:cs="Arial" w:eastAsia="Arial" w:hAnsi="Arial"/>
          <w:sz w:val="18"/>
          <w:szCs w:val="18"/>
          <w:color w:val="010000"/>
        </w:rPr>
      </w:pPr>
      <w:r>
        <w:rPr>
          <w:rFonts w:ascii="Arial" w:cs="Arial" w:eastAsia="Arial" w:hAnsi="Arial"/>
          <w:sz w:val="18"/>
          <w:szCs w:val="18"/>
          <w:color w:val="010000"/>
        </w:rPr>
        <w:t>any lack of validity or enforceability of this Agreement or any Note, or of any Letter of Credit Agreement, any Letter of Credit or any other agreement or instrument relating thereto (such Letter of Credit Agreement, Letter of Credit and related instruments or instruments being, collectively, the “</w:t>
      </w:r>
      <w:r>
        <w:rPr>
          <w:rFonts w:ascii="Arial" w:cs="Arial" w:eastAsia="Arial" w:hAnsi="Arial"/>
          <w:sz w:val="18"/>
          <w:szCs w:val="18"/>
          <w:u w:val="single" w:color="auto"/>
          <w:color w:val="010000"/>
        </w:rPr>
        <w:t>L/C</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Related Documents</w:t>
      </w:r>
      <w:r>
        <w:rPr>
          <w:rFonts w:ascii="Arial" w:cs="Arial" w:eastAsia="Arial" w:hAnsi="Arial"/>
          <w:sz w:val="18"/>
          <w:szCs w:val="18"/>
          <w:color w:val="010000"/>
        </w:rPr>
        <w:t>”);</w:t>
      </w:r>
    </w:p>
    <w:p>
      <w:pPr>
        <w:spacing w:after="0" w:line="81" w:lineRule="exact"/>
        <w:rPr>
          <w:rFonts w:ascii="Arial" w:cs="Arial" w:eastAsia="Arial" w:hAnsi="Arial"/>
          <w:sz w:val="18"/>
          <w:szCs w:val="18"/>
          <w:color w:val="010000"/>
        </w:rPr>
      </w:pPr>
    </w:p>
    <w:p>
      <w:pPr>
        <w:ind w:right="20" w:firstLine="1041"/>
        <w:spacing w:after="0" w:line="297" w:lineRule="auto"/>
        <w:tabs>
          <w:tab w:leader="none" w:pos="1286" w:val="left"/>
        </w:tabs>
        <w:numPr>
          <w:ilvl w:val="0"/>
          <w:numId w:val="54"/>
        </w:numPr>
        <w:rPr>
          <w:rFonts w:ascii="Arial" w:cs="Arial" w:eastAsia="Arial" w:hAnsi="Arial"/>
          <w:sz w:val="17"/>
          <w:szCs w:val="17"/>
          <w:color w:val="010000"/>
        </w:rPr>
      </w:pPr>
      <w:r>
        <w:rPr>
          <w:rFonts w:ascii="Arial" w:cs="Arial" w:eastAsia="Arial" w:hAnsi="Arial"/>
          <w:sz w:val="17"/>
          <w:szCs w:val="17"/>
          <w:color w:val="010000"/>
        </w:rPr>
        <w:t>any change in the time, manner or place of payment of, or in any other term of, all or any of the obligations of Borrower in respect of any L/C Related Document or any other amendment or waiver of or any consent to departure from all or any of the L/C Related Documents;</w:t>
      </w:r>
    </w:p>
    <w:p>
      <w:pPr>
        <w:spacing w:after="0" w:line="49" w:lineRule="exact"/>
        <w:rPr>
          <w:rFonts w:ascii="Arial" w:cs="Arial" w:eastAsia="Arial" w:hAnsi="Arial"/>
          <w:sz w:val="17"/>
          <w:szCs w:val="17"/>
          <w:color w:val="010000"/>
        </w:rPr>
      </w:pPr>
    </w:p>
    <w:p>
      <w:pPr>
        <w:jc w:val="both"/>
        <w:ind w:right="260" w:firstLine="1041"/>
        <w:spacing w:after="0" w:line="304" w:lineRule="auto"/>
        <w:tabs>
          <w:tab w:leader="none" w:pos="1276" w:val="left"/>
        </w:tabs>
        <w:numPr>
          <w:ilvl w:val="0"/>
          <w:numId w:val="54"/>
        </w:numPr>
        <w:rPr>
          <w:rFonts w:ascii="Arial" w:cs="Arial" w:eastAsia="Arial" w:hAnsi="Arial"/>
          <w:sz w:val="16"/>
          <w:szCs w:val="16"/>
          <w:color w:val="010000"/>
        </w:rPr>
      </w:pPr>
      <w:r>
        <w:rPr>
          <w:rFonts w:ascii="Arial" w:cs="Arial" w:eastAsia="Arial" w:hAnsi="Arial"/>
          <w:sz w:val="16"/>
          <w:szCs w:val="16"/>
          <w:color w:val="010000"/>
        </w:rPr>
        <w:t>the existence of any claim, set-off, defense or other right that Borrower may have at any time against any beneficiary or any transferee of a Letter of Credit (or any Persons for which any such beneficiary or any such transferee may be acting), any Issuing Bank, the Agent, any Lender or any other Person, whether in connection with the transactions contemplated by the L/C Related Documents or any unrelated transaction;</w:t>
      </w:r>
    </w:p>
    <w:p>
      <w:pPr>
        <w:spacing w:after="0" w:line="47" w:lineRule="exact"/>
        <w:rPr>
          <w:rFonts w:ascii="Arial" w:cs="Arial" w:eastAsia="Arial" w:hAnsi="Arial"/>
          <w:sz w:val="16"/>
          <w:szCs w:val="16"/>
          <w:color w:val="010000"/>
        </w:rPr>
      </w:pPr>
    </w:p>
    <w:p>
      <w:pPr>
        <w:ind w:right="60" w:firstLine="1041"/>
        <w:spacing w:after="0" w:line="267" w:lineRule="auto"/>
        <w:tabs>
          <w:tab w:leader="none" w:pos="1286" w:val="left"/>
        </w:tabs>
        <w:numPr>
          <w:ilvl w:val="0"/>
          <w:numId w:val="54"/>
        </w:numPr>
        <w:rPr>
          <w:rFonts w:ascii="Arial" w:cs="Arial" w:eastAsia="Arial" w:hAnsi="Arial"/>
          <w:sz w:val="18"/>
          <w:szCs w:val="18"/>
          <w:color w:val="010000"/>
        </w:rPr>
      </w:pPr>
      <w:r>
        <w:rPr>
          <w:rFonts w:ascii="Arial" w:cs="Arial" w:eastAsia="Arial" w:hAnsi="Arial"/>
          <w:sz w:val="18"/>
          <w:szCs w:val="18"/>
          <w:color w:val="010000"/>
        </w:rPr>
        <w:t>any statement or any other document presented under a Letter of Credit proving to be forged, fraudulent, invalid or insufficient in any respect or any statement therein being untrue or inaccurate in any respect;</w:t>
      </w:r>
    </w:p>
    <w:p>
      <w:pPr>
        <w:spacing w:after="0" w:line="72" w:lineRule="exact"/>
        <w:rPr>
          <w:rFonts w:ascii="Arial" w:cs="Arial" w:eastAsia="Arial" w:hAnsi="Arial"/>
          <w:sz w:val="18"/>
          <w:szCs w:val="18"/>
          <w:color w:val="010000"/>
        </w:rPr>
      </w:pPr>
    </w:p>
    <w:p>
      <w:pPr>
        <w:ind w:right="40" w:firstLine="1041"/>
        <w:spacing w:after="0" w:line="267" w:lineRule="auto"/>
        <w:tabs>
          <w:tab w:leader="none" w:pos="1276" w:val="left"/>
        </w:tabs>
        <w:numPr>
          <w:ilvl w:val="0"/>
          <w:numId w:val="54"/>
        </w:numPr>
        <w:rPr>
          <w:rFonts w:ascii="Arial" w:cs="Arial" w:eastAsia="Arial" w:hAnsi="Arial"/>
          <w:sz w:val="18"/>
          <w:szCs w:val="18"/>
          <w:color w:val="010000"/>
        </w:rPr>
      </w:pPr>
      <w:r>
        <w:rPr>
          <w:rFonts w:ascii="Arial" w:cs="Arial" w:eastAsia="Arial" w:hAnsi="Arial"/>
          <w:sz w:val="18"/>
          <w:szCs w:val="18"/>
          <w:color w:val="010000"/>
        </w:rPr>
        <w:t>payment by any Issuing Bank under a Letter of Credit against presentation of a draft or certificate that does not strictly comply with the terms of such Letter of Credit;</w:t>
      </w:r>
    </w:p>
    <w:p>
      <w:pPr>
        <w:spacing w:after="0" w:line="72" w:lineRule="exact"/>
        <w:rPr>
          <w:rFonts w:ascii="Arial" w:cs="Arial" w:eastAsia="Arial" w:hAnsi="Arial"/>
          <w:sz w:val="18"/>
          <w:szCs w:val="18"/>
          <w:color w:val="010000"/>
        </w:rPr>
      </w:pPr>
    </w:p>
    <w:p>
      <w:pPr>
        <w:ind w:right="20" w:firstLine="1041"/>
        <w:spacing w:after="0" w:line="267" w:lineRule="auto"/>
        <w:tabs>
          <w:tab w:leader="none" w:pos="1256" w:val="left"/>
        </w:tabs>
        <w:numPr>
          <w:ilvl w:val="0"/>
          <w:numId w:val="54"/>
        </w:numPr>
        <w:rPr>
          <w:rFonts w:ascii="Arial" w:cs="Arial" w:eastAsia="Arial" w:hAnsi="Arial"/>
          <w:sz w:val="18"/>
          <w:szCs w:val="18"/>
          <w:color w:val="010000"/>
        </w:rPr>
      </w:pPr>
      <w:r>
        <w:rPr>
          <w:rFonts w:ascii="Arial" w:cs="Arial" w:eastAsia="Arial" w:hAnsi="Arial"/>
          <w:sz w:val="18"/>
          <w:szCs w:val="18"/>
          <w:color w:val="010000"/>
        </w:rPr>
        <w:t>any exchange, release or non-perfection of any Collateral or other collateral, or any release or amendment or waiver of or consent to departure from any guarantee, for all or any of the obligations of the Borrower in respect of the L/C Related Documents; or</w:t>
      </w:r>
    </w:p>
    <w:p>
      <w:pPr>
        <w:spacing w:after="0" w:line="72" w:lineRule="exact"/>
        <w:rPr>
          <w:rFonts w:ascii="Arial" w:cs="Arial" w:eastAsia="Arial" w:hAnsi="Arial"/>
          <w:sz w:val="18"/>
          <w:szCs w:val="18"/>
          <w:color w:val="010000"/>
        </w:rPr>
      </w:pPr>
    </w:p>
    <w:p>
      <w:pPr>
        <w:ind w:right="420" w:firstLine="1041"/>
        <w:spacing w:after="0" w:line="267" w:lineRule="auto"/>
        <w:tabs>
          <w:tab w:leader="none" w:pos="1286" w:val="left"/>
        </w:tabs>
        <w:numPr>
          <w:ilvl w:val="0"/>
          <w:numId w:val="54"/>
        </w:numPr>
        <w:rPr>
          <w:rFonts w:ascii="Arial" w:cs="Arial" w:eastAsia="Arial" w:hAnsi="Arial"/>
          <w:sz w:val="18"/>
          <w:szCs w:val="18"/>
          <w:color w:val="010000"/>
        </w:rPr>
      </w:pPr>
      <w:r>
        <w:rPr>
          <w:rFonts w:ascii="Arial" w:cs="Arial" w:eastAsia="Arial" w:hAnsi="Arial"/>
          <w:sz w:val="18"/>
          <w:szCs w:val="18"/>
          <w:color w:val="010000"/>
        </w:rPr>
        <w:t>any other circumstance or happening whatsoever, whether or not similar to any of the foregoing, including, without limitation, any other circumstance that might otherwise constitute a defense available to, or a discharge of, the Company or a guarantor.</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2.07. </w:t>
      </w:r>
      <w:r>
        <w:rPr>
          <w:rFonts w:ascii="Arial" w:cs="Arial" w:eastAsia="Arial" w:hAnsi="Arial"/>
          <w:sz w:val="18"/>
          <w:szCs w:val="18"/>
          <w:u w:val="single" w:color="auto"/>
          <w:color w:val="010000"/>
        </w:rPr>
        <w:t>Interest on Revolving Loans</w:t>
      </w:r>
      <w:r>
        <w:rPr>
          <w:rFonts w:ascii="Arial" w:cs="Arial" w:eastAsia="Arial" w:hAnsi="Arial"/>
          <w:sz w:val="18"/>
          <w:szCs w:val="18"/>
          <w:color w:val="010000"/>
        </w:rPr>
        <w:t>.</w:t>
      </w:r>
    </w:p>
    <w:p>
      <w:pPr>
        <w:spacing w:after="0" w:line="113" w:lineRule="exact"/>
        <w:rPr>
          <w:sz w:val="20"/>
          <w:szCs w:val="20"/>
          <w:color w:val="auto"/>
        </w:rPr>
      </w:pPr>
    </w:p>
    <w:p>
      <w:pPr>
        <w:ind w:right="100" w:firstLine="1041"/>
        <w:spacing w:after="0" w:line="257" w:lineRule="auto"/>
        <w:tabs>
          <w:tab w:leader="none" w:pos="1276" w:val="left"/>
        </w:tabs>
        <w:numPr>
          <w:ilvl w:val="0"/>
          <w:numId w:val="55"/>
        </w:numPr>
        <w:rPr>
          <w:rFonts w:ascii="Arial" w:cs="Arial" w:eastAsia="Arial" w:hAnsi="Arial"/>
          <w:sz w:val="18"/>
          <w:szCs w:val="18"/>
          <w:color w:val="010000"/>
        </w:rPr>
      </w:pPr>
      <w:r>
        <w:rPr>
          <w:rFonts w:ascii="Arial" w:cs="Arial" w:eastAsia="Arial" w:hAnsi="Arial"/>
          <w:sz w:val="18"/>
          <w:szCs w:val="18"/>
          <w:u w:val="single" w:color="auto"/>
          <w:color w:val="010000"/>
        </w:rPr>
        <w:t>Scheduled Interest</w:t>
      </w:r>
      <w:r>
        <w:rPr>
          <w:rFonts w:ascii="Arial" w:cs="Arial" w:eastAsia="Arial" w:hAnsi="Arial"/>
          <w:sz w:val="18"/>
          <w:szCs w:val="18"/>
          <w:color w:val="010000"/>
        </w:rPr>
        <w:t>. Borrower shall pay interest on the unpaid principal amount of each Revolving Loan owing by Borrower to the Agent (or the Company, at its option, may make such payment on behalf of Borrower) for the account of each Lender from the date of such Revolving Loan until such principal amount shall be paid in full, at the following rates per annum:</w:t>
      </w:r>
    </w:p>
    <w:p>
      <w:pPr>
        <w:spacing w:after="0" w:line="81" w:lineRule="exact"/>
        <w:rPr>
          <w:rFonts w:ascii="Arial" w:cs="Arial" w:eastAsia="Arial" w:hAnsi="Arial"/>
          <w:sz w:val="18"/>
          <w:szCs w:val="18"/>
          <w:color w:val="010000"/>
        </w:rPr>
      </w:pPr>
    </w:p>
    <w:p>
      <w:pPr>
        <w:jc w:val="both"/>
        <w:ind w:right="160" w:firstLine="1559"/>
        <w:spacing w:after="0" w:line="279" w:lineRule="auto"/>
        <w:tabs>
          <w:tab w:leader="none" w:pos="1764" w:val="left"/>
        </w:tabs>
        <w:numPr>
          <w:ilvl w:val="1"/>
          <w:numId w:val="55"/>
        </w:numPr>
        <w:rPr>
          <w:rFonts w:ascii="Arial" w:cs="Arial" w:eastAsia="Arial" w:hAnsi="Arial"/>
          <w:sz w:val="17"/>
          <w:szCs w:val="17"/>
          <w:color w:val="010000"/>
        </w:rPr>
      </w:pPr>
      <w:r>
        <w:rPr>
          <w:rFonts w:ascii="Arial" w:cs="Arial" w:eastAsia="Arial" w:hAnsi="Arial"/>
          <w:sz w:val="17"/>
          <w:szCs w:val="17"/>
          <w:u w:val="single" w:color="auto"/>
          <w:color w:val="010000"/>
        </w:rPr>
        <w:t>Base Rate Revolving Loans</w:t>
      </w:r>
      <w:r>
        <w:rPr>
          <w:rFonts w:ascii="Arial" w:cs="Arial" w:eastAsia="Arial" w:hAnsi="Arial"/>
          <w:sz w:val="17"/>
          <w:szCs w:val="17"/>
          <w:color w:val="010000"/>
        </w:rPr>
        <w:t>. During such periods as such Revolving Loan is a Base Rate Revolving Loan, a rate per annum equal at all times to the sum of (A) the Base Rate in effect from time to time plus (B) the Applicable Margin in effect from time to time, payable in arrears monthly on the first day of each calendar month and on the date such Base Rate Revolving Loan shall be Converted or paid in full.</w:t>
      </w:r>
    </w:p>
    <w:p>
      <w:pPr>
        <w:spacing w:after="0" w:line="65" w:lineRule="exact"/>
        <w:rPr>
          <w:rFonts w:ascii="Arial" w:cs="Arial" w:eastAsia="Arial" w:hAnsi="Arial"/>
          <w:sz w:val="17"/>
          <w:szCs w:val="17"/>
          <w:color w:val="010000"/>
        </w:rPr>
      </w:pPr>
    </w:p>
    <w:p>
      <w:pPr>
        <w:ind w:firstLine="1559"/>
        <w:spacing w:after="0" w:line="252" w:lineRule="auto"/>
        <w:tabs>
          <w:tab w:leader="none" w:pos="1814" w:val="left"/>
        </w:tabs>
        <w:numPr>
          <w:ilvl w:val="1"/>
          <w:numId w:val="55"/>
        </w:numPr>
        <w:rPr>
          <w:rFonts w:ascii="Arial" w:cs="Arial" w:eastAsia="Arial" w:hAnsi="Arial"/>
          <w:sz w:val="18"/>
          <w:szCs w:val="18"/>
          <w:color w:val="010000"/>
        </w:rPr>
      </w:pPr>
      <w:r>
        <w:rPr>
          <w:rFonts w:ascii="Arial" w:cs="Arial" w:eastAsia="Arial" w:hAnsi="Arial"/>
          <w:sz w:val="18"/>
          <w:szCs w:val="18"/>
          <w:u w:val="single" w:color="auto"/>
          <w:color w:val="010000"/>
        </w:rPr>
        <w:t>Eurodollar Rate Revolving Loans</w:t>
      </w:r>
      <w:r>
        <w:rPr>
          <w:rFonts w:ascii="Arial" w:cs="Arial" w:eastAsia="Arial" w:hAnsi="Arial"/>
          <w:sz w:val="18"/>
          <w:szCs w:val="18"/>
          <w:color w:val="010000"/>
        </w:rPr>
        <w:t>. During such periods as such Revolving Loan is a Eurodollar Rate Revolving Loan, a rate per annum equal at all times during each Interest Period for such Revolving Loan to the sum of (A) the Eurodollar Rate for such Interest Period for such Revolving Loan plus (B) the Applicable Margin in effect from time to time, payable in arrears on the last day of such Interest Period and, if such Interest Period has a duration of more than three months, on the day of every third month during such Interest Period corresponding to the first day of such Interest Period and on the date such Eurodollar Rate Revolving Loan shall be Converted or paid in full.</w:t>
      </w:r>
    </w:p>
    <w:p>
      <w:pPr>
        <w:spacing w:after="0" w:line="86" w:lineRule="exact"/>
        <w:rPr>
          <w:rFonts w:ascii="Arial" w:cs="Arial" w:eastAsia="Arial" w:hAnsi="Arial"/>
          <w:sz w:val="18"/>
          <w:szCs w:val="18"/>
          <w:color w:val="010000"/>
        </w:rPr>
      </w:pPr>
    </w:p>
    <w:p>
      <w:pPr>
        <w:ind w:firstLine="1041"/>
        <w:spacing w:after="0" w:line="285" w:lineRule="auto"/>
        <w:tabs>
          <w:tab w:leader="none" w:pos="1286" w:val="left"/>
        </w:tabs>
        <w:numPr>
          <w:ilvl w:val="0"/>
          <w:numId w:val="55"/>
        </w:numPr>
        <w:rPr>
          <w:rFonts w:ascii="Arial" w:cs="Arial" w:eastAsia="Arial" w:hAnsi="Arial"/>
          <w:sz w:val="16"/>
          <w:szCs w:val="16"/>
          <w:color w:val="010000"/>
        </w:rPr>
      </w:pPr>
      <w:r>
        <w:rPr>
          <w:rFonts w:ascii="Arial" w:cs="Arial" w:eastAsia="Arial" w:hAnsi="Arial"/>
          <w:sz w:val="16"/>
          <w:szCs w:val="16"/>
          <w:u w:val="single" w:color="auto"/>
          <w:color w:val="010000"/>
        </w:rPr>
        <w:t>Default Interest</w:t>
      </w:r>
      <w:r>
        <w:rPr>
          <w:rFonts w:ascii="Arial" w:cs="Arial" w:eastAsia="Arial" w:hAnsi="Arial"/>
          <w:sz w:val="16"/>
          <w:szCs w:val="16"/>
          <w:color w:val="010000"/>
        </w:rPr>
        <w:t>. Upon the occurrence and during the continuance of an Event of Default under Section 6.01(a), the Agent may, and upon the request of the Required Lenders shall, require and notify the Borrower to pay interest (“</w:t>
      </w:r>
      <w:r>
        <w:rPr>
          <w:rFonts w:ascii="Arial" w:cs="Arial" w:eastAsia="Arial" w:hAnsi="Arial"/>
          <w:sz w:val="16"/>
          <w:szCs w:val="16"/>
          <w:u w:val="single" w:color="auto"/>
          <w:color w:val="010000"/>
        </w:rPr>
        <w:t>Default Interest</w:t>
      </w:r>
      <w:r>
        <w:rPr>
          <w:rFonts w:ascii="Arial" w:cs="Arial" w:eastAsia="Arial" w:hAnsi="Arial"/>
          <w:sz w:val="16"/>
          <w:szCs w:val="16"/>
          <w:color w:val="010000"/>
        </w:rPr>
        <w:t xml:space="preserve">”) on (i) the unpaid principal amount of each Revolving Loan owing to each Lender, payable in arrears on the dates referred to in clause (a)(i) or (a)(ii) above, at a rate per annum equal at all times to 2% per annum above the rate per annum required to be paid on such Revolving Loan pursuant to clause (a)(i) or (a)(ii)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Revolving Loans pursuant to clause (a)(i) above,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following acceleration of the Revolving Loans pursuant to Section 6.01, Default Interest shall accrue and be payable hereunder whether or not previously required by the Agent.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87" w:name="page88"/>
    <w:bookmarkEnd w:id="87"/>
    <w:p>
      <w:pPr>
        <w:ind w:left="520"/>
        <w:spacing w:after="0"/>
        <w:rPr>
          <w:sz w:val="20"/>
          <w:szCs w:val="20"/>
          <w:color w:val="auto"/>
        </w:rPr>
      </w:pPr>
      <w:r>
        <w:rPr>
          <w:rFonts w:ascii="Arial" w:cs="Arial" w:eastAsia="Arial" w:hAnsi="Arial"/>
          <w:sz w:val="18"/>
          <w:szCs w:val="18"/>
          <w:color w:val="010000"/>
        </w:rPr>
        <w:t xml:space="preserve">SECTION 2.08. </w:t>
      </w:r>
      <w:r>
        <w:rPr>
          <w:rFonts w:ascii="Arial" w:cs="Arial" w:eastAsia="Arial" w:hAnsi="Arial"/>
          <w:sz w:val="18"/>
          <w:szCs w:val="18"/>
          <w:u w:val="single" w:color="auto"/>
          <w:color w:val="010000"/>
        </w:rPr>
        <w:t>Interest Rate Determination</w:t>
      </w:r>
      <w:r>
        <w:rPr>
          <w:rFonts w:ascii="Arial" w:cs="Arial" w:eastAsia="Arial" w:hAnsi="Arial"/>
          <w:sz w:val="18"/>
          <w:szCs w:val="18"/>
          <w:color w:val="010000"/>
        </w:rPr>
        <w:t>.</w:t>
      </w:r>
    </w:p>
    <w:p>
      <w:pPr>
        <w:spacing w:after="0" w:line="113" w:lineRule="exact"/>
        <w:rPr>
          <w:sz w:val="20"/>
          <w:szCs w:val="20"/>
          <w:color w:val="auto"/>
        </w:rPr>
      </w:pPr>
    </w:p>
    <w:p>
      <w:pPr>
        <w:ind w:right="220" w:firstLine="1041"/>
        <w:spacing w:after="0" w:line="267" w:lineRule="auto"/>
        <w:tabs>
          <w:tab w:leader="none" w:pos="1276" w:val="left"/>
        </w:tabs>
        <w:numPr>
          <w:ilvl w:val="1"/>
          <w:numId w:val="56"/>
        </w:numPr>
        <w:rPr>
          <w:rFonts w:ascii="Arial" w:cs="Arial" w:eastAsia="Arial" w:hAnsi="Arial"/>
          <w:sz w:val="18"/>
          <w:szCs w:val="18"/>
          <w:color w:val="010000"/>
        </w:rPr>
      </w:pPr>
      <w:r>
        <w:rPr>
          <w:rFonts w:ascii="Arial" w:cs="Arial" w:eastAsia="Arial" w:hAnsi="Arial"/>
          <w:sz w:val="18"/>
          <w:szCs w:val="18"/>
          <w:color w:val="010000"/>
        </w:rPr>
        <w:t>The Agent shall give prompt notice to the Company and the Lenders of the applicable interest rate determined by the Agent for purposes of Section 2.07(a)(i) or (ii).</w:t>
      </w:r>
    </w:p>
    <w:p>
      <w:pPr>
        <w:spacing w:after="0" w:line="72" w:lineRule="exact"/>
        <w:rPr>
          <w:rFonts w:ascii="Arial" w:cs="Arial" w:eastAsia="Arial" w:hAnsi="Arial"/>
          <w:sz w:val="18"/>
          <w:szCs w:val="18"/>
          <w:color w:val="010000"/>
        </w:rPr>
      </w:pPr>
    </w:p>
    <w:p>
      <w:pPr>
        <w:ind w:firstLine="1041"/>
        <w:spacing w:after="0" w:line="283" w:lineRule="auto"/>
        <w:tabs>
          <w:tab w:leader="none" w:pos="1286" w:val="left"/>
        </w:tabs>
        <w:numPr>
          <w:ilvl w:val="1"/>
          <w:numId w:val="56"/>
        </w:numPr>
        <w:rPr>
          <w:rFonts w:ascii="Arial" w:cs="Arial" w:eastAsia="Arial" w:hAnsi="Arial"/>
          <w:sz w:val="16"/>
          <w:szCs w:val="16"/>
          <w:color w:val="010000"/>
        </w:rPr>
      </w:pPr>
      <w:r>
        <w:rPr>
          <w:rFonts w:ascii="Arial" w:cs="Arial" w:eastAsia="Arial" w:hAnsi="Arial"/>
          <w:sz w:val="16"/>
          <w:szCs w:val="16"/>
          <w:color w:val="010000"/>
        </w:rPr>
        <w:t xml:space="preserve">If, with respect to any Eurodollar Rate Revolving Loans, Lenders owed at least 50% of the then aggregate principal amount of such outstanding Eurodollar Rate Revolving Loans thereof notify the Agent that the Eurodollar Rate for any Interest Period for such Revolving Loans will not adequately reflect the cost to such Lenders of making, funding or maintaining their respective Eurodollar Rate Revolving Loans for such Interest Period (a “Market Disruption Event”), the Agent shall forthwith so notify the Company and the Lenders, whereupon (i) each Eurodollar Rate Revolving Loan will automatically, on the last day of the then existing Interest Period therefor, Convert into a Base Rate Revolving Loan, and (ii) the obligation of the Lenders to make, or to Convert Revolving Loans into, Eurodollar Rate Revolving Loans shall be suspended until the Agent shall notify the Borrower and such Lenders that the circumstances causing such suspension no longer exist. During any period in which a Market Disruption Event is in effect, Borrower may request that the Agent confirm that the circumstances giving rise to the Market Disruption Event continue to be in effect;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xml:space="preserve"> (A) Borrower shall not be permitted to submit any such request more than once in any 30 day period and (B) nothing contained in this Section 2.08 or the failure to provide confirmation of the continued effectiveness of such Market Disruption Event shall in any way affect the Agent’s or Required Lenders’ right to provide any additional notices of a Market Disruption Event as provided in this Section 2.08. If the Agent has not confirmed after request of such report from the Borrower that a Market Disruption Event has occurred, then such Market Disruption Event shall be deemed to be no longer existing.</w:t>
      </w:r>
    </w:p>
    <w:p>
      <w:pPr>
        <w:spacing w:after="0" w:line="63" w:lineRule="exact"/>
        <w:rPr>
          <w:rFonts w:ascii="Arial" w:cs="Arial" w:eastAsia="Arial" w:hAnsi="Arial"/>
          <w:sz w:val="16"/>
          <w:szCs w:val="16"/>
          <w:color w:val="010000"/>
        </w:rPr>
      </w:pPr>
    </w:p>
    <w:p>
      <w:pPr>
        <w:ind w:right="100" w:firstLine="1041"/>
        <w:spacing w:after="0" w:line="257" w:lineRule="auto"/>
        <w:tabs>
          <w:tab w:leader="none" w:pos="1276" w:val="left"/>
        </w:tabs>
        <w:numPr>
          <w:ilvl w:val="1"/>
          <w:numId w:val="56"/>
        </w:numPr>
        <w:rPr>
          <w:rFonts w:ascii="Arial" w:cs="Arial" w:eastAsia="Arial" w:hAnsi="Arial"/>
          <w:sz w:val="18"/>
          <w:szCs w:val="18"/>
          <w:color w:val="010000"/>
        </w:rPr>
      </w:pPr>
      <w:r>
        <w:rPr>
          <w:rFonts w:ascii="Arial" w:cs="Arial" w:eastAsia="Arial" w:hAnsi="Arial"/>
          <w:sz w:val="18"/>
          <w:szCs w:val="18"/>
          <w:color w:val="010000"/>
        </w:rPr>
        <w:t>If Borrower shall fail to select the duration of any Interest Period for any Eurodollar Rate Revolving Loans in accordance with the provisions contained in the definition of “Interest Period” in Section 1.01, the Agent will forthwith so notify Borrower and the Lenders and such Revolving Loans will automatically, on the last day of the then existing Interest Period therefor, Convert into Base Rate Revolving Loans.</w:t>
      </w:r>
    </w:p>
    <w:p>
      <w:pPr>
        <w:spacing w:after="0" w:line="81" w:lineRule="exact"/>
        <w:rPr>
          <w:rFonts w:ascii="Arial" w:cs="Arial" w:eastAsia="Arial" w:hAnsi="Arial"/>
          <w:sz w:val="18"/>
          <w:szCs w:val="18"/>
          <w:color w:val="010000"/>
        </w:rPr>
      </w:pPr>
    </w:p>
    <w:p>
      <w:pPr>
        <w:ind w:right="120" w:firstLine="1041"/>
        <w:spacing w:after="0" w:line="331" w:lineRule="auto"/>
        <w:tabs>
          <w:tab w:leader="none" w:pos="1286" w:val="left"/>
        </w:tabs>
        <w:numPr>
          <w:ilvl w:val="1"/>
          <w:numId w:val="56"/>
        </w:numPr>
        <w:rPr>
          <w:rFonts w:ascii="Arial" w:cs="Arial" w:eastAsia="Arial" w:hAnsi="Arial"/>
          <w:sz w:val="16"/>
          <w:szCs w:val="16"/>
          <w:color w:val="010000"/>
        </w:rPr>
      </w:pPr>
      <w:r>
        <w:rPr>
          <w:rFonts w:ascii="Arial" w:cs="Arial" w:eastAsia="Arial" w:hAnsi="Arial"/>
          <w:sz w:val="16"/>
          <w:szCs w:val="16"/>
          <w:color w:val="010000"/>
        </w:rPr>
        <w:t>On the date on which the aggregate unpaid principal amount of Eurodollar Rate Revolving Loans comprising any Borrowing shall be reduced, by payment or prepayment or otherwise, to less than $5,000,000, such Revolving Loans shall automatically Convert into Base Rate Revolving Loans.</w:t>
      </w:r>
    </w:p>
    <w:p>
      <w:pPr>
        <w:spacing w:after="0" w:line="25" w:lineRule="exact"/>
        <w:rPr>
          <w:rFonts w:ascii="Arial" w:cs="Arial" w:eastAsia="Arial" w:hAnsi="Arial"/>
          <w:sz w:val="16"/>
          <w:szCs w:val="16"/>
          <w:color w:val="010000"/>
        </w:rPr>
      </w:pPr>
    </w:p>
    <w:p>
      <w:pPr>
        <w:jc w:val="both"/>
        <w:ind w:right="180" w:firstLine="1041"/>
        <w:spacing w:after="0" w:line="285" w:lineRule="auto"/>
        <w:tabs>
          <w:tab w:leader="none" w:pos="1276" w:val="left"/>
        </w:tabs>
        <w:numPr>
          <w:ilvl w:val="1"/>
          <w:numId w:val="56"/>
        </w:numPr>
        <w:rPr>
          <w:rFonts w:ascii="Arial" w:cs="Arial" w:eastAsia="Arial" w:hAnsi="Arial"/>
          <w:sz w:val="16"/>
          <w:szCs w:val="16"/>
          <w:color w:val="010000"/>
        </w:rPr>
      </w:pPr>
      <w:r>
        <w:rPr>
          <w:rFonts w:ascii="Arial" w:cs="Arial" w:eastAsia="Arial" w:hAnsi="Arial"/>
          <w:sz w:val="16"/>
          <w:szCs w:val="16"/>
          <w:color w:val="010000"/>
        </w:rPr>
        <w:t>Upon the occurrence and during the continuance of any Event of Default under Section 6.01(a) or any Borrowing Base Deficiency, (i) each Eurodollar Rate Revolving Loan will automatically, on the last day of the then existing Interest Period therefor, Convert into a Base Rate Revolving Loan and</w:t>
      </w:r>
    </w:p>
    <w:p>
      <w:pPr>
        <w:ind w:left="260" w:hanging="253"/>
        <w:spacing w:after="0"/>
        <w:tabs>
          <w:tab w:leader="none" w:pos="260" w:val="left"/>
        </w:tabs>
        <w:numPr>
          <w:ilvl w:val="0"/>
          <w:numId w:val="57"/>
        </w:numPr>
        <w:rPr>
          <w:rFonts w:ascii="Arial" w:cs="Arial" w:eastAsia="Arial" w:hAnsi="Arial"/>
          <w:sz w:val="18"/>
          <w:szCs w:val="18"/>
          <w:color w:val="010000"/>
        </w:rPr>
      </w:pPr>
      <w:r>
        <w:rPr>
          <w:rFonts w:ascii="Arial" w:cs="Arial" w:eastAsia="Arial" w:hAnsi="Arial"/>
          <w:sz w:val="18"/>
          <w:szCs w:val="18"/>
          <w:color w:val="010000"/>
        </w:rPr>
        <w:t>the obligation of the Lenders to make, or to Convert Revolving Loans into, Eurodollar Rate Revolving Loans shall be suspended.</w:t>
      </w:r>
    </w:p>
    <w:p>
      <w:pPr>
        <w:spacing w:after="0" w:line="102" w:lineRule="exact"/>
        <w:rPr>
          <w:rFonts w:ascii="Arial" w:cs="Arial" w:eastAsia="Arial" w:hAnsi="Arial"/>
          <w:sz w:val="18"/>
          <w:szCs w:val="18"/>
          <w:color w:val="010000"/>
        </w:rPr>
      </w:pPr>
    </w:p>
    <w:p>
      <w:pPr>
        <w:ind w:right="140" w:firstLine="1041"/>
        <w:spacing w:after="0" w:line="267" w:lineRule="auto"/>
        <w:tabs>
          <w:tab w:leader="none" w:pos="1256" w:val="left"/>
        </w:tabs>
        <w:numPr>
          <w:ilvl w:val="1"/>
          <w:numId w:val="57"/>
        </w:numPr>
        <w:rPr>
          <w:rFonts w:ascii="Arial" w:cs="Arial" w:eastAsia="Arial" w:hAnsi="Arial"/>
          <w:sz w:val="18"/>
          <w:szCs w:val="18"/>
          <w:color w:val="010000"/>
        </w:rPr>
      </w:pPr>
      <w:r>
        <w:rPr>
          <w:rFonts w:ascii="Arial" w:cs="Arial" w:eastAsia="Arial" w:hAnsi="Arial"/>
          <w:sz w:val="18"/>
          <w:szCs w:val="18"/>
          <w:color w:val="010000"/>
        </w:rPr>
        <w:t>If Reuter Screen LIBOR01 is unavailable (and there is no successor or replacement screen available for determining the Eurodollar Rate) for determining the Eurodollar Rate for any Eurodollar Rate Revolving Loans,</w:t>
      </w:r>
    </w:p>
    <w:p>
      <w:pPr>
        <w:spacing w:after="0" w:line="72" w:lineRule="exact"/>
        <w:rPr>
          <w:rFonts w:ascii="Arial" w:cs="Arial" w:eastAsia="Arial" w:hAnsi="Arial"/>
          <w:sz w:val="18"/>
          <w:szCs w:val="18"/>
          <w:color w:val="010000"/>
        </w:rPr>
      </w:pPr>
    </w:p>
    <w:p>
      <w:pPr>
        <w:ind w:left="1780" w:hanging="221"/>
        <w:spacing w:after="0"/>
        <w:tabs>
          <w:tab w:leader="none" w:pos="1780" w:val="left"/>
        </w:tabs>
        <w:numPr>
          <w:ilvl w:val="2"/>
          <w:numId w:val="57"/>
        </w:numPr>
        <w:rPr>
          <w:rFonts w:ascii="Arial" w:cs="Arial" w:eastAsia="Arial" w:hAnsi="Arial"/>
          <w:sz w:val="16"/>
          <w:szCs w:val="16"/>
          <w:color w:val="010000"/>
        </w:rPr>
      </w:pPr>
      <w:r>
        <w:rPr>
          <w:rFonts w:ascii="Arial" w:cs="Arial" w:eastAsia="Arial" w:hAnsi="Arial"/>
          <w:sz w:val="16"/>
          <w:szCs w:val="16"/>
          <w:color w:val="010000"/>
        </w:rPr>
        <w:t>the Agent shall forthwith notify the Borrower and the Lenders that the interest rate cannot be determined for such Eurodollar Rate</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Revolving Loans,</w:t>
      </w:r>
    </w:p>
    <w:p>
      <w:pPr>
        <w:spacing w:after="0" w:line="102" w:lineRule="exact"/>
        <w:rPr>
          <w:rFonts w:ascii="Arial" w:cs="Arial" w:eastAsia="Arial" w:hAnsi="Arial"/>
          <w:sz w:val="16"/>
          <w:szCs w:val="16"/>
          <w:color w:val="010000"/>
        </w:rPr>
      </w:pPr>
    </w:p>
    <w:p>
      <w:pPr>
        <w:ind w:right="60" w:firstLine="1559"/>
        <w:spacing w:after="0" w:line="257" w:lineRule="auto"/>
        <w:tabs>
          <w:tab w:leader="none" w:pos="1814" w:val="left"/>
        </w:tabs>
        <w:numPr>
          <w:ilvl w:val="2"/>
          <w:numId w:val="57"/>
        </w:numPr>
        <w:rPr>
          <w:rFonts w:ascii="Arial" w:cs="Arial" w:eastAsia="Arial" w:hAnsi="Arial"/>
          <w:sz w:val="18"/>
          <w:szCs w:val="18"/>
          <w:color w:val="010000"/>
        </w:rPr>
      </w:pPr>
      <w:r>
        <w:rPr>
          <w:rFonts w:ascii="Arial" w:cs="Arial" w:eastAsia="Arial" w:hAnsi="Arial"/>
          <w:sz w:val="18"/>
          <w:szCs w:val="18"/>
          <w:color w:val="010000"/>
        </w:rPr>
        <w:t>with respect to Eurodollar Rate Revolving Loans, each such Revolving Loan will automatically, on the last day of the then existing Interest Period therefor, Convert into a Base Rate Revolving Loan (or if such Revolving Loan is then a Base Rate Revolving Loan, will continue as a Base Rate Revolving Loan), and</w:t>
      </w:r>
    </w:p>
    <w:p>
      <w:pPr>
        <w:spacing w:after="0" w:line="81" w:lineRule="exact"/>
        <w:rPr>
          <w:rFonts w:ascii="Arial" w:cs="Arial" w:eastAsia="Arial" w:hAnsi="Arial"/>
          <w:sz w:val="18"/>
          <w:szCs w:val="18"/>
          <w:color w:val="010000"/>
        </w:rPr>
      </w:pPr>
    </w:p>
    <w:p>
      <w:pPr>
        <w:ind w:right="120" w:firstLine="1559"/>
        <w:spacing w:after="0" w:line="331" w:lineRule="auto"/>
        <w:tabs>
          <w:tab w:leader="none" w:pos="1863" w:val="left"/>
        </w:tabs>
        <w:numPr>
          <w:ilvl w:val="2"/>
          <w:numId w:val="57"/>
        </w:numPr>
        <w:rPr>
          <w:rFonts w:ascii="Arial" w:cs="Arial" w:eastAsia="Arial" w:hAnsi="Arial"/>
          <w:sz w:val="16"/>
          <w:szCs w:val="16"/>
          <w:color w:val="010000"/>
        </w:rPr>
      </w:pPr>
      <w:r>
        <w:rPr>
          <w:rFonts w:ascii="Arial" w:cs="Arial" w:eastAsia="Arial" w:hAnsi="Arial"/>
          <w:sz w:val="16"/>
          <w:szCs w:val="16"/>
          <w:color w:val="010000"/>
        </w:rPr>
        <w:t>the obligation of the Lenders to make Eurodollar Rate Revolving Loans or to Convert Revolving Loans into Eurodollar Rate Revolving Loans shall be suspended until the Agent shall notify the Company and the Lenders that the circumstances causing such suspension no longer exist.</w:t>
      </w:r>
    </w:p>
    <w:p>
      <w:pPr>
        <w:spacing w:after="0" w:line="25" w:lineRule="exact"/>
        <w:rPr>
          <w:rFonts w:ascii="Arial" w:cs="Arial" w:eastAsia="Arial" w:hAnsi="Arial"/>
          <w:sz w:val="16"/>
          <w:szCs w:val="16"/>
          <w:color w:val="010000"/>
        </w:rPr>
      </w:pPr>
    </w:p>
    <w:p>
      <w:pPr>
        <w:ind w:left="1300" w:hanging="259"/>
        <w:spacing w:after="0"/>
        <w:tabs>
          <w:tab w:leader="none" w:pos="1300" w:val="left"/>
        </w:tabs>
        <w:numPr>
          <w:ilvl w:val="1"/>
          <w:numId w:val="57"/>
        </w:numPr>
        <w:rPr>
          <w:rFonts w:ascii="Arial" w:cs="Arial" w:eastAsia="Arial" w:hAnsi="Arial"/>
          <w:sz w:val="18"/>
          <w:szCs w:val="18"/>
          <w:color w:val="010000"/>
        </w:rPr>
      </w:pPr>
      <w:r>
        <w:rPr>
          <w:rFonts w:ascii="Arial" w:cs="Arial" w:eastAsia="Arial" w:hAnsi="Arial"/>
          <w:sz w:val="18"/>
          <w:szCs w:val="18"/>
          <w:u w:val="single" w:color="auto"/>
          <w:color w:val="010000"/>
        </w:rPr>
        <w:t>Intentionally Deleted</w:t>
      </w:r>
      <w:r>
        <w:rPr>
          <w:rFonts w:ascii="Arial" w:cs="Arial" w:eastAsia="Arial" w:hAnsi="Arial"/>
          <w:sz w:val="18"/>
          <w:szCs w:val="18"/>
          <w:color w:val="010000"/>
        </w:rPr>
        <w:t>.</w:t>
      </w:r>
    </w:p>
    <w:p>
      <w:pPr>
        <w:spacing w:after="0" w:line="113" w:lineRule="exact"/>
        <w:rPr>
          <w:rFonts w:ascii="Arial" w:cs="Arial" w:eastAsia="Arial" w:hAnsi="Arial"/>
          <w:sz w:val="18"/>
          <w:szCs w:val="18"/>
          <w:color w:val="010000"/>
        </w:rPr>
      </w:pPr>
    </w:p>
    <w:p>
      <w:pPr>
        <w:ind w:left="1300" w:hanging="259"/>
        <w:spacing w:after="0"/>
        <w:tabs>
          <w:tab w:leader="none" w:pos="1300" w:val="left"/>
        </w:tabs>
        <w:numPr>
          <w:ilvl w:val="1"/>
          <w:numId w:val="57"/>
        </w:numPr>
        <w:rPr>
          <w:rFonts w:ascii="Arial" w:cs="Arial" w:eastAsia="Arial" w:hAnsi="Arial"/>
          <w:sz w:val="18"/>
          <w:szCs w:val="18"/>
          <w:color w:val="010000"/>
        </w:rPr>
      </w:pPr>
      <w:r>
        <w:rPr>
          <w:rFonts w:ascii="Arial" w:cs="Arial" w:eastAsia="Arial" w:hAnsi="Arial"/>
          <w:sz w:val="18"/>
          <w:szCs w:val="18"/>
          <w:u w:val="single" w:color="auto"/>
          <w:color w:val="010000"/>
        </w:rPr>
        <w:t>Intentionally Deleted</w:t>
      </w:r>
      <w:r>
        <w:rPr>
          <w:rFonts w:ascii="Arial" w:cs="Arial" w:eastAsia="Arial" w:hAnsi="Arial"/>
          <w:sz w:val="18"/>
          <w:szCs w:val="18"/>
          <w:color w:val="010000"/>
        </w:rPr>
        <w:t>.</w:t>
      </w:r>
    </w:p>
    <w:p>
      <w:pPr>
        <w:spacing w:after="0" w:line="113" w:lineRule="exact"/>
        <w:rPr>
          <w:rFonts w:ascii="Arial" w:cs="Arial" w:eastAsia="Arial" w:hAnsi="Arial"/>
          <w:sz w:val="18"/>
          <w:szCs w:val="18"/>
          <w:color w:val="010000"/>
        </w:rPr>
      </w:pPr>
    </w:p>
    <w:p>
      <w:pPr>
        <w:ind w:right="20" w:firstLine="1041"/>
        <w:spacing w:after="0" w:line="287" w:lineRule="auto"/>
        <w:tabs>
          <w:tab w:leader="none" w:pos="1246" w:val="left"/>
        </w:tabs>
        <w:numPr>
          <w:ilvl w:val="1"/>
          <w:numId w:val="57"/>
        </w:numPr>
        <w:rPr>
          <w:rFonts w:ascii="Arial" w:cs="Arial" w:eastAsia="Arial" w:hAnsi="Arial"/>
          <w:sz w:val="16"/>
          <w:szCs w:val="16"/>
          <w:color w:val="010000"/>
        </w:rPr>
      </w:pPr>
      <w:r>
        <w:rPr>
          <w:rFonts w:ascii="Arial" w:cs="Arial" w:eastAsia="Arial" w:hAnsi="Arial"/>
          <w:sz w:val="16"/>
          <w:szCs w:val="16"/>
          <w:u w:val="single" w:color="auto"/>
          <w:color w:val="010000"/>
        </w:rPr>
        <w:t>Maximum Interest Rates</w:t>
      </w:r>
      <w:r>
        <w:rPr>
          <w:rFonts w:ascii="Arial" w:cs="Arial" w:eastAsia="Arial" w:hAnsi="Arial"/>
          <w:sz w:val="16"/>
          <w:szCs w:val="16"/>
          <w:color w:val="010000"/>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010000"/>
        </w:rPr>
        <w:t>Maximum Rate</w:t>
      </w:r>
      <w:r>
        <w:rPr>
          <w:rFonts w:ascii="Arial" w:cs="Arial" w:eastAsia="Arial" w:hAnsi="Arial"/>
          <w:sz w:val="16"/>
          <w:szCs w:val="16"/>
          <w:color w:val="010000"/>
        </w:rPr>
        <w:t>”). If the Agent or any Lender shall receive interest in an amount that exceeds the Maximum Rate, the excess interest shall be applied to the principal of the applicable Revolving Loans or, if it exceeds such unpaid principal, refunded to the Borrower, as applicable. In determining whether the interest contracted for, charged, or received by the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60" w:lineRule="exact"/>
        <w:rPr>
          <w:rFonts w:ascii="Arial" w:cs="Arial" w:eastAsia="Arial" w:hAnsi="Arial"/>
          <w:sz w:val="16"/>
          <w:szCs w:val="16"/>
          <w:color w:val="010000"/>
        </w:rPr>
      </w:pPr>
    </w:p>
    <w:p>
      <w:pPr>
        <w:ind w:left="1260" w:hanging="219"/>
        <w:spacing w:after="0"/>
        <w:tabs>
          <w:tab w:leader="none" w:pos="1260" w:val="left"/>
        </w:tabs>
        <w:numPr>
          <w:ilvl w:val="1"/>
          <w:numId w:val="57"/>
        </w:numPr>
        <w:rPr>
          <w:rFonts w:ascii="Arial" w:cs="Arial" w:eastAsia="Arial" w:hAnsi="Arial"/>
          <w:sz w:val="18"/>
          <w:szCs w:val="18"/>
          <w:color w:val="010000"/>
        </w:rPr>
      </w:pPr>
      <w:r>
        <w:rPr>
          <w:rFonts w:ascii="Arial" w:cs="Arial" w:eastAsia="Arial" w:hAnsi="Arial"/>
          <w:sz w:val="18"/>
          <w:szCs w:val="18"/>
          <w:u w:val="single" w:color="auto"/>
          <w:color w:val="010000"/>
        </w:rPr>
        <w:t>Intentionally Deleted</w:t>
      </w:r>
      <w:r>
        <w:rPr>
          <w:rFonts w:ascii="Arial" w:cs="Arial" w:eastAsia="Arial" w:hAnsi="Arial"/>
          <w:sz w:val="18"/>
          <w:szCs w:val="18"/>
          <w:color w:val="010000"/>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8" w:name="page89"/>
    <w:bookmarkEnd w:id="88"/>
    <w:p>
      <w:pPr>
        <w:ind w:firstLine="518"/>
        <w:spacing w:after="0" w:line="284" w:lineRule="auto"/>
        <w:rPr>
          <w:sz w:val="20"/>
          <w:szCs w:val="20"/>
          <w:color w:val="auto"/>
        </w:rPr>
      </w:pPr>
      <w:r>
        <w:rPr>
          <w:rFonts w:ascii="Arial" w:cs="Arial" w:eastAsia="Arial" w:hAnsi="Arial"/>
          <w:sz w:val="16"/>
          <w:szCs w:val="16"/>
          <w:color w:val="010000"/>
        </w:rPr>
        <w:t xml:space="preserve">SECTION 2.09. </w:t>
      </w:r>
      <w:r>
        <w:rPr>
          <w:rFonts w:ascii="Arial" w:cs="Arial" w:eastAsia="Arial" w:hAnsi="Arial"/>
          <w:sz w:val="16"/>
          <w:szCs w:val="16"/>
          <w:u w:val="single" w:color="auto"/>
          <w:color w:val="010000"/>
        </w:rPr>
        <w:t>Optional Conversion of Revolving Loans</w:t>
      </w:r>
      <w:r>
        <w:rPr>
          <w:rFonts w:ascii="Arial" w:cs="Arial" w:eastAsia="Arial" w:hAnsi="Arial"/>
          <w:sz w:val="16"/>
          <w:szCs w:val="16"/>
          <w:color w:val="010000"/>
        </w:rPr>
        <w:t xml:space="preserve">. Borrower may on any Business Day, upon notice given to the Agent not later than 11:00 a.m. (New York City time) on the third Business Day prior to the date of the proposed Conversion and subject to the provisions of Sections 2.08 and 2.12, Convert all or any portion of the Revolving Loans made to it of one Type comprising the same Borrowing into Revolving Loans of the other Type;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any Conversion of Eurodollar Rate Revolving Loans into Base Rate Revolving Loans shall be made only on the last day of an Interest Period for such Eurodollar Rate Revolving Loans, any Conversion of Base Rate Revolving Loans into Eurodollar Rate Revolving Loans shall be in an amount not less than the minimum amount specified in Section 2.02(b), no Conversion of any Revolving Loans shall result in more separate Borrowings than permitted under Section 2.02(b) and each Conversion of Revolving Loans comprising part of the same Borrowing shall be made ratably among the Lenders in accordance with their Commitments. Each such notice of a Conversion shall, within the restrictions specified above, specify (i) the date of such Conversion, (ii) the Revolving Loans to be Converted, and (iii) if such Conversion is into Eurodollar Rate Revolving Loans, the duration of the initial Interest Period for each such Revolving Loan. Each notice of Conversion shall be irrevocable and binding on the Borrower giving such notice.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2.10. </w:t>
      </w:r>
      <w:r>
        <w:rPr>
          <w:rFonts w:ascii="Arial" w:cs="Arial" w:eastAsia="Arial" w:hAnsi="Arial"/>
          <w:sz w:val="18"/>
          <w:szCs w:val="18"/>
          <w:u w:val="single" w:color="auto"/>
          <w:color w:val="010000"/>
        </w:rPr>
        <w:t>Repayments of Revolving Loans; Prepayments of Revolving Loans</w:t>
      </w:r>
      <w:r>
        <w:rPr>
          <w:rFonts w:ascii="Arial" w:cs="Arial" w:eastAsia="Arial" w:hAnsi="Arial"/>
          <w:sz w:val="18"/>
          <w:szCs w:val="18"/>
          <w:color w:val="010000"/>
        </w:rPr>
        <w:t>.</w:t>
      </w:r>
    </w:p>
    <w:p>
      <w:pPr>
        <w:spacing w:after="0" w:line="113" w:lineRule="exact"/>
        <w:rPr>
          <w:sz w:val="20"/>
          <w:szCs w:val="20"/>
          <w:color w:val="auto"/>
        </w:rPr>
      </w:pPr>
    </w:p>
    <w:p>
      <w:pPr>
        <w:ind w:right="80" w:firstLine="1041"/>
        <w:spacing w:after="0" w:line="267" w:lineRule="auto"/>
        <w:tabs>
          <w:tab w:leader="none" w:pos="1276" w:val="left"/>
        </w:tabs>
        <w:numPr>
          <w:ilvl w:val="1"/>
          <w:numId w:val="58"/>
        </w:numPr>
        <w:rPr>
          <w:rFonts w:ascii="Arial" w:cs="Arial" w:eastAsia="Arial" w:hAnsi="Arial"/>
          <w:sz w:val="17"/>
          <w:szCs w:val="17"/>
          <w:color w:val="010000"/>
        </w:rPr>
      </w:pPr>
      <w:r>
        <w:rPr>
          <w:rFonts w:ascii="Arial" w:cs="Arial" w:eastAsia="Arial" w:hAnsi="Arial"/>
          <w:sz w:val="17"/>
          <w:szCs w:val="17"/>
          <w:u w:val="single" w:color="auto"/>
          <w:color w:val="010000"/>
        </w:rPr>
        <w:t>Repayment of Revolving Loans</w:t>
      </w:r>
      <w:r>
        <w:rPr>
          <w:rFonts w:ascii="Arial" w:cs="Arial" w:eastAsia="Arial" w:hAnsi="Arial"/>
          <w:sz w:val="17"/>
          <w:szCs w:val="17"/>
          <w:color w:val="010000"/>
        </w:rPr>
        <w:t>. The Borrower shall repay to the Agent for the ratable account of each applicable Lender on the Termination Date the aggregate principal amount of the Revolving Loans made by such Lender to Borrower then outstanding. Subject to 2.01(c), if an Overadvance exists at any time, Borrower shall, on the sooner of the Agent’s demand or the first Business Day after Borrower has knowledge thereof, repay Revolving Loans or Cash Collateralize Letters of Credit in an amount sufficient to reduce Revolving Credit Facility Usage to the Borrowing Base. If, after the occurrence and during the continuation of any Cash Control Trigger Event, any asset disposition includes the disposition of Accounts, Inventory, or Eligible Equipment, Borrower shall apply Net Cash Proceeds to repay Revolving Loans in an amount equal to the greater of (a) the net book value of such Accounts, Inventory, and Eligible Equipment or (b) the reduction in the Borrowing Base resulting from the disposition.</w:t>
      </w:r>
    </w:p>
    <w:p>
      <w:pPr>
        <w:spacing w:after="0" w:line="77" w:lineRule="exact"/>
        <w:rPr>
          <w:rFonts w:ascii="Arial" w:cs="Arial" w:eastAsia="Arial" w:hAnsi="Arial"/>
          <w:sz w:val="17"/>
          <w:szCs w:val="17"/>
          <w:color w:val="010000"/>
        </w:rPr>
      </w:pPr>
    </w:p>
    <w:p>
      <w:pPr>
        <w:ind w:right="20" w:firstLine="1041"/>
        <w:spacing w:after="0" w:line="267" w:lineRule="auto"/>
        <w:tabs>
          <w:tab w:leader="none" w:pos="1286" w:val="left"/>
        </w:tabs>
        <w:numPr>
          <w:ilvl w:val="1"/>
          <w:numId w:val="58"/>
        </w:numPr>
        <w:rPr>
          <w:rFonts w:ascii="Arial" w:cs="Arial" w:eastAsia="Arial" w:hAnsi="Arial"/>
          <w:sz w:val="17"/>
          <w:szCs w:val="17"/>
          <w:color w:val="010000"/>
        </w:rPr>
      </w:pPr>
      <w:r>
        <w:rPr>
          <w:rFonts w:ascii="Arial" w:cs="Arial" w:eastAsia="Arial" w:hAnsi="Arial"/>
          <w:sz w:val="17"/>
          <w:szCs w:val="17"/>
          <w:u w:val="single" w:color="auto"/>
          <w:color w:val="010000"/>
        </w:rPr>
        <w:t>Optional Prepayments</w:t>
      </w:r>
      <w:r>
        <w:rPr>
          <w:rFonts w:ascii="Arial" w:cs="Arial" w:eastAsia="Arial" w:hAnsi="Arial"/>
          <w:sz w:val="17"/>
          <w:szCs w:val="17"/>
          <w:color w:val="010000"/>
        </w:rPr>
        <w:t xml:space="preserve">. Borrower may, at any time, upon notice at least two Business Days’ prior to the date of such prepayment, in the case of Eurodollar Rate Revolving Loans, and not later than 11:00 a.m. (New York City time) on the date of such prepayment, in the case of Base Rate Revolving Loans, to the Agent stating the proposed date and aggregate principal amount of the prepayment, and if such notice is given Borrower shall, prepay the outstanding principal amount of the Revolving Loans comprising part of the same Borrowing made to it in whole or in part, together with accrued interest to the date of such prepayment on the principal amount prepaid;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(x) each partial prepayment shall be in an aggregate principal amount of $5,000,000, or an integral multiple of $1,000,000 in excess thereof and (y) in the event of any such prepayment of a Eurodollar Rate Revolving Loan, Borrower shall be obligated to reimburse the Lenders in respect thereof pursuant to Section 9.04(c).</w:t>
      </w:r>
    </w:p>
    <w:p>
      <w:pPr>
        <w:spacing w:after="0" w:line="77" w:lineRule="exact"/>
        <w:rPr>
          <w:rFonts w:ascii="Arial" w:cs="Arial" w:eastAsia="Arial" w:hAnsi="Arial"/>
          <w:sz w:val="17"/>
          <w:szCs w:val="17"/>
          <w:color w:val="010000"/>
        </w:rPr>
      </w:pPr>
    </w:p>
    <w:p>
      <w:pPr>
        <w:ind w:right="100" w:firstLine="1041"/>
        <w:spacing w:after="0" w:line="269" w:lineRule="auto"/>
        <w:tabs>
          <w:tab w:leader="none" w:pos="1276" w:val="left"/>
        </w:tabs>
        <w:numPr>
          <w:ilvl w:val="1"/>
          <w:numId w:val="58"/>
        </w:numPr>
        <w:rPr>
          <w:rFonts w:ascii="Arial" w:cs="Arial" w:eastAsia="Arial" w:hAnsi="Arial"/>
          <w:sz w:val="17"/>
          <w:szCs w:val="17"/>
          <w:color w:val="010000"/>
        </w:rPr>
      </w:pPr>
      <w:r>
        <w:rPr>
          <w:rFonts w:ascii="Arial" w:cs="Arial" w:eastAsia="Arial" w:hAnsi="Arial"/>
          <w:sz w:val="17"/>
          <w:szCs w:val="17"/>
          <w:u w:val="single" w:color="auto"/>
          <w:color w:val="010000"/>
        </w:rPr>
        <w:t>Mandatory Prepayments</w:t>
      </w:r>
      <w:r>
        <w:rPr>
          <w:rFonts w:ascii="Arial" w:cs="Arial" w:eastAsia="Arial" w:hAnsi="Arial"/>
          <w:sz w:val="17"/>
          <w:szCs w:val="17"/>
          <w:color w:val="010000"/>
        </w:rPr>
        <w:t>. (i) Borrower shall, in the time periods set forth in Section 2.01(c), prepay (with no corresponding commitment reduction) an aggregate principal amount of the Revolving Loans owed by Borrower and comprising part of the same Borrowings or Cash Collateralize Letters of Credit in an amount equal to the amount by which Revolving Credit Facility Usage exceeds the Line Cap (except as a result of Protective Revolving Loans made under Section 2.01(d) and not outstanding for more than 90 consecutive days) (such amount, the “</w:t>
      </w:r>
      <w:r>
        <w:rPr>
          <w:rFonts w:ascii="Arial" w:cs="Arial" w:eastAsia="Arial" w:hAnsi="Arial"/>
          <w:sz w:val="17"/>
          <w:szCs w:val="17"/>
          <w:u w:val="single" w:color="auto"/>
          <w:color w:val="010000"/>
        </w:rPr>
        <w:t>Excess Usage</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in respect of any prepayment under this subsection directly attributable to any adjustment of Reserves, such prepayment shall be made not later than the Business Day immediately following the date such adjusted Reserves became effective.</w:t>
      </w:r>
    </w:p>
    <w:p>
      <w:pPr>
        <w:spacing w:after="0" w:line="72" w:lineRule="exact"/>
        <w:rPr>
          <w:rFonts w:ascii="Arial" w:cs="Arial" w:eastAsia="Arial" w:hAnsi="Arial"/>
          <w:sz w:val="17"/>
          <w:szCs w:val="17"/>
          <w:color w:val="010000"/>
        </w:rPr>
      </w:pPr>
    </w:p>
    <w:p>
      <w:pPr>
        <w:ind w:right="280" w:firstLine="1559"/>
        <w:spacing w:after="0" w:line="254" w:lineRule="auto"/>
        <w:tabs>
          <w:tab w:leader="none" w:pos="1814" w:val="left"/>
        </w:tabs>
        <w:numPr>
          <w:ilvl w:val="2"/>
          <w:numId w:val="58"/>
        </w:numPr>
        <w:rPr>
          <w:rFonts w:ascii="Arial" w:cs="Arial" w:eastAsia="Arial" w:hAnsi="Arial"/>
          <w:sz w:val="18"/>
          <w:szCs w:val="18"/>
          <w:color w:val="010000"/>
        </w:rPr>
      </w:pPr>
      <w:r>
        <w:rPr>
          <w:rFonts w:ascii="Arial" w:cs="Arial" w:eastAsia="Arial" w:hAnsi="Arial"/>
          <w:sz w:val="18"/>
          <w:szCs w:val="18"/>
          <w:color w:val="010000"/>
        </w:rPr>
        <w:t>Each prepayment made pursuant to this Section 2.10(c) shall be made together with any interest accrued to the date of such prepayment on the principal amounts prepaid and, in the case of any prepayment of a Eurodollar Rate Revolving Loan on a date other than the last day of an Interest Period or at its maturity, any additional amounts which the Borrower shall be obligated to reimburse to the Lenders in respect thereof pursuant to Section 9.04(c).</w:t>
      </w:r>
    </w:p>
    <w:p>
      <w:pPr>
        <w:spacing w:after="0" w:line="83" w:lineRule="exact"/>
        <w:rPr>
          <w:rFonts w:ascii="Arial" w:cs="Arial" w:eastAsia="Arial" w:hAnsi="Arial"/>
          <w:sz w:val="18"/>
          <w:szCs w:val="18"/>
          <w:color w:val="010000"/>
        </w:rPr>
      </w:pPr>
    </w:p>
    <w:p>
      <w:pPr>
        <w:ind w:left="1860" w:hanging="301"/>
        <w:spacing w:after="0"/>
        <w:tabs>
          <w:tab w:leader="none" w:pos="1860" w:val="left"/>
        </w:tabs>
        <w:numPr>
          <w:ilvl w:val="2"/>
          <w:numId w:val="58"/>
        </w:numPr>
        <w:rPr>
          <w:rFonts w:ascii="Arial" w:cs="Arial" w:eastAsia="Arial" w:hAnsi="Arial"/>
          <w:sz w:val="18"/>
          <w:szCs w:val="18"/>
          <w:color w:val="010000"/>
        </w:rPr>
      </w:pPr>
      <w:r>
        <w:rPr>
          <w:rFonts w:ascii="Arial" w:cs="Arial" w:eastAsia="Arial" w:hAnsi="Arial"/>
          <w:sz w:val="18"/>
          <w:szCs w:val="18"/>
          <w:color w:val="010000"/>
        </w:rPr>
        <w:t>The Agent shall give prompt notice of any prepayment required under this Section 2.10(c) to Lenders.</w:t>
      </w:r>
    </w:p>
    <w:p>
      <w:pPr>
        <w:spacing w:after="0" w:line="113" w:lineRule="exact"/>
        <w:rPr>
          <w:rFonts w:ascii="Arial" w:cs="Arial" w:eastAsia="Arial" w:hAnsi="Arial"/>
          <w:sz w:val="18"/>
          <w:szCs w:val="18"/>
          <w:color w:val="010000"/>
        </w:rPr>
      </w:pPr>
    </w:p>
    <w:p>
      <w:pPr>
        <w:ind w:firstLine="1041"/>
        <w:spacing w:after="0" w:line="283" w:lineRule="auto"/>
        <w:tabs>
          <w:tab w:leader="none" w:pos="1286" w:val="left"/>
        </w:tabs>
        <w:numPr>
          <w:ilvl w:val="1"/>
          <w:numId w:val="58"/>
        </w:numPr>
        <w:rPr>
          <w:rFonts w:ascii="Arial" w:cs="Arial" w:eastAsia="Arial" w:hAnsi="Arial"/>
          <w:sz w:val="16"/>
          <w:szCs w:val="16"/>
          <w:color w:val="010000"/>
        </w:rPr>
      </w:pPr>
      <w:r>
        <w:rPr>
          <w:rFonts w:ascii="Arial" w:cs="Arial" w:eastAsia="Arial" w:hAnsi="Arial"/>
          <w:sz w:val="16"/>
          <w:szCs w:val="16"/>
          <w:color w:val="010000"/>
        </w:rPr>
        <w:t>After the occurrence and during the continuation of any Cash Control Trigger Event, the Net Cash Proceeds of all insurance payments in respect of Equipment or Inventory shall be paid to the Agent and shall, in the Agent’s sole discretion, (i) be released to the Borrower or applicable Guarantor for the repair, replacement or restoration thereof, (ii) be held as additional Collateral hereunder or applied as specified in Section 19(b)of the Security Agreement or</w:t>
      </w:r>
    </w:p>
    <w:p>
      <w:pPr>
        <w:ind w:left="320" w:hanging="313"/>
        <w:spacing w:after="0"/>
        <w:tabs>
          <w:tab w:leader="none" w:pos="320" w:val="left"/>
        </w:tabs>
        <w:numPr>
          <w:ilvl w:val="0"/>
          <w:numId w:val="59"/>
        </w:numPr>
        <w:rPr>
          <w:rFonts w:ascii="Arial" w:cs="Arial" w:eastAsia="Arial" w:hAnsi="Arial"/>
          <w:sz w:val="18"/>
          <w:szCs w:val="18"/>
          <w:color w:val="010000"/>
        </w:rPr>
      </w:pPr>
      <w:r>
        <w:rPr>
          <w:rFonts w:ascii="Arial" w:cs="Arial" w:eastAsia="Arial" w:hAnsi="Arial"/>
          <w:sz w:val="18"/>
          <w:szCs w:val="18"/>
          <w:color w:val="010000"/>
        </w:rPr>
        <w:t>be released to the Agent Sweep Account and applied as provided in Section 2.18(h) hereof.</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2.11. </w:t>
      </w:r>
      <w:r>
        <w:rPr>
          <w:rFonts w:ascii="Arial" w:cs="Arial" w:eastAsia="Arial" w:hAnsi="Arial"/>
          <w:sz w:val="18"/>
          <w:szCs w:val="18"/>
          <w:u w:val="single" w:color="auto"/>
          <w:color w:val="010000"/>
        </w:rPr>
        <w:t>Increased Costs</w:t>
      </w:r>
      <w:r>
        <w:rPr>
          <w:rFonts w:ascii="Arial" w:cs="Arial" w:eastAsia="Arial" w:hAnsi="Arial"/>
          <w:sz w:val="18"/>
          <w:szCs w:val="18"/>
          <w:color w:val="010000"/>
        </w:rPr>
        <w:t>.</w:t>
      </w:r>
    </w:p>
    <w:p>
      <w:pPr>
        <w:spacing w:after="0" w:line="113" w:lineRule="exact"/>
        <w:rPr>
          <w:sz w:val="20"/>
          <w:szCs w:val="20"/>
          <w:color w:val="auto"/>
        </w:rPr>
      </w:pPr>
    </w:p>
    <w:p>
      <w:pPr>
        <w:ind w:right="180" w:firstLine="1041"/>
        <w:spacing w:after="0" w:line="251" w:lineRule="auto"/>
        <w:tabs>
          <w:tab w:leader="none" w:pos="1276" w:val="left"/>
        </w:tabs>
        <w:numPr>
          <w:ilvl w:val="0"/>
          <w:numId w:val="60"/>
        </w:numPr>
        <w:rPr>
          <w:rFonts w:ascii="Arial" w:cs="Arial" w:eastAsia="Arial" w:hAnsi="Arial"/>
          <w:sz w:val="18"/>
          <w:szCs w:val="18"/>
          <w:color w:val="010000"/>
        </w:rPr>
      </w:pPr>
      <w:r>
        <w:rPr>
          <w:rFonts w:ascii="Arial" w:cs="Arial" w:eastAsia="Arial" w:hAnsi="Arial"/>
          <w:sz w:val="18"/>
          <w:szCs w:val="18"/>
          <w:color w:val="010000"/>
        </w:rPr>
        <w:t>If,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of agreeing to make or making, funding or maintaining Eurodollar Rate Revolving Loans or of agreeing to issue or of issuing or maintaining or participating in Letters of Credit (excluding for purposes of this Section 2.11 any such increased costs resulting from (x) Taxes (which for purposes of this exclusion shall include withholding taxes that are excluded from Taxes pursuant to Sections 2.14(a) and (e)) or Other Taxes (as to which Section 2.14 shall govern)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9" w:name="page90"/>
    <w:bookmarkEnd w:id="89"/>
    <w:p>
      <w:pPr>
        <w:ind w:right="160" w:firstLine="7"/>
        <w:spacing w:after="0" w:line="267" w:lineRule="auto"/>
        <w:tabs>
          <w:tab w:leader="none" w:pos="252" w:val="left"/>
        </w:tabs>
        <w:numPr>
          <w:ilvl w:val="0"/>
          <w:numId w:val="61"/>
        </w:numPr>
        <w:rPr>
          <w:rFonts w:ascii="Arial" w:cs="Arial" w:eastAsia="Arial" w:hAnsi="Arial"/>
          <w:sz w:val="17"/>
          <w:szCs w:val="17"/>
          <w:color w:val="010000"/>
        </w:rPr>
      </w:pPr>
      <w:r>
        <w:rPr>
          <w:rFonts w:ascii="Arial" w:cs="Arial" w:eastAsia="Arial" w:hAnsi="Arial"/>
          <w:sz w:val="17"/>
          <w:szCs w:val="17"/>
          <w:color w:val="010000"/>
        </w:rPr>
        <w:t xml:space="preserve">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written demand by such Lender (with a copy of such demand to the Agent), pay to the Agent for the account of such Lender additional amounts sufficient to compensate such Lender for such increased cost;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judgment of such Lender, be otherwise disadvantageous to such Lender. A certificate as to the amount of such increased cost, submitted to the Borrower and the Agent by such Lender, shall be conclusive and binding for all purposes, absent manifest error.</w:t>
      </w:r>
    </w:p>
    <w:p>
      <w:pPr>
        <w:spacing w:after="0" w:line="181"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auto"/>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56" w:lineRule="exact"/>
        <w:rPr>
          <w:sz w:val="20"/>
          <w:szCs w:val="20"/>
          <w:color w:val="auto"/>
        </w:rPr>
      </w:pPr>
    </w:p>
    <w:p>
      <w:pPr>
        <w:ind w:right="20" w:firstLine="1041"/>
        <w:spacing w:after="0" w:line="265" w:lineRule="auto"/>
        <w:tabs>
          <w:tab w:leader="none" w:pos="1286" w:val="left"/>
        </w:tabs>
        <w:numPr>
          <w:ilvl w:val="1"/>
          <w:numId w:val="62"/>
        </w:numPr>
        <w:rPr>
          <w:rFonts w:ascii="Arial" w:cs="Arial" w:eastAsia="Arial" w:hAnsi="Arial"/>
          <w:sz w:val="17"/>
          <w:szCs w:val="17"/>
          <w:color w:val="010000"/>
        </w:rPr>
      </w:pPr>
      <w:r>
        <w:rPr>
          <w:rFonts w:ascii="Arial" w:cs="Arial" w:eastAsia="Arial" w:hAnsi="Arial"/>
          <w:sz w:val="17"/>
          <w:szCs w:val="17"/>
          <w:color w:val="010000"/>
        </w:rPr>
        <w:t>If any Lender determines that compliance with any law or regulation or any guideline or request from any central bank or other Governmental Authority (whether or not having the force of law) affects or would affect the amount of capital or liquidity required or expected to be maintained by such Lender or any corporation controlling such Lender and that the amount of such capital or liquidity is increased by or based upon the existence of such Lender’s commitment to lend or to issue or participate in Letters of Credit hereunder and other commitments of such type or the issuance or maintenance of or participation in the Letters of Credit (or similar contingent obligations), then, upon demand by such Lender (with a copy of such demand to the Agent), the Borrower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or to issue or participate in Letters of Credit hereunder or to the issuance or maintenance of or participation in any Letters of Credit. A certificate as to such amounts submitted to the Borrower and the Agent by such Lender shall be conclusive and binding for all purposes, absent manifest error.</w:t>
      </w:r>
    </w:p>
    <w:p>
      <w:pPr>
        <w:spacing w:after="0" w:line="81" w:lineRule="exact"/>
        <w:rPr>
          <w:rFonts w:ascii="Arial" w:cs="Arial" w:eastAsia="Arial" w:hAnsi="Arial"/>
          <w:sz w:val="17"/>
          <w:szCs w:val="17"/>
          <w:color w:val="010000"/>
        </w:rPr>
      </w:pPr>
    </w:p>
    <w:p>
      <w:pPr>
        <w:ind w:right="220" w:firstLine="1041"/>
        <w:spacing w:after="0" w:line="326" w:lineRule="auto"/>
        <w:tabs>
          <w:tab w:leader="none" w:pos="1276" w:val="left"/>
        </w:tabs>
        <w:numPr>
          <w:ilvl w:val="1"/>
          <w:numId w:val="62"/>
        </w:numPr>
        <w:rPr>
          <w:rFonts w:ascii="Arial" w:cs="Arial" w:eastAsia="Arial" w:hAnsi="Arial"/>
          <w:sz w:val="14"/>
          <w:szCs w:val="14"/>
          <w:color w:val="010000"/>
        </w:rPr>
      </w:pPr>
      <w:r>
        <w:rPr>
          <w:rFonts w:ascii="Arial" w:cs="Arial" w:eastAsia="Arial" w:hAnsi="Arial"/>
          <w:sz w:val="14"/>
          <w:szCs w:val="14"/>
          <w:color w:val="010000"/>
        </w:rPr>
        <w:t>A Lender will only be entitled to such compensation if such Lender provides a certificate to the Agent and the Company setting forth in reasonable detail (i) the amount or amounts necessary to compensate such Lender or its holding company, as the case may be, as specified in paragraph (a) or</w:t>
      </w:r>
    </w:p>
    <w:p>
      <w:pPr>
        <w:ind w:firstLine="7"/>
        <w:spacing w:after="0" w:line="264" w:lineRule="auto"/>
        <w:tabs>
          <w:tab w:leader="none" w:pos="252" w:val="left"/>
        </w:tabs>
        <w:numPr>
          <w:ilvl w:val="0"/>
          <w:numId w:val="63"/>
        </w:numPr>
        <w:rPr>
          <w:rFonts w:ascii="Arial" w:cs="Arial" w:eastAsia="Arial" w:hAnsi="Arial"/>
          <w:sz w:val="17"/>
          <w:szCs w:val="17"/>
          <w:color w:val="010000"/>
        </w:rPr>
      </w:pPr>
      <w:r>
        <w:rPr>
          <w:rFonts w:ascii="Arial" w:cs="Arial" w:eastAsia="Arial" w:hAnsi="Arial"/>
          <w:sz w:val="17"/>
          <w:szCs w:val="17"/>
          <w:color w:val="010000"/>
        </w:rPr>
        <w:t xml:space="preserve">of this Section and (ii) stating that the claim for additional amounts referred to therein is generally consistent with such Lender’s treatment of similarly situated customers of such Lender whose transactions with such Lender are similarly affected by the change in circumstances giving rise to such payment. Such certificate, when delivered to the Company, shall be conclusive absent manifest error. The Borrower shall pay such Lender the amount shown as due on any such certificate within ten (10) days after receipt thereof. Failure or delay on the part of any Lender to demand compensation pursuant to this Section 2.11(c) shall not constitute a waiver of such Lender’s right to demand such compensation;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xml:space="preserve">, Borrower shall not be required to compensate a Lender or the Agent pursuant to this Section 2.11(c) for any increased costs or reductions incurred more than 120 days prior to the date that such Lender or the Agent notifies the Company of the change in law giving rise to such increased costs or reductions and of such Lender’s or the Agent’s intention to claim compensation therefor;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further</w:t>
      </w:r>
      <w:r>
        <w:rPr>
          <w:rFonts w:ascii="Arial" w:cs="Arial" w:eastAsia="Arial" w:hAnsi="Arial"/>
          <w:sz w:val="17"/>
          <w:szCs w:val="17"/>
          <w:color w:val="010000"/>
        </w:rPr>
        <w:t>, that, if the change in law giving rise to such increased costs or reductions is retroactive, then the 120-day period referred to above shall be extended to include the period of retroactive effect thereof.</w:t>
      </w:r>
    </w:p>
    <w:p>
      <w:pPr>
        <w:spacing w:after="0" w:line="187"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010000"/>
        </w:rPr>
        <w:t xml:space="preserve">SECTION 2.12. </w:t>
      </w:r>
      <w:r>
        <w:rPr>
          <w:rFonts w:ascii="Arial" w:cs="Arial" w:eastAsia="Arial" w:hAnsi="Arial"/>
          <w:sz w:val="17"/>
          <w:szCs w:val="17"/>
          <w:u w:val="single" w:color="auto"/>
          <w:color w:val="010000"/>
        </w:rPr>
        <w:t>Illegality</w:t>
      </w:r>
      <w:r>
        <w:rPr>
          <w:rFonts w:ascii="Arial" w:cs="Arial" w:eastAsia="Arial" w:hAnsi="Arial"/>
          <w:sz w:val="17"/>
          <w:szCs w:val="17"/>
          <w:color w:val="010000"/>
        </w:rPr>
        <w:t xml:space="preserve">.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Revolving Loans or to fund or maintain Eurodollar Rate Revolving Loans hereunder, (i) each Eurodollar Rate Revolving Loan will automatically, upon such demand, Convert into a Base Rate Revolving Loan and (ii) the obligation of the Lenders to make, or to Convert Revolving Loans into, Eurodollar Rate Revolving Loans shall be suspended until the Agent shall notify the Company, on behalf of the Borrower, the Borrower and the Lenders that the circumstances causing such suspension no longer exist;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that before making any such demand, each Lender agrees to use reasonable efforts (consistent with its internal policy and legal and regulatory restrictions) to designate a different Eurodollar Lending Office if the making of such a designation would allow such Lender or its Eurodollar Lending Office to continue to perform its obligations to make Eurodollar Rate Revolving Loans or to continue to fund or maintain Eurodollar Rate Revolving Loans and would not, in the judgment of such Lender, be otherwise disadvantageous to such Lender.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90" w:name="page91"/>
    <w:bookmarkEnd w:id="90"/>
    <w:p>
      <w:pPr>
        <w:ind w:left="513"/>
        <w:spacing w:after="0"/>
        <w:rPr>
          <w:sz w:val="20"/>
          <w:szCs w:val="20"/>
          <w:color w:val="auto"/>
        </w:rPr>
      </w:pPr>
      <w:r>
        <w:rPr>
          <w:rFonts w:ascii="Arial" w:cs="Arial" w:eastAsia="Arial" w:hAnsi="Arial"/>
          <w:sz w:val="18"/>
          <w:szCs w:val="18"/>
          <w:color w:val="010000"/>
        </w:rPr>
        <w:t xml:space="preserve">SECTION 2.13. </w:t>
      </w:r>
      <w:r>
        <w:rPr>
          <w:rFonts w:ascii="Arial" w:cs="Arial" w:eastAsia="Arial" w:hAnsi="Arial"/>
          <w:sz w:val="18"/>
          <w:szCs w:val="18"/>
          <w:u w:val="single" w:color="auto"/>
          <w:color w:val="010000"/>
        </w:rPr>
        <w:t>Payments and Computations</w:t>
      </w:r>
      <w:r>
        <w:rPr>
          <w:rFonts w:ascii="Arial" w:cs="Arial" w:eastAsia="Arial" w:hAnsi="Arial"/>
          <w:sz w:val="18"/>
          <w:szCs w:val="18"/>
          <w:color w:val="010000"/>
        </w:rPr>
        <w:t>.</w:t>
      </w:r>
    </w:p>
    <w:p>
      <w:pPr>
        <w:spacing w:after="0" w:line="113" w:lineRule="exact"/>
        <w:rPr>
          <w:sz w:val="20"/>
          <w:szCs w:val="20"/>
          <w:color w:val="auto"/>
        </w:rPr>
      </w:pPr>
    </w:p>
    <w:p>
      <w:pPr>
        <w:ind w:left="-7" w:right="100" w:firstLine="1041"/>
        <w:spacing w:after="0" w:line="282" w:lineRule="auto"/>
        <w:tabs>
          <w:tab w:leader="none" w:pos="1269" w:val="left"/>
        </w:tabs>
        <w:numPr>
          <w:ilvl w:val="1"/>
          <w:numId w:val="64"/>
        </w:numPr>
        <w:rPr>
          <w:rFonts w:ascii="Arial" w:cs="Arial" w:eastAsia="Arial" w:hAnsi="Arial"/>
          <w:sz w:val="16"/>
          <w:szCs w:val="16"/>
          <w:color w:val="010000"/>
        </w:rPr>
      </w:pPr>
      <w:r>
        <w:rPr>
          <w:rFonts w:ascii="Arial" w:cs="Arial" w:eastAsia="Arial" w:hAnsi="Arial"/>
          <w:sz w:val="16"/>
          <w:szCs w:val="16"/>
          <w:color w:val="010000"/>
        </w:rPr>
        <w:t>The Borrower shall make each payment hereunder without condition or deduction for any right of counterclaim, defense, recoupment or set-off, not later than 11:00 a.m. (New York City time) on the day when due in Dollars to the Agent at the Agent’s Account in same day funds. The Agent will promptly thereafter cause to be distributed like funds relating to the payment of principal, interest, fees or commissions ratably (other than amounts payable pursuant to Section 2.04, 2.11, 2.14 or 9.04(c))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Commitment Increase pursuant to Section 2.21, and upon the Agent’s receipt of such Lender’s Assumption Agreement and recording of the information contained therein in the Register, from and after the applicable Increase Date the Agent shall treat each Assuming Lender as a Lender under this Agreement and shall make all payments hereunder and under any Notes issued in connection therewith pro rata among the Lenders taking into account the interest assumed thereby by the Assuming Lender. Upon its acceptance of an Assignment and Acceptance and recording of the information contained therein in the Register pursuant to Section 9.08(c),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69" w:lineRule="exact"/>
        <w:rPr>
          <w:rFonts w:ascii="Arial" w:cs="Arial" w:eastAsia="Arial" w:hAnsi="Arial"/>
          <w:sz w:val="16"/>
          <w:szCs w:val="16"/>
          <w:color w:val="010000"/>
        </w:rPr>
      </w:pPr>
    </w:p>
    <w:p>
      <w:pPr>
        <w:ind w:left="-7" w:right="380" w:firstLine="1041"/>
        <w:spacing w:after="0" w:line="297" w:lineRule="auto"/>
        <w:tabs>
          <w:tab w:leader="none" w:pos="1279" w:val="left"/>
        </w:tabs>
        <w:numPr>
          <w:ilvl w:val="1"/>
          <w:numId w:val="64"/>
        </w:numPr>
        <w:rPr>
          <w:rFonts w:ascii="Arial" w:cs="Arial" w:eastAsia="Arial" w:hAnsi="Arial"/>
          <w:sz w:val="17"/>
          <w:szCs w:val="17"/>
          <w:color w:val="010000"/>
        </w:rPr>
      </w:pPr>
      <w:r>
        <w:rPr>
          <w:rFonts w:ascii="Arial" w:cs="Arial" w:eastAsia="Arial" w:hAnsi="Arial"/>
          <w:sz w:val="17"/>
          <w:szCs w:val="17"/>
          <w:color w:val="010000"/>
        </w:rPr>
        <w:t>Borrower hereby authorizes each Lender, if and to the extent payment owed to such Lender is not made when due hereunder or under the Note held by such Lender, to charge from time to time against any or all of Borrower’s accounts with such Lender any amount so due.</w:t>
      </w:r>
    </w:p>
    <w:p>
      <w:pPr>
        <w:spacing w:after="0" w:line="49" w:lineRule="exact"/>
        <w:rPr>
          <w:rFonts w:ascii="Arial" w:cs="Arial" w:eastAsia="Arial" w:hAnsi="Arial"/>
          <w:sz w:val="17"/>
          <w:szCs w:val="17"/>
          <w:color w:val="010000"/>
        </w:rPr>
      </w:pPr>
    </w:p>
    <w:p>
      <w:pPr>
        <w:ind w:left="-7" w:right="40" w:firstLine="1041"/>
        <w:spacing w:after="0" w:line="304" w:lineRule="auto"/>
        <w:tabs>
          <w:tab w:leader="none" w:pos="1269" w:val="left"/>
        </w:tabs>
        <w:numPr>
          <w:ilvl w:val="1"/>
          <w:numId w:val="64"/>
        </w:numPr>
        <w:rPr>
          <w:rFonts w:ascii="Arial" w:cs="Arial" w:eastAsia="Arial" w:hAnsi="Arial"/>
          <w:sz w:val="16"/>
          <w:szCs w:val="16"/>
          <w:color w:val="010000"/>
        </w:rPr>
      </w:pPr>
      <w:r>
        <w:rPr>
          <w:rFonts w:ascii="Arial" w:cs="Arial" w:eastAsia="Arial" w:hAnsi="Arial"/>
          <w:sz w:val="16"/>
          <w:szCs w:val="16"/>
          <w:color w:val="010000"/>
        </w:rPr>
        <w:t>All computations of interest and of fees and Letter of Credit commissions shall be made by the Agent on the basis of a year of 360 days, in each case for the actual number of days (including the first day but excluding the last day) occurring in the period for which such interest or fees or commissions are payable. Each determination by the Agent of an interest rate hereunder shall be conclusive and binding for all purposes, absent manifest error.</w:t>
      </w:r>
    </w:p>
    <w:p>
      <w:pPr>
        <w:spacing w:after="0" w:line="47" w:lineRule="exact"/>
        <w:rPr>
          <w:rFonts w:ascii="Arial" w:cs="Arial" w:eastAsia="Arial" w:hAnsi="Arial"/>
          <w:sz w:val="16"/>
          <w:szCs w:val="16"/>
          <w:color w:val="010000"/>
        </w:rPr>
      </w:pPr>
    </w:p>
    <w:p>
      <w:pPr>
        <w:ind w:left="-7" w:firstLine="1041"/>
        <w:spacing w:after="0" w:line="273" w:lineRule="auto"/>
        <w:tabs>
          <w:tab w:leader="none" w:pos="1279" w:val="left"/>
        </w:tabs>
        <w:numPr>
          <w:ilvl w:val="1"/>
          <w:numId w:val="64"/>
        </w:numPr>
        <w:rPr>
          <w:rFonts w:ascii="Arial" w:cs="Arial" w:eastAsia="Arial" w:hAnsi="Arial"/>
          <w:sz w:val="17"/>
          <w:szCs w:val="17"/>
          <w:color w:val="010000"/>
        </w:rPr>
      </w:pPr>
      <w:r>
        <w:rPr>
          <w:rFonts w:ascii="Arial" w:cs="Arial" w:eastAsia="Arial" w:hAnsi="Arial"/>
          <w:sz w:val="17"/>
          <w:szCs w:val="17"/>
          <w:color w:val="010000"/>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fee or commission, as the case may be;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that, if such extension would cause payment of interest on or principal of Eurodollar Rate Revolving Loans to be made in the next following calendar month, such payment shall be made on the next preceding Business Day.</w:t>
      </w:r>
    </w:p>
    <w:p>
      <w:pPr>
        <w:spacing w:after="0" w:line="70" w:lineRule="exact"/>
        <w:rPr>
          <w:rFonts w:ascii="Arial" w:cs="Arial" w:eastAsia="Arial" w:hAnsi="Arial"/>
          <w:sz w:val="17"/>
          <w:szCs w:val="17"/>
          <w:color w:val="010000"/>
        </w:rPr>
      </w:pPr>
    </w:p>
    <w:p>
      <w:pPr>
        <w:ind w:left="-7" w:right="40" w:firstLine="1041"/>
        <w:spacing w:after="0" w:line="251" w:lineRule="auto"/>
        <w:tabs>
          <w:tab w:leader="none" w:pos="1269" w:val="left"/>
        </w:tabs>
        <w:numPr>
          <w:ilvl w:val="1"/>
          <w:numId w:val="64"/>
        </w:numPr>
        <w:rPr>
          <w:rFonts w:ascii="Arial" w:cs="Arial" w:eastAsia="Arial" w:hAnsi="Arial"/>
          <w:sz w:val="18"/>
          <w:szCs w:val="18"/>
          <w:color w:val="010000"/>
        </w:rPr>
      </w:pPr>
      <w:r>
        <w:rPr>
          <w:rFonts w:ascii="Arial" w:cs="Arial" w:eastAsia="Arial" w:hAnsi="Arial"/>
          <w:sz w:val="18"/>
          <w:szCs w:val="18"/>
          <w:color w:val="010000"/>
        </w:rPr>
        <w:t>Unless the Agent shall have received notice from the Borrower prior to the date on which any payment is due to the Lenders hereunder that Borrower will not make such payment in full, the Agent may assume that Borrower has made such payment in full to the Agent on such date and the Agent may, in reliance upon such assumption, cause to be distributed to each Lender on such due date an amount equal to the amount then due such Lender. If and to the extent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88" w:lineRule="exact"/>
        <w:rPr>
          <w:rFonts w:ascii="Arial" w:cs="Arial" w:eastAsia="Arial" w:hAnsi="Arial"/>
          <w:sz w:val="18"/>
          <w:szCs w:val="18"/>
          <w:color w:val="010000"/>
        </w:rPr>
      </w:pPr>
    </w:p>
    <w:p>
      <w:pPr>
        <w:ind w:left="-7" w:firstLine="1041"/>
        <w:spacing w:after="0" w:line="288" w:lineRule="auto"/>
        <w:tabs>
          <w:tab w:leader="none" w:pos="1249" w:val="left"/>
        </w:tabs>
        <w:numPr>
          <w:ilvl w:val="1"/>
          <w:numId w:val="64"/>
        </w:numPr>
        <w:rPr>
          <w:rFonts w:ascii="Arial" w:cs="Arial" w:eastAsia="Arial" w:hAnsi="Arial"/>
          <w:sz w:val="16"/>
          <w:szCs w:val="16"/>
          <w:color w:val="010000"/>
        </w:rPr>
      </w:pPr>
      <w:r>
        <w:rPr>
          <w:rFonts w:ascii="Arial" w:cs="Arial" w:eastAsia="Arial" w:hAnsi="Arial"/>
          <w:sz w:val="16"/>
          <w:szCs w:val="16"/>
          <w:color w:val="010000"/>
        </w:rPr>
        <w:t xml:space="preserve">Subject to Section 6.04, if the Agent receives funds for application to the Obligations of the Borrower under or in respect of the Loan Documents under circumstances for which the Loan Documents do not specify, or the Borrower does not direct, the Revolving Loans to which, or the manner in which, such funds are to be applied, the Agent may, but shall not be obligated to, elect to distribute such funds ratably to the outstanding Obligations, (i) </w:t>
      </w:r>
      <w:r>
        <w:rPr>
          <w:rFonts w:ascii="Arial" w:cs="Arial" w:eastAsia="Arial" w:hAnsi="Arial"/>
          <w:sz w:val="16"/>
          <w:szCs w:val="16"/>
          <w:u w:val="single" w:color="auto"/>
          <w:color w:val="010000"/>
        </w:rPr>
        <w:t>first</w:t>
      </w:r>
      <w:r>
        <w:rPr>
          <w:rFonts w:ascii="Arial" w:cs="Arial" w:eastAsia="Arial" w:hAnsi="Arial"/>
          <w:sz w:val="16"/>
          <w:szCs w:val="16"/>
          <w:color w:val="010000"/>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6"/>
          <w:szCs w:val="16"/>
          <w:u w:val="single" w:color="auto"/>
          <w:color w:val="010000"/>
        </w:rPr>
        <w:t>second</w:t>
      </w:r>
      <w:r>
        <w:rPr>
          <w:rFonts w:ascii="Arial" w:cs="Arial" w:eastAsia="Arial" w:hAnsi="Arial"/>
          <w:sz w:val="16"/>
          <w:szCs w:val="16"/>
          <w:color w:val="010000"/>
        </w:rPr>
        <w:t>, toward payment of principal and unreimbursed amounts drawn under Letters of Credit then due hereunder, ratably among the parties entitled thereto in accordance with the amounts of principal and such Letter of Credit obligations then due to such parties.</w:t>
      </w:r>
    </w:p>
    <w:p>
      <w:pPr>
        <w:spacing w:after="0" w:line="62" w:lineRule="exact"/>
        <w:rPr>
          <w:rFonts w:ascii="Arial" w:cs="Arial" w:eastAsia="Arial" w:hAnsi="Arial"/>
          <w:sz w:val="16"/>
          <w:szCs w:val="16"/>
          <w:color w:val="010000"/>
        </w:rPr>
      </w:pPr>
    </w:p>
    <w:p>
      <w:pPr>
        <w:ind w:left="-7" w:right="160" w:firstLine="1041"/>
        <w:spacing w:after="0" w:line="281" w:lineRule="auto"/>
        <w:tabs>
          <w:tab w:leader="none" w:pos="1279" w:val="left"/>
        </w:tabs>
        <w:numPr>
          <w:ilvl w:val="1"/>
          <w:numId w:val="64"/>
        </w:numPr>
        <w:rPr>
          <w:rFonts w:ascii="Arial" w:cs="Arial" w:eastAsia="Arial" w:hAnsi="Arial"/>
          <w:sz w:val="16"/>
          <w:szCs w:val="16"/>
          <w:color w:val="010000"/>
        </w:rPr>
      </w:pPr>
      <w:r>
        <w:rPr>
          <w:rFonts w:ascii="Arial" w:cs="Arial" w:eastAsia="Arial" w:hAnsi="Arial"/>
          <w:sz w:val="16"/>
          <w:szCs w:val="16"/>
          <w:color w:val="010000"/>
        </w:rPr>
        <w:t xml:space="preserve">Except to the extent a time of payment of, or period within which payment is required in respect of, any amount payable hereunder or under any of the other Loan Documents is specified in any Loan Document, all amounts payable hereunder or under any of the other Loan Documents shall be due and payable, in arrears, on the first day of each month at any time that Obligations or Commitments are outstanding. Borrower hereby authorizes Agent, from time to time without prior notice to Borrower, to charge all interest, fees, costs, expenses and other amounts payable hereunder or under any of the other Loan Documents when due and payable to the loan account,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interest and fees (including pursuant to Sections 2.04(a), (b) and (c) and Section 2.07(a)</w:t>
      </w:r>
    </w:p>
    <w:p>
      <w:pPr>
        <w:ind w:left="-7" w:right="40" w:firstLine="7"/>
        <w:spacing w:after="0" w:line="249" w:lineRule="auto"/>
        <w:tabs>
          <w:tab w:leader="none" w:pos="255" w:val="left"/>
        </w:tabs>
        <w:numPr>
          <w:ilvl w:val="0"/>
          <w:numId w:val="65"/>
        </w:numPr>
        <w:rPr>
          <w:rFonts w:ascii="Arial" w:cs="Arial" w:eastAsia="Arial" w:hAnsi="Arial"/>
          <w:sz w:val="18"/>
          <w:szCs w:val="18"/>
          <w:color w:val="010000"/>
        </w:rPr>
      </w:pPr>
      <w:r>
        <w:rPr>
          <w:rFonts w:ascii="Arial" w:cs="Arial" w:eastAsia="Arial" w:hAnsi="Arial"/>
          <w:sz w:val="18"/>
          <w:szCs w:val="18"/>
          <w:color w:val="010000"/>
        </w:rPr>
        <w:t>above shall not be charged to any loan account until three (3) Business Days after Agent has provided Borrower with an invoice for any such amount. Any interest, fees, costs, expenses, or other amounts payable hereunder or under any other Loan Document that are charged to a loan account shall thereupon constitute Loans hereunder and shall initially accrue interest at the rate then applicable to Loans that are Base Rate Revolving Loans (unless and until converted into Eurodollar Rate Revolving Loans in accordance with the terms of this Agreement).</w:t>
      </w:r>
    </w:p>
    <w:p>
      <w:pPr>
        <w:spacing w:after="0" w:line="197"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2904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13"/>
          </w:cols>
          <w:pgMar w:left="247" w:top="554" w:right="239" w:bottom="1440" w:gutter="0" w:footer="0" w:header="0"/>
        </w:sectPr>
      </w:pPr>
    </w:p>
    <w:bookmarkStart w:id="91" w:name="page92"/>
    <w:bookmarkEnd w:id="91"/>
    <w:p>
      <w:pPr>
        <w:ind w:firstLine="518"/>
        <w:spacing w:after="0" w:line="281" w:lineRule="auto"/>
        <w:rPr>
          <w:sz w:val="20"/>
          <w:szCs w:val="20"/>
          <w:color w:val="auto"/>
        </w:rPr>
      </w:pPr>
      <w:r>
        <w:rPr>
          <w:rFonts w:ascii="Arial" w:cs="Arial" w:eastAsia="Arial" w:hAnsi="Arial"/>
          <w:sz w:val="16"/>
          <w:szCs w:val="16"/>
          <w:color w:val="010000"/>
        </w:rPr>
        <w:t xml:space="preserve">SECTION 2.14. </w:t>
      </w:r>
      <w:r>
        <w:rPr>
          <w:rFonts w:ascii="Arial" w:cs="Arial" w:eastAsia="Arial" w:hAnsi="Arial"/>
          <w:sz w:val="16"/>
          <w:szCs w:val="16"/>
          <w:u w:val="single" w:color="auto"/>
          <w:color w:val="010000"/>
        </w:rPr>
        <w:t>Taxes</w:t>
      </w:r>
      <w:r>
        <w:rPr>
          <w:rFonts w:ascii="Arial" w:cs="Arial" w:eastAsia="Arial" w:hAnsi="Arial"/>
          <w:sz w:val="16"/>
          <w:szCs w:val="16"/>
          <w:color w:val="010000"/>
        </w:rPr>
        <w:t xml:space="preserve">. (a) Any and all payments by any Loan Party to or for the account of any Lender, any Arranger or the Agent hereunder or under the Notes shall be made, in accordance with Section 2.13 or the applicable provisions of such other documents, free and clear of and without deduction for any and all present or future taxes, levies, imposts, deductions, remittances, charges or withholdings, and all liabilities with respect thereto, </w:t>
      </w:r>
      <w:r>
        <w:rPr>
          <w:rFonts w:ascii="Arial" w:cs="Arial" w:eastAsia="Arial" w:hAnsi="Arial"/>
          <w:sz w:val="16"/>
          <w:szCs w:val="16"/>
          <w:u w:val="single" w:color="auto"/>
          <w:color w:val="010000"/>
        </w:rPr>
        <w:t>excluding</w:t>
      </w:r>
      <w:r>
        <w:rPr>
          <w:rFonts w:ascii="Arial" w:cs="Arial" w:eastAsia="Arial" w:hAnsi="Arial"/>
          <w:sz w:val="16"/>
          <w:szCs w:val="16"/>
          <w:color w:val="010000"/>
        </w:rPr>
        <w:t>, in the case of each Lender, each Arranger and the Agent (i) taxes imposed on its overall net income, and franchise taxes imposed on it in lieu of net income taxes, by the jurisdiction under the laws of which such Lender, such Arranger or the Agent (as the case may be) is organized or in which its principal executive office is located, or any political subdivision thereof and, in the case of each Lender, taxes imposed on its overall net income, and franchise taxes imposed on it in lieu of net income taxes, by the jurisdiction of such Lender’s Applicable Lending Office or any political subdivision thereof, (ii) any amounts required to be withheld under FATCA that would not have been imposed but for the failure of the Agent, Arranger or Lender, as applicable, to satisfy the applicable requirements of FATCA, and (iii) any amounts that are required to be withheld as a result of a Lender’s failure to comply with the requirements of paragraph (e) or (j) of this Section (all such non-excluded taxes, levies, imposts, deductions, remittances, charges, withholdings and liabilities in respect of payments hereunder or under the Notes being hereinafter referred to as “</w:t>
      </w:r>
      <w:r>
        <w:rPr>
          <w:rFonts w:ascii="Arial" w:cs="Arial" w:eastAsia="Arial" w:hAnsi="Arial"/>
          <w:sz w:val="16"/>
          <w:szCs w:val="16"/>
          <w:u w:val="single" w:color="auto"/>
          <w:color w:val="010000"/>
        </w:rPr>
        <w:t>Taxes</w:t>
      </w:r>
      <w:r>
        <w:rPr>
          <w:rFonts w:ascii="Arial" w:cs="Arial" w:eastAsia="Arial" w:hAnsi="Arial"/>
          <w:sz w:val="16"/>
          <w:szCs w:val="16"/>
          <w:color w:val="010000"/>
        </w:rPr>
        <w:t>”). If any Loan Party shall be required by law to deduct, remit or withhold any Taxes from or in respect of any sum payable hereunder or under any Note to any Lender, any Arranger or the Agent, (i) the sum payable to such Loan Party shall be increased as may be necessary so that after making all required deductions, remittances or withholdings (including deductions applicable to additional sums payable under this Section 2.14), such Lender, such Arranger or the Agent (as the case may be) receives an amount equal to the sum it would have received had no such deductions been made, (ii) such Loan Party shall make such deductions and (iii) such Loan Party shall pay the full amount deducted, remitted or withheld to the relevant taxation authority or other authority in accordance with applicable law.</w:t>
      </w:r>
    </w:p>
    <w:p>
      <w:pPr>
        <w:spacing w:after="0" w:line="74" w:lineRule="exact"/>
        <w:rPr>
          <w:sz w:val="20"/>
          <w:szCs w:val="20"/>
          <w:color w:val="auto"/>
        </w:rPr>
      </w:pPr>
    </w:p>
    <w:p>
      <w:pPr>
        <w:ind w:right="380" w:firstLine="1041"/>
        <w:spacing w:after="0" w:line="304" w:lineRule="auto"/>
        <w:tabs>
          <w:tab w:leader="none" w:pos="1286" w:val="left"/>
        </w:tabs>
        <w:numPr>
          <w:ilvl w:val="0"/>
          <w:numId w:val="66"/>
        </w:numPr>
        <w:rPr>
          <w:rFonts w:ascii="Arial" w:cs="Arial" w:eastAsia="Arial" w:hAnsi="Arial"/>
          <w:sz w:val="16"/>
          <w:szCs w:val="16"/>
          <w:color w:val="010000"/>
        </w:rPr>
      </w:pPr>
      <w:r>
        <w:rPr>
          <w:rFonts w:ascii="Arial" w:cs="Arial" w:eastAsia="Arial" w:hAnsi="Arial"/>
          <w:sz w:val="16"/>
          <w:szCs w:val="16"/>
          <w:color w:val="010000"/>
        </w:rPr>
        <w:t>In addition, each Loan Party shall pay any present or future stamp or documentary taxes or any other excise or property taxes, charges or similar levies that arise from any payment made by such Loan Party hereunder or under any other Loan Documents or from the execution, delivery or registration of, performing under, or otherwise with respect to, this Agreement or the other Loan Documents (hereinafter referred to as “</w:t>
      </w:r>
      <w:r>
        <w:rPr>
          <w:rFonts w:ascii="Arial" w:cs="Arial" w:eastAsia="Arial" w:hAnsi="Arial"/>
          <w:sz w:val="16"/>
          <w:szCs w:val="16"/>
          <w:u w:val="single" w:color="auto"/>
          <w:color w:val="010000"/>
        </w:rPr>
        <w:t>Other Taxes</w:t>
      </w:r>
      <w:r>
        <w:rPr>
          <w:rFonts w:ascii="Arial" w:cs="Arial" w:eastAsia="Arial" w:hAnsi="Arial"/>
          <w:sz w:val="16"/>
          <w:szCs w:val="16"/>
          <w:color w:val="010000"/>
        </w:rPr>
        <w:t>”).</w:t>
      </w:r>
    </w:p>
    <w:p>
      <w:pPr>
        <w:spacing w:after="0" w:line="47" w:lineRule="exact"/>
        <w:rPr>
          <w:rFonts w:ascii="Arial" w:cs="Arial" w:eastAsia="Arial" w:hAnsi="Arial"/>
          <w:sz w:val="16"/>
          <w:szCs w:val="16"/>
          <w:color w:val="010000"/>
        </w:rPr>
      </w:pPr>
    </w:p>
    <w:p>
      <w:pPr>
        <w:ind w:firstLine="1041"/>
        <w:spacing w:after="0" w:line="252" w:lineRule="auto"/>
        <w:tabs>
          <w:tab w:leader="none" w:pos="1276" w:val="left"/>
        </w:tabs>
        <w:numPr>
          <w:ilvl w:val="0"/>
          <w:numId w:val="66"/>
        </w:numPr>
        <w:rPr>
          <w:rFonts w:ascii="Arial" w:cs="Arial" w:eastAsia="Arial" w:hAnsi="Arial"/>
          <w:sz w:val="18"/>
          <w:szCs w:val="18"/>
          <w:color w:val="010000"/>
        </w:rPr>
      </w:pPr>
      <w:r>
        <w:rPr>
          <w:rFonts w:ascii="Arial" w:cs="Arial" w:eastAsia="Arial" w:hAnsi="Arial"/>
          <w:sz w:val="18"/>
          <w:szCs w:val="18"/>
          <w:color w:val="010000"/>
        </w:rPr>
        <w:t>The Loan Parties shall indemnify each Lender, each Arranger and the Agent for and hold it harmless against the full amount of Taxes or Other Taxes (including, without limitation, taxes of any kind imposed or asserted by any jurisdiction on amounts payable under this Section 2.14) imposed on or paid or remitted by such Lender, such Arranger or the Agent (as the case may be) and any liability (including penalties, interest and expenses) arising therefrom or with respect thereto. This indemnification shall be made within 30 days from the date such Lender, such Arranger or the Agent (as the case may be) makes written demand therefor with appropriate supporting documentation.</w:t>
      </w:r>
    </w:p>
    <w:p>
      <w:pPr>
        <w:spacing w:after="0" w:line="86" w:lineRule="exact"/>
        <w:rPr>
          <w:rFonts w:ascii="Arial" w:cs="Arial" w:eastAsia="Arial" w:hAnsi="Arial"/>
          <w:sz w:val="18"/>
          <w:szCs w:val="18"/>
          <w:color w:val="010000"/>
        </w:rPr>
      </w:pPr>
    </w:p>
    <w:p>
      <w:pPr>
        <w:ind w:right="120" w:firstLine="1041"/>
        <w:spacing w:after="0" w:line="287" w:lineRule="auto"/>
        <w:tabs>
          <w:tab w:leader="none" w:pos="1286" w:val="left"/>
        </w:tabs>
        <w:numPr>
          <w:ilvl w:val="0"/>
          <w:numId w:val="66"/>
        </w:numPr>
        <w:rPr>
          <w:rFonts w:ascii="Arial" w:cs="Arial" w:eastAsia="Arial" w:hAnsi="Arial"/>
          <w:sz w:val="16"/>
          <w:szCs w:val="16"/>
          <w:color w:val="010000"/>
        </w:rPr>
      </w:pPr>
      <w:r>
        <w:rPr>
          <w:rFonts w:ascii="Arial" w:cs="Arial" w:eastAsia="Arial" w:hAnsi="Arial"/>
          <w:sz w:val="16"/>
          <w:szCs w:val="16"/>
          <w:color w:val="010000"/>
        </w:rPr>
        <w:t>Within 30 days after the date of any payment of taxes, the appropriate Loan Party shall furnish to the Agent, at its address referred to in Section 9.02, the original or a certified copy of a receipt evidencing such payment to the extent such a receipt is issued therefor, or other written proof of payment thereof that is reasonably satisfactory to the Agent. In the case of any payment hereunder or under the Notes or any other documents to be delivered hereunder by or on behalf of a Loan Party through an account or branch outside the United States or by or on behalf of a Loan Party by a payor that is not a United States person, if such Loan Party determines that no Taxes are payable in respect thereof, such Loan Party shall furnish, or shall cause such payor to furnish, to the Agent, at such address, an opinion of counsel reasonably acceptable to the Agent stating that such payment is exempt from Taxes. For purposes of this subsection (d) and subsection (e), the terms “</w:t>
      </w:r>
      <w:r>
        <w:rPr>
          <w:rFonts w:ascii="Arial" w:cs="Arial" w:eastAsia="Arial" w:hAnsi="Arial"/>
          <w:sz w:val="16"/>
          <w:szCs w:val="16"/>
          <w:u w:val="single" w:color="auto"/>
          <w:color w:val="010000"/>
        </w:rPr>
        <w:t>United States</w:t>
      </w:r>
      <w:r>
        <w:rPr>
          <w:rFonts w:ascii="Arial" w:cs="Arial" w:eastAsia="Arial" w:hAnsi="Arial"/>
          <w:sz w:val="16"/>
          <w:szCs w:val="16"/>
          <w:color w:val="010000"/>
        </w:rPr>
        <w:t>” and “</w:t>
      </w:r>
      <w:r>
        <w:rPr>
          <w:rFonts w:ascii="Arial" w:cs="Arial" w:eastAsia="Arial" w:hAnsi="Arial"/>
          <w:sz w:val="16"/>
          <w:szCs w:val="16"/>
          <w:u w:val="single" w:color="auto"/>
          <w:color w:val="010000"/>
        </w:rPr>
        <w:t>United States person</w:t>
      </w:r>
      <w:r>
        <w:rPr>
          <w:rFonts w:ascii="Arial" w:cs="Arial" w:eastAsia="Arial" w:hAnsi="Arial"/>
          <w:sz w:val="16"/>
          <w:szCs w:val="16"/>
          <w:color w:val="010000"/>
        </w:rPr>
        <w:t>” shall have the meanings specified in Section 7701 of the Code.</w:t>
      </w:r>
    </w:p>
    <w:p>
      <w:pPr>
        <w:spacing w:after="0" w:line="60" w:lineRule="exact"/>
        <w:rPr>
          <w:rFonts w:ascii="Arial" w:cs="Arial" w:eastAsia="Arial" w:hAnsi="Arial"/>
          <w:sz w:val="16"/>
          <w:szCs w:val="16"/>
          <w:color w:val="010000"/>
        </w:rPr>
      </w:pPr>
    </w:p>
    <w:p>
      <w:pPr>
        <w:ind w:right="40" w:firstLine="1041"/>
        <w:spacing w:after="0" w:line="281" w:lineRule="auto"/>
        <w:tabs>
          <w:tab w:leader="none" w:pos="1276" w:val="left"/>
        </w:tabs>
        <w:numPr>
          <w:ilvl w:val="0"/>
          <w:numId w:val="66"/>
        </w:numPr>
        <w:rPr>
          <w:rFonts w:ascii="Arial" w:cs="Arial" w:eastAsia="Arial" w:hAnsi="Arial"/>
          <w:sz w:val="16"/>
          <w:szCs w:val="16"/>
          <w:color w:val="010000"/>
        </w:rPr>
      </w:pPr>
      <w:r>
        <w:rPr>
          <w:rFonts w:ascii="Arial" w:cs="Arial" w:eastAsia="Arial" w:hAnsi="Arial"/>
          <w:sz w:val="16"/>
          <w:szCs w:val="16"/>
          <w:color w:val="010000"/>
        </w:rPr>
        <w:t xml:space="preserve">Each Lender organized under the laws of a jurisdiction outside the United States, on or prior to the date of its execution and delivery of this Agreement on or prior to the designation of any different Applicable Lending Office and on the date of the Assumption Agreement or the Assignment and Acceptance pursuant to which it becomes a Lender in the case of each other Lender, and from time to time thereafter as reasonably requested in writing by the Company (but only so long as such Lender remains lawfully able to do so), shall provide each of the Agent and the Company with two original Internal Revenue Service Forms W-8BEN, W-8BEN-E or W-8ECI or (in the case of a Lender that has certified in writing to the Agent that it is not (i) a “bank” as defined in Section 881(c)(3)(A) of the Code, (ii) a 10-percent shareholder (within the meaning of Section 871(h)(3)(B) of the Code) of any Loan Party or (iii) a CFC related to any Loan Party (within the meaning of Section 864(d)(4) of the Code)), Internal Revenue Service Form W-8BEN or W-8BEN-E, as appropriate, or any successor or other form prescribed by the Internal Revenue Service, certifying that such Lender is exempt from or entitled to a reduced rate of United States withholding tax on payments pursuant to this Agreement or any other Loan Document or, in the case of a Lender that has certified that it is not a “bank” as described above, certifying that such Lender is a foreign corporation, partnership, estate or trust. If the form provided by a Lender at the time such Lender first becomes a party to this Agreement indicates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if at the date of the Assignment and Acceptance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92" w:name="page93"/>
    <w:bookmarkEnd w:id="92"/>
    <w:p>
      <w:pPr>
        <w:ind w:right="100"/>
        <w:spacing w:after="0" w:line="266" w:lineRule="auto"/>
        <w:rPr>
          <w:sz w:val="20"/>
          <w:szCs w:val="20"/>
          <w:color w:val="auto"/>
        </w:rPr>
      </w:pPr>
      <w:r>
        <w:rPr>
          <w:rFonts w:ascii="Arial" w:cs="Arial" w:eastAsia="Arial" w:hAnsi="Arial"/>
          <w:sz w:val="17"/>
          <w:szCs w:val="17"/>
          <w:color w:val="010000"/>
        </w:rPr>
        <w:t>assignee on such date. If any form or document referred to in this subsection (e) requires the disclosure of information, other than information necessary to compute the tax payable and information required on the Closing Date by Internal Revenue Service Form W-8BEN, W-8BEN-E or W-8ECI or the related certificate described above, that the Lender reasonably considers to be confidential, the Lender shall give notice thereof to the Company and shall not be obligated to include in such form or document such confidential information, except directly to a Governmental Authority or other Person subject to a reasonable confidentiality agreement. In addition, upon the written request of the Company, any other certification, identification, information, documentation or other reporting requirement shall be delivered if (i) delivery thereof is required by a change in the law, regulation, administrative practice or any applicable tax treaty as a precondition to exemption from or a reduction in the rate of deduction or withholding; (ii) the Agent or Lender, as the case may be, is legally entitled to make delivery of such item; and (iii) delivery of such item will not result in material additional costs unless Borrower shall have agreed in writing to indemnify Lender or the Agent for such costs.</w:t>
      </w:r>
    </w:p>
    <w:p>
      <w:pPr>
        <w:spacing w:after="0" w:line="77" w:lineRule="exact"/>
        <w:rPr>
          <w:sz w:val="20"/>
          <w:szCs w:val="20"/>
          <w:color w:val="auto"/>
        </w:rPr>
      </w:pPr>
    </w:p>
    <w:p>
      <w:pPr>
        <w:ind w:firstLine="1041"/>
        <w:spacing w:after="0" w:line="250" w:lineRule="auto"/>
        <w:tabs>
          <w:tab w:leader="none" w:pos="1256" w:val="left"/>
        </w:tabs>
        <w:numPr>
          <w:ilvl w:val="0"/>
          <w:numId w:val="67"/>
        </w:numPr>
        <w:rPr>
          <w:rFonts w:ascii="Arial" w:cs="Arial" w:eastAsia="Arial" w:hAnsi="Arial"/>
          <w:sz w:val="18"/>
          <w:szCs w:val="18"/>
          <w:color w:val="010000"/>
        </w:rPr>
      </w:pPr>
      <w:r>
        <w:rPr>
          <w:rFonts w:ascii="Arial" w:cs="Arial" w:eastAsia="Arial" w:hAnsi="Arial"/>
          <w:sz w:val="18"/>
          <w:szCs w:val="18"/>
          <w:color w:val="010000"/>
        </w:rPr>
        <w:t xml:space="preserve">For any period with respect to which a Lender has failed to provide the Company with the appropriate form, certificate or other document described in Section 2.14(e) (other than if such failure is due to a change in law, or in the interpretation or application thereof, occurring subsequent to the date on which a form, certificate or other document originally was required to be provided, or if such form, certificate or other document otherwise is not required under subsection (e) above), such Lender shall not be entitled to indemnification under Section 2.14(a) or (c) with respect to Taxes imposed by the United States of America by reason of such failure;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however</w:t>
      </w:r>
      <w:r>
        <w:rPr>
          <w:rFonts w:ascii="Arial" w:cs="Arial" w:eastAsia="Arial" w:hAnsi="Arial"/>
          <w:sz w:val="18"/>
          <w:szCs w:val="18"/>
          <w:color w:val="010000"/>
        </w:rPr>
        <w:t>, that should a Lender become subject to Taxes because of its failure to deliver a form, certificate or other document required hereunder, the Loan Parties, at such Lender’s expense, shall take such steps as the Lender shall reasonably request to assist the Lender to recover such Taxes.</w:t>
      </w:r>
    </w:p>
    <w:p>
      <w:pPr>
        <w:spacing w:after="0" w:line="90" w:lineRule="exact"/>
        <w:rPr>
          <w:rFonts w:ascii="Arial" w:cs="Arial" w:eastAsia="Arial" w:hAnsi="Arial"/>
          <w:sz w:val="18"/>
          <w:szCs w:val="18"/>
          <w:color w:val="010000"/>
        </w:rPr>
      </w:pPr>
    </w:p>
    <w:p>
      <w:pPr>
        <w:ind w:right="120" w:firstLine="1041"/>
        <w:spacing w:after="0" w:line="254" w:lineRule="auto"/>
        <w:tabs>
          <w:tab w:leader="none" w:pos="1286" w:val="left"/>
        </w:tabs>
        <w:numPr>
          <w:ilvl w:val="0"/>
          <w:numId w:val="67"/>
        </w:numPr>
        <w:rPr>
          <w:rFonts w:ascii="Arial" w:cs="Arial" w:eastAsia="Arial" w:hAnsi="Arial"/>
          <w:sz w:val="18"/>
          <w:szCs w:val="18"/>
          <w:color w:val="010000"/>
        </w:rPr>
      </w:pPr>
      <w:r>
        <w:rPr>
          <w:rFonts w:ascii="Arial" w:cs="Arial" w:eastAsia="Arial" w:hAnsi="Arial"/>
          <w:sz w:val="18"/>
          <w:szCs w:val="18"/>
          <w:color w:val="010000"/>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such additional amounts that may thereafter accrue and would not, in the judgment of such Lender, be otherwise disadvantageous to such Lender.</w:t>
      </w:r>
    </w:p>
    <w:p>
      <w:pPr>
        <w:spacing w:after="0" w:line="83" w:lineRule="exact"/>
        <w:rPr>
          <w:rFonts w:ascii="Arial" w:cs="Arial" w:eastAsia="Arial" w:hAnsi="Arial"/>
          <w:sz w:val="18"/>
          <w:szCs w:val="18"/>
          <w:color w:val="010000"/>
        </w:rPr>
      </w:pPr>
    </w:p>
    <w:p>
      <w:pPr>
        <w:ind w:firstLine="1041"/>
        <w:spacing w:after="0" w:line="287" w:lineRule="auto"/>
        <w:tabs>
          <w:tab w:leader="none" w:pos="1286" w:val="left"/>
        </w:tabs>
        <w:numPr>
          <w:ilvl w:val="0"/>
          <w:numId w:val="67"/>
        </w:numPr>
        <w:rPr>
          <w:rFonts w:ascii="Arial" w:cs="Arial" w:eastAsia="Arial" w:hAnsi="Arial"/>
          <w:sz w:val="16"/>
          <w:szCs w:val="16"/>
          <w:color w:val="010000"/>
        </w:rPr>
      </w:pPr>
      <w:r>
        <w:rPr>
          <w:rFonts w:ascii="Arial" w:cs="Arial" w:eastAsia="Arial" w:hAnsi="Arial"/>
          <w:sz w:val="16"/>
          <w:szCs w:val="16"/>
          <w:color w:val="010000"/>
        </w:rPr>
        <w:t xml:space="preserve">If any Lender determines, in its sole discretion, that it has actually and finally realized, by reason of a refund, deduction or credit of any Taxes paid or reimbursed by a Loan Party pursuant to subsection (a) or (c) above in respect of payments under this Agreement or the other Loan Documents, a current monetary benefit that it would otherwise not have obtained, and that would result in the total payments under this Section 2.14 exceeding the amount needed to make such Lender whole, such Lender shall pay to the applicable Loan Party, with reasonable promptness following the date on which it actually realizes such benefit, an amount equal to the lesser of the amount of such benefit or the amount of such excess, in each case net of all out-of-pocket expenses in securing such refund, deduction or credit;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the Borrower, upon the request of the Agent or such Lender, agrees to repay the amount paid over to any Loan Party to the Agent or such Lender in the event the Agent or such Lender is required to repay such amount to such Governmental Authority.</w:t>
      </w:r>
    </w:p>
    <w:p>
      <w:pPr>
        <w:spacing w:after="0" w:line="60" w:lineRule="exact"/>
        <w:rPr>
          <w:rFonts w:ascii="Arial" w:cs="Arial" w:eastAsia="Arial" w:hAnsi="Arial"/>
          <w:sz w:val="16"/>
          <w:szCs w:val="16"/>
          <w:color w:val="010000"/>
        </w:rPr>
      </w:pPr>
    </w:p>
    <w:p>
      <w:pPr>
        <w:ind w:right="140" w:firstLine="1041"/>
        <w:spacing w:after="0" w:line="254" w:lineRule="auto"/>
        <w:tabs>
          <w:tab w:leader="none" w:pos="1246" w:val="left"/>
        </w:tabs>
        <w:numPr>
          <w:ilvl w:val="0"/>
          <w:numId w:val="67"/>
        </w:numPr>
        <w:rPr>
          <w:rFonts w:ascii="Arial" w:cs="Arial" w:eastAsia="Arial" w:hAnsi="Arial"/>
          <w:sz w:val="18"/>
          <w:szCs w:val="18"/>
          <w:color w:val="010000"/>
        </w:rPr>
      </w:pPr>
      <w:r>
        <w:rPr>
          <w:rFonts w:ascii="Arial" w:cs="Arial" w:eastAsia="Arial" w:hAnsi="Arial"/>
          <w:sz w:val="18"/>
          <w:szCs w:val="18"/>
          <w:color w:val="010000"/>
        </w:rPr>
        <w:t>If any Loan Party determines in good faith that a reasonable basis exists for contesting the applicability of any Tax or Other Tax, the Agent, the relevant Arranger or the relevant Lender shall cooperate with such Loan Party, upon the request and at the expense of such Loan Party, in challenging such Tax or Other Tax. Nothing in this Section 2.14(i) shall require the Agent, any Arranger or any Lender to disclose the contents of its tax returns or other confidential information to any Person.</w:t>
      </w:r>
    </w:p>
    <w:p>
      <w:pPr>
        <w:spacing w:after="0" w:line="83" w:lineRule="exact"/>
        <w:rPr>
          <w:rFonts w:ascii="Arial" w:cs="Arial" w:eastAsia="Arial" w:hAnsi="Arial"/>
          <w:sz w:val="18"/>
          <w:szCs w:val="18"/>
          <w:color w:val="010000"/>
        </w:rPr>
      </w:pPr>
    </w:p>
    <w:p>
      <w:pPr>
        <w:ind w:right="20" w:firstLine="1041"/>
        <w:spacing w:after="0" w:line="265" w:lineRule="auto"/>
        <w:tabs>
          <w:tab w:leader="none" w:pos="1246" w:val="left"/>
        </w:tabs>
        <w:numPr>
          <w:ilvl w:val="0"/>
          <w:numId w:val="67"/>
        </w:numPr>
        <w:rPr>
          <w:rFonts w:ascii="Arial" w:cs="Arial" w:eastAsia="Arial" w:hAnsi="Arial"/>
          <w:sz w:val="17"/>
          <w:szCs w:val="17"/>
          <w:color w:val="010000"/>
        </w:rPr>
      </w:pPr>
      <w:r>
        <w:rPr>
          <w:rFonts w:ascii="Arial" w:cs="Arial" w:eastAsia="Arial" w:hAnsi="Arial"/>
          <w:sz w:val="17"/>
          <w:szCs w:val="17"/>
          <w:color w:val="010000"/>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applicable Loan Party and the Agent at the time or times prescribed by law and at such time or times reasonably requested by the applicable Loan Party or the Agent such documentation prescribed by applicable law (including as prescribed by Section 1471(b)(3)(C)(i) of the Code) and such additional documentation reasonably requested by the applicable Loan Party or the Agent as may be necessary for the applicable Loan Party and the Agent to comply with their obligations under FATCA and to determine that such Lender has complied with such Lender's obligations under FATCA or to determine the amount to deduct and withhold from such payment. Solely for purposes of this clause (j), “FATCA” shall include any amendments made to FATCA after the date of this Agreement. For purposes of determining withholding taxes imposed under FATCA, from and after the Closing Date, the Loan Parties and the Agent shall treat (and the Lenders hereby authorize the Agent to treat) this Agreement as not qualifying as a “grandfathered obligation” within the meaning of Treasury Regulation Section 1.1471-2(b)(2)(i).</w:t>
      </w:r>
    </w:p>
    <w:p>
      <w:pPr>
        <w:spacing w:after="0" w:line="189" w:lineRule="exact"/>
        <w:rPr>
          <w:sz w:val="20"/>
          <w:szCs w:val="20"/>
          <w:color w:val="auto"/>
        </w:rPr>
      </w:pPr>
    </w:p>
    <w:p>
      <w:pPr>
        <w:ind w:right="160" w:firstLine="518"/>
        <w:spacing w:after="0" w:line="283" w:lineRule="auto"/>
        <w:rPr>
          <w:sz w:val="20"/>
          <w:szCs w:val="20"/>
          <w:color w:val="auto"/>
        </w:rPr>
      </w:pPr>
      <w:r>
        <w:rPr>
          <w:rFonts w:ascii="Arial" w:cs="Arial" w:eastAsia="Arial" w:hAnsi="Arial"/>
          <w:sz w:val="16"/>
          <w:szCs w:val="16"/>
          <w:color w:val="010000"/>
        </w:rPr>
        <w:t xml:space="preserve">SECTION 2.15. </w:t>
      </w:r>
      <w:r>
        <w:rPr>
          <w:rFonts w:ascii="Arial" w:cs="Arial" w:eastAsia="Arial" w:hAnsi="Arial"/>
          <w:sz w:val="16"/>
          <w:szCs w:val="16"/>
          <w:u w:val="single" w:color="auto"/>
          <w:color w:val="010000"/>
        </w:rPr>
        <w:t>Sharing of Payments, Etc</w:t>
      </w:r>
      <w:r>
        <w:rPr>
          <w:rFonts w:ascii="Arial" w:cs="Arial" w:eastAsia="Arial" w:hAnsi="Arial"/>
          <w:sz w:val="16"/>
          <w:szCs w:val="16"/>
          <w:color w:val="010000"/>
        </w:rPr>
        <w:t>. Without expanding the rights of any Lender under this Agreement and, except as otherwise expressly provided in Section 6.04, if any Lender shall obtain any payment (whether voluntary, involuntary, through the exercise of any right of set-off, or otherwise) on account of the Revolving Loans owing to it (other than (x) as payment of a Revolving Loan made by an Issuing Bank pursuant to the first sentence of Section</w:t>
      </w:r>
    </w:p>
    <w:p>
      <w:pPr>
        <w:ind w:right="40"/>
        <w:spacing w:after="0" w:line="269" w:lineRule="auto"/>
        <w:rPr>
          <w:sz w:val="20"/>
          <w:szCs w:val="20"/>
          <w:color w:val="auto"/>
        </w:rPr>
      </w:pPr>
      <w:r>
        <w:rPr>
          <w:rFonts w:ascii="Arial" w:cs="Arial" w:eastAsia="Arial" w:hAnsi="Arial"/>
          <w:sz w:val="17"/>
          <w:szCs w:val="17"/>
          <w:color w:val="010000"/>
        </w:rPr>
        <w:t>2.03(c) or (y) pursuant to Section 2.11, 2.14 or 9.04(c)) in excess of its ratable share (according to the proportion of (i) the amount of such Revolving Loans due and payable to such Lender at such time to (ii) the aggregate amount of the Revolving Loans due and payable at such time to all Lenders hereunder) of payments on account of the Revolving Loans obtained by all the Lenders, such Lender shall forthwith purchase from the other Lenders such participations in the Revolving Loans owing to them as shall be necessary to cause such purchasing Lender to share the excess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93" w:name="page94"/>
    <w:bookmarkEnd w:id="93"/>
    <w:p>
      <w:pPr>
        <w:ind w:right="60"/>
        <w:spacing w:after="0" w:line="284" w:lineRule="auto"/>
        <w:rPr>
          <w:sz w:val="20"/>
          <w:szCs w:val="20"/>
          <w:color w:val="auto"/>
        </w:rPr>
      </w:pPr>
      <w:r>
        <w:rPr>
          <w:rFonts w:ascii="Arial" w:cs="Arial" w:eastAsia="Arial" w:hAnsi="Arial"/>
          <w:sz w:val="16"/>
          <w:szCs w:val="16"/>
          <w:color w:val="010000"/>
        </w:rPr>
        <w:t xml:space="preserve">payment ratably with each of them;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xml:space="preserve">, that if all or any portion of such excess payment is thereafter recovered from such purchasing Lender, such purchase from each Lender shall be rescinded and such Lender shall repay to the purchasing Lender the purchase price to the extent of such Lender’s ratable share (according to the proportion of (i) the purchase price paid to such Lender to (ii) the aggregate purchase price paid to all Lenders)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further</w:t>
      </w:r>
      <w:r>
        <w:rPr>
          <w:rFonts w:ascii="Arial" w:cs="Arial" w:eastAsia="Arial" w:hAnsi="Arial"/>
          <w:sz w:val="16"/>
          <w:szCs w:val="16"/>
          <w:color w:val="010000"/>
        </w:rPr>
        <w:t>, that, so long as the Revolving Loans shall not have become due and payable pursuant to Section 6.01, any excess payment received by any Lender shall be shared on a pro rata basis only with other Lenders.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Loan Parties in the amount of such participation.</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2.16. </w:t>
      </w:r>
      <w:r>
        <w:rPr>
          <w:rFonts w:ascii="Arial" w:cs="Arial" w:eastAsia="Arial" w:hAnsi="Arial"/>
          <w:sz w:val="18"/>
          <w:szCs w:val="18"/>
          <w:u w:val="single" w:color="auto"/>
          <w:color w:val="010000"/>
        </w:rPr>
        <w:t>Evidence of Debt</w:t>
      </w:r>
      <w:r>
        <w:rPr>
          <w:rFonts w:ascii="Arial" w:cs="Arial" w:eastAsia="Arial" w:hAnsi="Arial"/>
          <w:sz w:val="18"/>
          <w:szCs w:val="18"/>
          <w:color w:val="010000"/>
        </w:rPr>
        <w:t>.</w:t>
      </w:r>
    </w:p>
    <w:p>
      <w:pPr>
        <w:spacing w:after="0" w:line="113" w:lineRule="exact"/>
        <w:rPr>
          <w:sz w:val="20"/>
          <w:szCs w:val="20"/>
          <w:color w:val="auto"/>
        </w:rPr>
      </w:pPr>
    </w:p>
    <w:p>
      <w:pPr>
        <w:ind w:right="40" w:firstLine="1041"/>
        <w:spacing w:after="0" w:line="288" w:lineRule="auto"/>
        <w:tabs>
          <w:tab w:leader="none" w:pos="1276" w:val="left"/>
        </w:tabs>
        <w:numPr>
          <w:ilvl w:val="0"/>
          <w:numId w:val="68"/>
        </w:numPr>
        <w:rPr>
          <w:rFonts w:ascii="Arial" w:cs="Arial" w:eastAsia="Arial" w:hAnsi="Arial"/>
          <w:sz w:val="16"/>
          <w:szCs w:val="16"/>
          <w:color w:val="010000"/>
        </w:rPr>
      </w:pPr>
      <w:r>
        <w:rPr>
          <w:rFonts w:ascii="Arial" w:cs="Arial" w:eastAsia="Arial" w:hAnsi="Arial"/>
          <w:sz w:val="16"/>
          <w:szCs w:val="16"/>
          <w:color w:val="010000"/>
        </w:rPr>
        <w:t>Each Lender shall maintain in accordance with its usual practice an account or accounts evidencing the indebtedness of Borrower to such Lender resulting from each Revolving Loan owing to such Lender from time to time, including the amounts of principal and interest payable and paid to such Lender from time to time hereunder in respect of Revolving Loans. Borrower agrees that upon notice by any Lender to Borrower (with a copy of such notice to the Agent) to the effect that a Note is required or appropriate in order for such Lender to evidence (whether for purposes of pledge, enforcement or otherwise) the Revolving Loans owing to, or to be made by, such Lender, Borrower shall promptly execute and deliver to such Lender a Note, as applicable, properly completed, payable to the order of such Lender in a principal amount up to the Revolving Credit Commitment of such Lender.</w:t>
      </w:r>
    </w:p>
    <w:p>
      <w:pPr>
        <w:spacing w:after="0" w:line="62" w:lineRule="exact"/>
        <w:rPr>
          <w:rFonts w:ascii="Arial" w:cs="Arial" w:eastAsia="Arial" w:hAnsi="Arial"/>
          <w:sz w:val="16"/>
          <w:szCs w:val="16"/>
          <w:color w:val="010000"/>
        </w:rPr>
      </w:pPr>
    </w:p>
    <w:p>
      <w:pPr>
        <w:ind w:firstLine="1041"/>
        <w:spacing w:after="0" w:line="291" w:lineRule="auto"/>
        <w:tabs>
          <w:tab w:leader="none" w:pos="1286" w:val="left"/>
        </w:tabs>
        <w:numPr>
          <w:ilvl w:val="0"/>
          <w:numId w:val="68"/>
        </w:numPr>
        <w:rPr>
          <w:rFonts w:ascii="Arial" w:cs="Arial" w:eastAsia="Arial" w:hAnsi="Arial"/>
          <w:sz w:val="16"/>
          <w:szCs w:val="16"/>
          <w:color w:val="010000"/>
        </w:rPr>
      </w:pPr>
      <w:r>
        <w:rPr>
          <w:rFonts w:ascii="Arial" w:cs="Arial" w:eastAsia="Arial" w:hAnsi="Arial"/>
          <w:sz w:val="16"/>
          <w:szCs w:val="16"/>
          <w:color w:val="010000"/>
        </w:rPr>
        <w:t>The Register maintained by the Agent pursuant to Section 9.08(e) shall include a control account, and a subsidiary account for each Lender, in which accounts (taken together) shall be recorded (i) the date and amount of each Borrowing made hereunder, the Type of Revolving Loans comprising such Borrowing and, if appropriate, the Interest Period applicable thereto, (ii) the terms of each Assumption Agreement and each Assignment and Acceptance delivered to and accepted by it, (iii) the amount of any principal or interest due and payable or to become due and payable from Borrower to each Lender hereunder and (iv) the amount of any sum received by the Agent from each Borrower hereunder and each Lender’s share thereof.</w:t>
      </w:r>
    </w:p>
    <w:p>
      <w:pPr>
        <w:spacing w:after="0" w:line="58" w:lineRule="exact"/>
        <w:rPr>
          <w:rFonts w:ascii="Arial" w:cs="Arial" w:eastAsia="Arial" w:hAnsi="Arial"/>
          <w:sz w:val="16"/>
          <w:szCs w:val="16"/>
          <w:color w:val="010000"/>
        </w:rPr>
      </w:pPr>
    </w:p>
    <w:p>
      <w:pPr>
        <w:ind w:right="280" w:firstLine="1041"/>
        <w:spacing w:after="0" w:line="291" w:lineRule="auto"/>
        <w:tabs>
          <w:tab w:leader="none" w:pos="1276" w:val="left"/>
        </w:tabs>
        <w:numPr>
          <w:ilvl w:val="0"/>
          <w:numId w:val="68"/>
        </w:numPr>
        <w:rPr>
          <w:rFonts w:ascii="Arial" w:cs="Arial" w:eastAsia="Arial" w:hAnsi="Arial"/>
          <w:sz w:val="16"/>
          <w:szCs w:val="16"/>
          <w:color w:val="010000"/>
        </w:rPr>
      </w:pPr>
      <w:r>
        <w:rPr>
          <w:rFonts w:ascii="Arial" w:cs="Arial" w:eastAsia="Arial" w:hAnsi="Arial"/>
          <w:sz w:val="16"/>
          <w:szCs w:val="16"/>
          <w:color w:val="010000"/>
        </w:rPr>
        <w:t xml:space="preserve">Entries made in good faith by the Agent in the Register pursuant to subsection (b) above, and by each Lender in its account or accounts pursuant to subsection (a) above, shall be </w:t>
      </w:r>
      <w:r>
        <w:rPr>
          <w:rFonts w:ascii="Arial" w:cs="Arial" w:eastAsia="Arial" w:hAnsi="Arial"/>
          <w:sz w:val="16"/>
          <w:szCs w:val="16"/>
          <w:u w:val="single" w:color="auto"/>
          <w:color w:val="010000"/>
        </w:rPr>
        <w:t>prima facie</w:t>
      </w:r>
      <w:r>
        <w:rPr>
          <w:rFonts w:ascii="Arial" w:cs="Arial" w:eastAsia="Arial" w:hAnsi="Arial"/>
          <w:sz w:val="16"/>
          <w:szCs w:val="16"/>
          <w:color w:val="010000"/>
        </w:rPr>
        <w:t xml:space="preserve"> evidence of the amount of principal and interest due and payable or to become due and payable from Borrower to, in the case of the Register, each Lender and, in the case of such account or accounts, such Lender, under this Agreement, absent manifest error;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the failure of the Agent or such Lender to make an entry, or any finding that an entry is incorrect, in the Register or such account or accounts shall not limit or otherwise affect the obligations of Borrower under this Agreement with respect to Revolving Loans made and not repaid.</w:t>
      </w:r>
    </w:p>
    <w:p>
      <w:pPr>
        <w:spacing w:after="0" w:line="165" w:lineRule="exact"/>
        <w:rPr>
          <w:sz w:val="20"/>
          <w:szCs w:val="20"/>
          <w:color w:val="auto"/>
        </w:rPr>
      </w:pPr>
    </w:p>
    <w:p>
      <w:pPr>
        <w:jc w:val="both"/>
        <w:ind w:right="80" w:firstLine="518"/>
        <w:spacing w:after="0" w:line="257" w:lineRule="auto"/>
        <w:rPr>
          <w:sz w:val="20"/>
          <w:szCs w:val="20"/>
          <w:color w:val="auto"/>
        </w:rPr>
      </w:pPr>
      <w:r>
        <w:rPr>
          <w:rFonts w:ascii="Arial" w:cs="Arial" w:eastAsia="Arial" w:hAnsi="Arial"/>
          <w:sz w:val="18"/>
          <w:szCs w:val="18"/>
          <w:color w:val="010000"/>
        </w:rPr>
        <w:t xml:space="preserve">SECTION 2.17. </w:t>
      </w:r>
      <w:r>
        <w:rPr>
          <w:rFonts w:ascii="Arial" w:cs="Arial" w:eastAsia="Arial" w:hAnsi="Arial"/>
          <w:sz w:val="18"/>
          <w:szCs w:val="18"/>
          <w:u w:val="single" w:color="auto"/>
          <w:color w:val="010000"/>
        </w:rPr>
        <w:t>Use of Proceeds</w:t>
      </w:r>
      <w:r>
        <w:rPr>
          <w:rFonts w:ascii="Arial" w:cs="Arial" w:eastAsia="Arial" w:hAnsi="Arial"/>
          <w:sz w:val="18"/>
          <w:szCs w:val="18"/>
          <w:color w:val="010000"/>
        </w:rPr>
        <w:t>. On the Closing Date, the proceeds of the Revolving Loans and the issuance of Letters of Credit hereunder shall be to pay costs and expenses related to the Closing Date Transactions and thereafter to issue Letters of Credit and finance ongoing working capital needs and general corporate purposes of the Borrower.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2.18. </w:t>
      </w:r>
      <w:r>
        <w:rPr>
          <w:rFonts w:ascii="Arial" w:cs="Arial" w:eastAsia="Arial" w:hAnsi="Arial"/>
          <w:sz w:val="18"/>
          <w:szCs w:val="18"/>
          <w:u w:val="single" w:color="auto"/>
          <w:color w:val="010000"/>
        </w:rPr>
        <w:t>Cash Management</w:t>
      </w:r>
      <w:r>
        <w:rPr>
          <w:rFonts w:ascii="Arial" w:cs="Arial" w:eastAsia="Arial" w:hAnsi="Arial"/>
          <w:sz w:val="18"/>
          <w:szCs w:val="18"/>
          <w:color w:val="010000"/>
        </w:rPr>
        <w:t>.</w:t>
      </w:r>
    </w:p>
    <w:p>
      <w:pPr>
        <w:spacing w:after="0" w:line="113" w:lineRule="exact"/>
        <w:rPr>
          <w:sz w:val="20"/>
          <w:szCs w:val="20"/>
          <w:color w:val="auto"/>
        </w:rPr>
      </w:pPr>
    </w:p>
    <w:p>
      <w:pPr>
        <w:ind w:right="100" w:firstLine="1041"/>
        <w:spacing w:after="0" w:line="267" w:lineRule="auto"/>
        <w:tabs>
          <w:tab w:leader="none" w:pos="1276" w:val="left"/>
        </w:tabs>
        <w:numPr>
          <w:ilvl w:val="0"/>
          <w:numId w:val="69"/>
        </w:numPr>
        <w:rPr>
          <w:rFonts w:ascii="Arial" w:cs="Arial" w:eastAsia="Arial" w:hAnsi="Arial"/>
          <w:sz w:val="18"/>
          <w:szCs w:val="18"/>
          <w:color w:val="010000"/>
        </w:rPr>
      </w:pPr>
      <w:r>
        <w:rPr>
          <w:rFonts w:ascii="Arial" w:cs="Arial" w:eastAsia="Arial" w:hAnsi="Arial"/>
          <w:sz w:val="18"/>
          <w:szCs w:val="18"/>
          <w:color w:val="010000"/>
        </w:rPr>
        <w:t>Within 60 days after the Initial Closing Date (or such later date as the Agent may specify in its sole discretion), and at all times thereafter, the Loan Parties shall enter into and maintain Control Agreements, with respect to each Concentration Account.</w:t>
      </w:r>
    </w:p>
    <w:p>
      <w:pPr>
        <w:spacing w:after="0" w:line="72" w:lineRule="exact"/>
        <w:rPr>
          <w:rFonts w:ascii="Arial" w:cs="Arial" w:eastAsia="Arial" w:hAnsi="Arial"/>
          <w:sz w:val="18"/>
          <w:szCs w:val="18"/>
          <w:color w:val="010000"/>
        </w:rPr>
      </w:pPr>
    </w:p>
    <w:p>
      <w:pPr>
        <w:ind w:right="60" w:firstLine="1041"/>
        <w:spacing w:after="0" w:line="279" w:lineRule="auto"/>
        <w:tabs>
          <w:tab w:leader="none" w:pos="1286" w:val="left"/>
        </w:tabs>
        <w:numPr>
          <w:ilvl w:val="0"/>
          <w:numId w:val="69"/>
        </w:numPr>
        <w:rPr>
          <w:rFonts w:ascii="Arial" w:cs="Arial" w:eastAsia="Arial" w:hAnsi="Arial"/>
          <w:sz w:val="17"/>
          <w:szCs w:val="17"/>
          <w:color w:val="010000"/>
        </w:rPr>
      </w:pPr>
      <w:r>
        <w:rPr>
          <w:rFonts w:ascii="Arial" w:cs="Arial" w:eastAsia="Arial" w:hAnsi="Arial"/>
          <w:sz w:val="17"/>
          <w:szCs w:val="17"/>
          <w:color w:val="010000"/>
        </w:rPr>
        <w:t>Each Control Agreement for each Concentration Account shall require, during the continuance of a Cash Control Trigger Event (and delivery of notice thereof from the Agent), the ACH or wire transfer on each Business Day of all ledgers or available, as applicable, cash receipts held in the Concentration Account to a concentration account maintained by the Agent (an “</w:t>
      </w:r>
      <w:r>
        <w:rPr>
          <w:rFonts w:ascii="Arial" w:cs="Arial" w:eastAsia="Arial" w:hAnsi="Arial"/>
          <w:sz w:val="17"/>
          <w:szCs w:val="17"/>
          <w:u w:val="single" w:color="auto"/>
          <w:color w:val="010000"/>
        </w:rPr>
        <w:t>Agent Sweep Account</w:t>
      </w:r>
      <w:r>
        <w:rPr>
          <w:rFonts w:ascii="Arial" w:cs="Arial" w:eastAsia="Arial" w:hAnsi="Arial"/>
          <w:sz w:val="17"/>
          <w:szCs w:val="17"/>
          <w:color w:val="010000"/>
        </w:rPr>
        <w:t>”) located in the United States.</w:t>
      </w:r>
    </w:p>
    <w:p>
      <w:pPr>
        <w:spacing w:after="0" w:line="65" w:lineRule="exact"/>
        <w:rPr>
          <w:rFonts w:ascii="Arial" w:cs="Arial" w:eastAsia="Arial" w:hAnsi="Arial"/>
          <w:sz w:val="17"/>
          <w:szCs w:val="17"/>
          <w:color w:val="010000"/>
        </w:rPr>
      </w:pPr>
    </w:p>
    <w:p>
      <w:pPr>
        <w:ind w:right="20" w:firstLine="1041"/>
        <w:spacing w:after="0" w:line="269" w:lineRule="auto"/>
        <w:tabs>
          <w:tab w:leader="none" w:pos="1276" w:val="left"/>
        </w:tabs>
        <w:numPr>
          <w:ilvl w:val="0"/>
          <w:numId w:val="69"/>
        </w:numPr>
        <w:rPr>
          <w:rFonts w:ascii="Arial" w:cs="Arial" w:eastAsia="Arial" w:hAnsi="Arial"/>
          <w:sz w:val="17"/>
          <w:szCs w:val="17"/>
          <w:color w:val="010000"/>
        </w:rPr>
      </w:pPr>
      <w:r>
        <w:rPr>
          <w:rFonts w:ascii="Arial" w:cs="Arial" w:eastAsia="Arial" w:hAnsi="Arial"/>
          <w:sz w:val="17"/>
          <w:szCs w:val="17"/>
          <w:color w:val="010000"/>
        </w:rPr>
        <w:t>If (i) at any time during the continuance of a Cash Control Trigger Event, any cash or Cash Equivalents owned by a Loan Party are deposited in any account (other than an Excluded Account), or held or invested in any manner (other than (w) in an Excluded Account, (x) in a Concentration Account that is subject to the Control Agreement, or (y) in a Deposit Account which is swept daily to a Concentration Account subject to a Control Agreement), or (ii) at any time, a Concentration Account shall cease to be subject to a Control Agreement, the applicable Loan Party shall immediately furnish the Agent with written notice thereof and the Agent may require such Loan Party to close such account and have any such funds transferred to a Concentration Account which is subject to a Control Agreement or maintained with the Agent.</w:t>
      </w:r>
    </w:p>
    <w:p>
      <w:pPr>
        <w:spacing w:after="0" w:line="72" w:lineRule="exact"/>
        <w:rPr>
          <w:rFonts w:ascii="Arial" w:cs="Arial" w:eastAsia="Arial" w:hAnsi="Arial"/>
          <w:sz w:val="17"/>
          <w:szCs w:val="17"/>
          <w:color w:val="010000"/>
        </w:rPr>
      </w:pPr>
    </w:p>
    <w:p>
      <w:pPr>
        <w:ind w:right="260" w:firstLine="1041"/>
        <w:spacing w:after="0" w:line="254" w:lineRule="auto"/>
        <w:tabs>
          <w:tab w:leader="none" w:pos="1286" w:val="left"/>
        </w:tabs>
        <w:numPr>
          <w:ilvl w:val="0"/>
          <w:numId w:val="69"/>
        </w:numPr>
        <w:rPr>
          <w:rFonts w:ascii="Arial" w:cs="Arial" w:eastAsia="Arial" w:hAnsi="Arial"/>
          <w:sz w:val="18"/>
          <w:szCs w:val="18"/>
          <w:color w:val="010000"/>
        </w:rPr>
      </w:pPr>
      <w:r>
        <w:rPr>
          <w:rFonts w:ascii="Arial" w:cs="Arial" w:eastAsia="Arial" w:hAnsi="Arial"/>
          <w:sz w:val="18"/>
          <w:szCs w:val="18"/>
          <w:color w:val="010000"/>
        </w:rPr>
        <w:t>A Loan Party may close any Deposit Account or a Concentration Account, maintain existing Deposit Accounts or Concentration Accounts and/or open new Deposit Accounts or Concentration Accounts, subject to the execution and delivery to the Agent of appropriate Control Agreements with respect to each Concentration Account (except with respect to any Concentration Account maintained with the Agent) consistent with the provisions of this Section 2.18 and otherwise reasonably satisfactory to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94" w:name="page95"/>
    <w:bookmarkEnd w:id="94"/>
    <w:p>
      <w:pPr>
        <w:spacing w:after="0" w:line="331" w:lineRule="auto"/>
        <w:rPr>
          <w:sz w:val="20"/>
          <w:szCs w:val="20"/>
          <w:color w:val="auto"/>
        </w:rPr>
      </w:pPr>
      <w:r>
        <w:rPr>
          <w:rFonts w:ascii="Arial" w:cs="Arial" w:eastAsia="Arial" w:hAnsi="Arial"/>
          <w:sz w:val="16"/>
          <w:szCs w:val="16"/>
          <w:color w:val="010000"/>
        </w:rPr>
        <w:t>Agent. The applicable Loan Party shall furnish the Agent with prior written notice of its intention to open or close a Concentration Account and the Agent shall promptly notify such Loan Party as to whether the Agent shall require a Control Agreement with the Person with whom such account will be maintained.</w:t>
      </w:r>
    </w:p>
    <w:p>
      <w:pPr>
        <w:spacing w:after="0" w:line="26" w:lineRule="exact"/>
        <w:rPr>
          <w:sz w:val="20"/>
          <w:szCs w:val="20"/>
          <w:color w:val="auto"/>
        </w:rPr>
      </w:pPr>
    </w:p>
    <w:p>
      <w:pPr>
        <w:ind w:right="20" w:firstLine="1041"/>
        <w:spacing w:after="0" w:line="265" w:lineRule="auto"/>
        <w:tabs>
          <w:tab w:leader="none" w:pos="1276" w:val="left"/>
        </w:tabs>
        <w:numPr>
          <w:ilvl w:val="0"/>
          <w:numId w:val="70"/>
        </w:numPr>
        <w:rPr>
          <w:rFonts w:ascii="Arial" w:cs="Arial" w:eastAsia="Arial" w:hAnsi="Arial"/>
          <w:sz w:val="17"/>
          <w:szCs w:val="17"/>
          <w:color w:val="010000"/>
        </w:rPr>
      </w:pPr>
      <w:r>
        <w:rPr>
          <w:rFonts w:ascii="Arial" w:cs="Arial" w:eastAsia="Arial" w:hAnsi="Arial"/>
          <w:sz w:val="17"/>
          <w:szCs w:val="17"/>
          <w:color w:val="010000"/>
        </w:rPr>
        <w:t>Each Agent Sweep Account shall at all times be under the sole dominion and control of the Agent. Each Loan Party hereby acknowledges and agrees that (i) it has no right of withdrawal from the Agent Sweep Account until the applicable Cash Control Trigger Event is no longer continuing as set forth in subclause (f), (ii) the funds on deposit in an Agent Sweep Account shall at all times continue to be collateral security for all of the Secured Obligations, and (iii) the funds on deposit in an Agent Sweep Account, shall be applied as provided in Section 2.18(h) of this Agreement and in the Security Agreement. In the event that, notwithstanding the provisions of this Section 2.18, during the continuance of a Cash Control Trigger Event, a Loan Party receives or otherwise has dominion and control of any such proceeds or collections, such proceeds and collections shall be held in trust by such Loan Party for the Agent, shall not be commingled with any of such Loan Party’s other funds or deposited in any account of such Loan Party and shall promptly be deposited into a Concentration Account or dealt with in such other fashion as such Loan Party may be instructed by the Agent (except for (i) funds required to be deposited into an Excluded Account and (ii) funds necessary to fund working capital needs of the Company and its Subsidiaries, which funds will be deposited in an account subject to a Control Agreement in the case of this subclause (ii)).</w:t>
      </w:r>
    </w:p>
    <w:p>
      <w:pPr>
        <w:spacing w:after="0" w:line="81" w:lineRule="exact"/>
        <w:rPr>
          <w:rFonts w:ascii="Arial" w:cs="Arial" w:eastAsia="Arial" w:hAnsi="Arial"/>
          <w:sz w:val="17"/>
          <w:szCs w:val="17"/>
          <w:color w:val="010000"/>
        </w:rPr>
      </w:pPr>
    </w:p>
    <w:p>
      <w:pPr>
        <w:ind w:right="140" w:firstLine="1041"/>
        <w:spacing w:after="0" w:line="257" w:lineRule="auto"/>
        <w:tabs>
          <w:tab w:leader="none" w:pos="1256" w:val="left"/>
        </w:tabs>
        <w:numPr>
          <w:ilvl w:val="0"/>
          <w:numId w:val="70"/>
        </w:numPr>
        <w:rPr>
          <w:rFonts w:ascii="Arial" w:cs="Arial" w:eastAsia="Arial" w:hAnsi="Arial"/>
          <w:sz w:val="18"/>
          <w:szCs w:val="18"/>
          <w:color w:val="010000"/>
        </w:rPr>
      </w:pPr>
      <w:r>
        <w:rPr>
          <w:rFonts w:ascii="Arial" w:cs="Arial" w:eastAsia="Arial" w:hAnsi="Arial"/>
          <w:sz w:val="18"/>
          <w:szCs w:val="18"/>
          <w:color w:val="010000"/>
        </w:rPr>
        <w:t>Any amounts remaining in an Agent Sweep Account (i) at any time when a Cash Control Trigger Event is no longer continuing for purposes of this Agreement or (ii) after application of amounts received in such Agent Sweep Account as set forth in subsection (h) below, shall be remitted to the primary Concentration Account of the Company maintained with the Agent.</w:t>
      </w:r>
    </w:p>
    <w:p>
      <w:pPr>
        <w:spacing w:after="0" w:line="81" w:lineRule="exact"/>
        <w:rPr>
          <w:rFonts w:ascii="Arial" w:cs="Arial" w:eastAsia="Arial" w:hAnsi="Arial"/>
          <w:sz w:val="18"/>
          <w:szCs w:val="18"/>
          <w:color w:val="010000"/>
        </w:rPr>
      </w:pPr>
    </w:p>
    <w:p>
      <w:pPr>
        <w:ind w:right="140" w:firstLine="1041"/>
        <w:spacing w:after="0" w:line="267" w:lineRule="auto"/>
        <w:tabs>
          <w:tab w:leader="none" w:pos="1286" w:val="left"/>
        </w:tabs>
        <w:numPr>
          <w:ilvl w:val="0"/>
          <w:numId w:val="70"/>
        </w:numPr>
        <w:rPr>
          <w:rFonts w:ascii="Arial" w:cs="Arial" w:eastAsia="Arial" w:hAnsi="Arial"/>
          <w:sz w:val="18"/>
          <w:szCs w:val="18"/>
          <w:color w:val="010000"/>
        </w:rPr>
      </w:pPr>
      <w:r>
        <w:rPr>
          <w:rFonts w:ascii="Arial" w:cs="Arial" w:eastAsia="Arial" w:hAnsi="Arial"/>
          <w:sz w:val="18"/>
          <w:szCs w:val="18"/>
          <w:color w:val="010000"/>
        </w:rPr>
        <w:t>The Agent shall promptly (but in any event within two (2) Business Days) furnish written notice to each Person with whom a Concentration Account is maintained when a Cash Control Trigger Event is no longer continuing for purposes of this Agreement.</w:t>
      </w:r>
    </w:p>
    <w:p>
      <w:pPr>
        <w:spacing w:after="0" w:line="72" w:lineRule="exact"/>
        <w:rPr>
          <w:rFonts w:ascii="Arial" w:cs="Arial" w:eastAsia="Arial" w:hAnsi="Arial"/>
          <w:sz w:val="18"/>
          <w:szCs w:val="18"/>
          <w:color w:val="010000"/>
        </w:rPr>
      </w:pPr>
    </w:p>
    <w:p>
      <w:pPr>
        <w:ind w:firstLine="1041"/>
        <w:spacing w:after="0" w:line="288" w:lineRule="auto"/>
        <w:tabs>
          <w:tab w:leader="none" w:pos="1286" w:val="left"/>
        </w:tabs>
        <w:numPr>
          <w:ilvl w:val="0"/>
          <w:numId w:val="70"/>
        </w:numPr>
        <w:rPr>
          <w:rFonts w:ascii="Arial" w:cs="Arial" w:eastAsia="Arial" w:hAnsi="Arial"/>
          <w:sz w:val="16"/>
          <w:szCs w:val="16"/>
          <w:color w:val="010000"/>
        </w:rPr>
      </w:pPr>
      <w:r>
        <w:rPr>
          <w:rFonts w:ascii="Arial" w:cs="Arial" w:eastAsia="Arial" w:hAnsi="Arial"/>
          <w:sz w:val="16"/>
          <w:szCs w:val="16"/>
          <w:color w:val="010000"/>
        </w:rPr>
        <w:t>(i) Any amounts received in an Agent Sweep Account in the United States shall be applied to the payment (without a corresponding reduction of Commitments) of all of the Revolving Loans made to the Borrower (whether then due or not) and to the payment of all of the other Obligations under the Loan Documents of the Loan Parties (other than contingent obligations) (whether then due or not) in accordance with Section 6.04 (with all Revolving Loans deemed due for purposes thereof); (ii) all payments to be made in accordance with this subsection (h) in respect of Eurodollar Rate Revolving Loans shall be made on the last day of the applicable Interest Period therefor, and shall be held in the applicable Agent Sweep Account pending such payment and (iii) any remaining amounts shall be available for use by the Company and its Subsidiaries for additional working capital needs.</w:t>
      </w:r>
    </w:p>
    <w:p>
      <w:pPr>
        <w:spacing w:after="0" w:line="62" w:lineRule="exact"/>
        <w:rPr>
          <w:rFonts w:ascii="Arial" w:cs="Arial" w:eastAsia="Arial" w:hAnsi="Arial"/>
          <w:sz w:val="16"/>
          <w:szCs w:val="16"/>
          <w:color w:val="010000"/>
        </w:rPr>
      </w:pPr>
    </w:p>
    <w:p>
      <w:pPr>
        <w:ind w:left="1260" w:hanging="219"/>
        <w:spacing w:after="0"/>
        <w:tabs>
          <w:tab w:leader="none" w:pos="1260" w:val="left"/>
        </w:tabs>
        <w:numPr>
          <w:ilvl w:val="0"/>
          <w:numId w:val="70"/>
        </w:numPr>
        <w:rPr>
          <w:rFonts w:ascii="Arial" w:cs="Arial" w:eastAsia="Arial" w:hAnsi="Arial"/>
          <w:sz w:val="18"/>
          <w:szCs w:val="18"/>
          <w:color w:val="010000"/>
        </w:rPr>
      </w:pPr>
      <w:r>
        <w:rPr>
          <w:rFonts w:ascii="Arial" w:cs="Arial" w:eastAsia="Arial" w:hAnsi="Arial"/>
          <w:sz w:val="18"/>
          <w:szCs w:val="18"/>
          <w:color w:val="010000"/>
        </w:rPr>
        <w:t>The following shall apply to deposits and payments under and pursuant to this Agreement:</w:t>
      </w:r>
    </w:p>
    <w:p>
      <w:pPr>
        <w:spacing w:after="0" w:line="113" w:lineRule="exact"/>
        <w:rPr>
          <w:rFonts w:ascii="Arial" w:cs="Arial" w:eastAsia="Arial" w:hAnsi="Arial"/>
          <w:sz w:val="18"/>
          <w:szCs w:val="18"/>
          <w:color w:val="010000"/>
        </w:rPr>
      </w:pPr>
    </w:p>
    <w:p>
      <w:pPr>
        <w:ind w:right="300" w:firstLine="1559"/>
        <w:spacing w:after="0" w:line="257" w:lineRule="auto"/>
        <w:tabs>
          <w:tab w:leader="none" w:pos="1764" w:val="left"/>
        </w:tabs>
        <w:numPr>
          <w:ilvl w:val="1"/>
          <w:numId w:val="70"/>
        </w:numPr>
        <w:rPr>
          <w:rFonts w:ascii="Arial" w:cs="Arial" w:eastAsia="Arial" w:hAnsi="Arial"/>
          <w:sz w:val="18"/>
          <w:szCs w:val="18"/>
          <w:color w:val="010000"/>
        </w:rPr>
      </w:pPr>
      <w:r>
        <w:rPr>
          <w:rFonts w:ascii="Arial" w:cs="Arial" w:eastAsia="Arial" w:hAnsi="Arial"/>
          <w:sz w:val="18"/>
          <w:szCs w:val="18"/>
          <w:color w:val="010000"/>
        </w:rPr>
        <w:t xml:space="preserve">funds shall be deemed to have been deposited to an Agent Sweep Account on the Business Day on which deposited,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such deposit is available to the Agent by 2:00 p.m. on that Business Day (except that if the Obligations are being paid in full, by 2:00 p.m. on that Business Day);</w:t>
      </w:r>
    </w:p>
    <w:p>
      <w:pPr>
        <w:spacing w:after="0" w:line="81" w:lineRule="exact"/>
        <w:rPr>
          <w:rFonts w:ascii="Arial" w:cs="Arial" w:eastAsia="Arial" w:hAnsi="Arial"/>
          <w:sz w:val="18"/>
          <w:szCs w:val="18"/>
          <w:color w:val="010000"/>
        </w:rPr>
      </w:pPr>
    </w:p>
    <w:p>
      <w:pPr>
        <w:ind w:right="300" w:firstLine="1559"/>
        <w:spacing w:after="0" w:line="257" w:lineRule="auto"/>
        <w:tabs>
          <w:tab w:leader="none" w:pos="1814" w:val="left"/>
        </w:tabs>
        <w:numPr>
          <w:ilvl w:val="1"/>
          <w:numId w:val="70"/>
        </w:numPr>
        <w:rPr>
          <w:rFonts w:ascii="Arial" w:cs="Arial" w:eastAsia="Arial" w:hAnsi="Arial"/>
          <w:sz w:val="18"/>
          <w:szCs w:val="18"/>
          <w:color w:val="010000"/>
        </w:rPr>
      </w:pPr>
      <w:r>
        <w:rPr>
          <w:rFonts w:ascii="Arial" w:cs="Arial" w:eastAsia="Arial" w:hAnsi="Arial"/>
          <w:sz w:val="18"/>
          <w:szCs w:val="18"/>
          <w:color w:val="010000"/>
        </w:rPr>
        <w:t xml:space="preserve">funds paid to the Agent, other than by deposit to an Agent Sweep Account, shall be deemed to have been received on the Business Day when they are good and collected funds,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such payment is available to the Agent by 2:00 p.m. on that Business Day (except that if the Obligations are being paid in full, by 2:00 p.m. on that Business Day); and</w:t>
      </w:r>
    </w:p>
    <w:p>
      <w:pPr>
        <w:spacing w:after="0" w:line="81" w:lineRule="exact"/>
        <w:rPr>
          <w:rFonts w:ascii="Arial" w:cs="Arial" w:eastAsia="Arial" w:hAnsi="Arial"/>
          <w:sz w:val="18"/>
          <w:szCs w:val="18"/>
          <w:color w:val="010000"/>
        </w:rPr>
      </w:pPr>
    </w:p>
    <w:p>
      <w:pPr>
        <w:ind w:right="20" w:firstLine="1559"/>
        <w:spacing w:after="0" w:line="267" w:lineRule="auto"/>
        <w:tabs>
          <w:tab w:leader="none" w:pos="1863" w:val="left"/>
        </w:tabs>
        <w:numPr>
          <w:ilvl w:val="1"/>
          <w:numId w:val="70"/>
        </w:numPr>
        <w:rPr>
          <w:rFonts w:ascii="Arial" w:cs="Arial" w:eastAsia="Arial" w:hAnsi="Arial"/>
          <w:sz w:val="18"/>
          <w:szCs w:val="18"/>
          <w:color w:val="010000"/>
        </w:rPr>
      </w:pPr>
      <w:r>
        <w:rPr>
          <w:rFonts w:ascii="Arial" w:cs="Arial" w:eastAsia="Arial" w:hAnsi="Arial"/>
          <w:sz w:val="18"/>
          <w:szCs w:val="18"/>
          <w:color w:val="010000"/>
        </w:rPr>
        <w:t>if a deposit to an Agent Sweep Account or payment is not available to the Agent until after 2:00 p.m. on a Business Day, such deposit or payment shall be deemed to have been made at 9:00 a.m. on the then next Business Day.</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2.19. </w:t>
      </w:r>
      <w:r>
        <w:rPr>
          <w:rFonts w:ascii="Arial" w:cs="Arial" w:eastAsia="Arial" w:hAnsi="Arial"/>
          <w:sz w:val="18"/>
          <w:szCs w:val="18"/>
          <w:u w:val="single" w:color="auto"/>
          <w:color w:val="010000"/>
        </w:rPr>
        <w:t>Defaulting Lenders</w:t>
      </w:r>
      <w:r>
        <w:rPr>
          <w:rFonts w:ascii="Arial" w:cs="Arial" w:eastAsia="Arial" w:hAnsi="Arial"/>
          <w:sz w:val="18"/>
          <w:szCs w:val="18"/>
          <w:color w:val="010000"/>
        </w:rPr>
        <w:t>.</w:t>
      </w:r>
    </w:p>
    <w:p>
      <w:pPr>
        <w:spacing w:after="0" w:line="113" w:lineRule="exact"/>
        <w:rPr>
          <w:sz w:val="20"/>
          <w:szCs w:val="20"/>
          <w:color w:val="auto"/>
        </w:rPr>
      </w:pPr>
    </w:p>
    <w:p>
      <w:pPr>
        <w:ind w:right="80" w:firstLine="1041"/>
        <w:spacing w:after="0" w:line="282" w:lineRule="auto"/>
        <w:tabs>
          <w:tab w:leader="none" w:pos="1276" w:val="left"/>
        </w:tabs>
        <w:numPr>
          <w:ilvl w:val="0"/>
          <w:numId w:val="71"/>
        </w:numPr>
        <w:rPr>
          <w:rFonts w:ascii="Arial" w:cs="Arial" w:eastAsia="Arial" w:hAnsi="Arial"/>
          <w:sz w:val="16"/>
          <w:szCs w:val="16"/>
          <w:color w:val="010000"/>
        </w:rPr>
      </w:pPr>
      <w:r>
        <w:rPr>
          <w:rFonts w:ascii="Arial" w:cs="Arial" w:eastAsia="Arial" w:hAnsi="Arial"/>
          <w:sz w:val="16"/>
          <w:szCs w:val="16"/>
          <w:color w:val="010000"/>
        </w:rPr>
        <w:t>In the event that, at any time, (i) any Lender shall be a Defaulting Lender, such Defaulting Lender shall owe a Defaulted Revolving Loan to Borrower and (iii) Borrower shall be required to make any payment hereunder or under any other Loan Document to or for the account of such Defaulting Lender, then Borrower may, to the fullest extent permitted by applicable law, set off and otherwise apply the Obligation of the Borrower to make such payment to or for the account of such Defaulting Lender against the obligation of such Defaulting Lender to make such Defaulted Revolving Loan. In the event that, on any date, Borrower shall so set off and otherwise apply its obligation to make any such payment against the obligation of such Defaulting Lender to make any such Defaulted Revolving Loan on or prior to such date, the amount so set off and otherwise applied by Borrower shall constitute for all purposes of this Agreement and the other Loan Documents a Revolving Loan by such Defaulting Lender made on the date under the Revolving Credit Facility pursuant to which such Defaulted Revolving Loan was originally required to have been made pursuant to Section 2.01. Such Revolving Loan shall be considered, for all purposes of this Agreement, to comprise part of the Borrowing in connection with which such Defaulted Revolving Loan was originally required to have been made pursuant to Section 2.01, even if the other Revolving Loans comprising such Borrowing shall be Eurodollar Rate Revolving Loans on the date such Revolving Loan is deemed to be made pursuant to this subsection (a). Borrower shall notify the Agent at any time Borrower exercises its right of set-off pursuant to this subsection (a) and shall set forth in such notice (A) the name of the Defaulting Lender and the Defaulted Revolving Loan required to be made by such Defaulting Lender and (B) the amount set off and otherwise applied in respect of such Defaulted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95" w:name="page96"/>
    <w:bookmarkEnd w:id="95"/>
    <w:p>
      <w:pPr>
        <w:spacing w:after="0" w:line="257" w:lineRule="auto"/>
        <w:rPr>
          <w:sz w:val="20"/>
          <w:szCs w:val="20"/>
          <w:color w:val="auto"/>
        </w:rPr>
      </w:pPr>
      <w:r>
        <w:rPr>
          <w:rFonts w:ascii="Arial" w:cs="Arial" w:eastAsia="Arial" w:hAnsi="Arial"/>
          <w:sz w:val="18"/>
          <w:szCs w:val="18"/>
          <w:color w:val="010000"/>
        </w:rPr>
        <w:t>Revolving Loan pursuant to this subsection (a). Any portion of such payment otherwise required to be made by the Borrower to or for the account of such Defaulting Lender which is paid by the Borrower, after giving effect to the amount set off and otherwise applied by the Borrower pursuant to this subsection (a), shall be applied by the Agent as specified in subsection (b) or (c) of this Section 2.19.</w:t>
      </w:r>
    </w:p>
    <w:p>
      <w:pPr>
        <w:spacing w:after="0" w:line="82" w:lineRule="exact"/>
        <w:rPr>
          <w:sz w:val="20"/>
          <w:szCs w:val="20"/>
          <w:color w:val="auto"/>
        </w:rPr>
      </w:pPr>
    </w:p>
    <w:p>
      <w:pPr>
        <w:ind w:right="40" w:firstLine="1041"/>
        <w:spacing w:after="0" w:line="265" w:lineRule="auto"/>
        <w:tabs>
          <w:tab w:leader="none" w:pos="1286" w:val="left"/>
        </w:tabs>
        <w:numPr>
          <w:ilvl w:val="0"/>
          <w:numId w:val="72"/>
        </w:numPr>
        <w:rPr>
          <w:rFonts w:ascii="Arial" w:cs="Arial" w:eastAsia="Arial" w:hAnsi="Arial"/>
          <w:sz w:val="17"/>
          <w:szCs w:val="17"/>
          <w:color w:val="010000"/>
        </w:rPr>
      </w:pPr>
      <w:r>
        <w:rPr>
          <w:rFonts w:ascii="Arial" w:cs="Arial" w:eastAsia="Arial" w:hAnsi="Arial"/>
          <w:sz w:val="17"/>
          <w:szCs w:val="17"/>
          <w:color w:val="010000"/>
        </w:rPr>
        <w:t>In the event that, at any time, (i) any Lender shall be a Defaulting Lender, (ii) such Defaulting Lender shall owe a Defaulted Amount to the Agent or other applicable Lenders and (iii) Borrower shall make any payment hereunder or under any other Loan Document to the Agent for the account of such Defaulting Lender, then the Agent may, on its behalf or on behalf of such other Lenders and to the fullest extent permitted by applicable law, apply at such time the amount so paid by Borrower to or for the account of such Defaulting Lender to the payment of each such Defaulted Amount to the extent required to pay such Defaulted Amount. In the event that the Agent shall so apply any such amount to the payment of any such Defaulted Amount on any date, the amount so applied by the Agent shall constitute for all purposes of this Agreement and the other Loan Documents payment, to such extent, of such Defaulted Amount on such date. Any such amount so applied by the Agent shall be retained by the Agent or distributed by the Agent to such other Lenders, ratably in accordance with the respective portions of such Defaulted Amounts payable at such time to the Agent and such other Lenders and, if the amount of such payment made by Borrower shall at such time be insufficient to pay all Defaulted Amounts owing at such time to the Agent and the other Lenders, in the following order of priority:</w:t>
      </w:r>
    </w:p>
    <w:p>
      <w:pPr>
        <w:spacing w:after="0" w:line="81" w:lineRule="exact"/>
        <w:rPr>
          <w:rFonts w:ascii="Arial" w:cs="Arial" w:eastAsia="Arial" w:hAnsi="Arial"/>
          <w:sz w:val="17"/>
          <w:szCs w:val="17"/>
          <w:color w:val="010000"/>
        </w:rPr>
      </w:pPr>
    </w:p>
    <w:p>
      <w:pPr>
        <w:ind w:left="1780" w:hanging="221"/>
        <w:spacing w:after="0"/>
        <w:tabs>
          <w:tab w:leader="none" w:pos="1780" w:val="left"/>
        </w:tabs>
        <w:numPr>
          <w:ilvl w:val="1"/>
          <w:numId w:val="72"/>
        </w:numPr>
        <w:rPr>
          <w:rFonts w:ascii="Arial" w:cs="Arial" w:eastAsia="Arial" w:hAnsi="Arial"/>
          <w:sz w:val="18"/>
          <w:szCs w:val="18"/>
          <w:color w:val="010000"/>
        </w:rPr>
      </w:pPr>
      <w:r>
        <w:rPr>
          <w:rFonts w:ascii="Arial" w:cs="Arial" w:eastAsia="Arial" w:hAnsi="Arial"/>
          <w:sz w:val="18"/>
          <w:szCs w:val="18"/>
          <w:color w:val="010000"/>
        </w:rPr>
        <w:t>f</w:t>
      </w:r>
      <w:r>
        <w:rPr>
          <w:rFonts w:ascii="Arial" w:cs="Arial" w:eastAsia="Arial" w:hAnsi="Arial"/>
          <w:sz w:val="18"/>
          <w:szCs w:val="18"/>
          <w:i w:val="1"/>
          <w:iCs w:val="1"/>
          <w:color w:val="010000"/>
        </w:rPr>
        <w:t>irst,</w:t>
      </w:r>
      <w:r>
        <w:rPr>
          <w:rFonts w:ascii="Arial" w:cs="Arial" w:eastAsia="Arial" w:hAnsi="Arial"/>
          <w:sz w:val="18"/>
          <w:szCs w:val="18"/>
          <w:color w:val="010000"/>
        </w:rPr>
        <w:t xml:space="preserve"> to the Agent for any Defaulted Amount then owing to the Agent in its capacity as Agent; and</w:t>
      </w:r>
    </w:p>
    <w:p>
      <w:pPr>
        <w:spacing w:after="0" w:line="113" w:lineRule="exact"/>
        <w:rPr>
          <w:rFonts w:ascii="Arial" w:cs="Arial" w:eastAsia="Arial" w:hAnsi="Arial"/>
          <w:sz w:val="18"/>
          <w:szCs w:val="18"/>
          <w:color w:val="010000"/>
        </w:rPr>
      </w:pPr>
    </w:p>
    <w:p>
      <w:pPr>
        <w:ind w:right="280" w:firstLine="1559"/>
        <w:spacing w:after="0" w:line="267" w:lineRule="auto"/>
        <w:tabs>
          <w:tab w:leader="none" w:pos="1814" w:val="left"/>
        </w:tabs>
        <w:numPr>
          <w:ilvl w:val="1"/>
          <w:numId w:val="72"/>
        </w:numPr>
        <w:rPr>
          <w:rFonts w:ascii="Arial" w:cs="Arial" w:eastAsia="Arial" w:hAnsi="Arial"/>
          <w:sz w:val="18"/>
          <w:szCs w:val="18"/>
          <w:color w:val="010000"/>
        </w:rPr>
      </w:pPr>
      <w:r>
        <w:rPr>
          <w:rFonts w:ascii="Arial" w:cs="Arial" w:eastAsia="Arial" w:hAnsi="Arial"/>
          <w:sz w:val="18"/>
          <w:szCs w:val="18"/>
          <w:i w:val="1"/>
          <w:iCs w:val="1"/>
          <w:color w:val="010000"/>
        </w:rPr>
        <w:t xml:space="preserve">second, </w:t>
      </w:r>
      <w:r>
        <w:rPr>
          <w:rFonts w:ascii="Arial" w:cs="Arial" w:eastAsia="Arial" w:hAnsi="Arial"/>
          <w:sz w:val="18"/>
          <w:szCs w:val="18"/>
          <w:color w:val="010000"/>
        </w:rPr>
        <w:t>to the Issuing Banks for any Defaulted Amounts then owing to them, in their capacities as such, ratably in accordance with</w:t>
      </w:r>
      <w:r>
        <w:rPr>
          <w:rFonts w:ascii="Arial" w:cs="Arial" w:eastAsia="Arial" w:hAnsi="Arial"/>
          <w:sz w:val="18"/>
          <w:szCs w:val="18"/>
          <w:i w:val="1"/>
          <w:iCs w:val="1"/>
          <w:color w:val="010000"/>
        </w:rPr>
        <w:t xml:space="preserve"> </w:t>
      </w:r>
      <w:r>
        <w:rPr>
          <w:rFonts w:ascii="Arial" w:cs="Arial" w:eastAsia="Arial" w:hAnsi="Arial"/>
          <w:sz w:val="18"/>
          <w:szCs w:val="18"/>
          <w:color w:val="010000"/>
        </w:rPr>
        <w:t>such respective Defaulted Amounts then owing to the Issuing Banks; and</w:t>
      </w:r>
    </w:p>
    <w:p>
      <w:pPr>
        <w:spacing w:after="0" w:line="72" w:lineRule="exact"/>
        <w:rPr>
          <w:rFonts w:ascii="Arial" w:cs="Arial" w:eastAsia="Arial" w:hAnsi="Arial"/>
          <w:sz w:val="18"/>
          <w:szCs w:val="18"/>
          <w:color w:val="010000"/>
        </w:rPr>
      </w:pPr>
    </w:p>
    <w:p>
      <w:pPr>
        <w:ind w:right="140" w:firstLine="1559"/>
        <w:spacing w:after="0" w:line="267" w:lineRule="auto"/>
        <w:tabs>
          <w:tab w:leader="none" w:pos="1863" w:val="left"/>
        </w:tabs>
        <w:numPr>
          <w:ilvl w:val="1"/>
          <w:numId w:val="72"/>
        </w:numPr>
        <w:rPr>
          <w:rFonts w:ascii="Arial" w:cs="Arial" w:eastAsia="Arial" w:hAnsi="Arial"/>
          <w:sz w:val="18"/>
          <w:szCs w:val="18"/>
          <w:color w:val="010000"/>
        </w:rPr>
      </w:pPr>
      <w:r>
        <w:rPr>
          <w:rFonts w:ascii="Arial" w:cs="Arial" w:eastAsia="Arial" w:hAnsi="Arial"/>
          <w:sz w:val="18"/>
          <w:szCs w:val="18"/>
          <w:i w:val="1"/>
          <w:iCs w:val="1"/>
          <w:color w:val="010000"/>
        </w:rPr>
        <w:t xml:space="preserve">third, </w:t>
      </w:r>
      <w:r>
        <w:rPr>
          <w:rFonts w:ascii="Arial" w:cs="Arial" w:eastAsia="Arial" w:hAnsi="Arial"/>
          <w:sz w:val="18"/>
          <w:szCs w:val="18"/>
          <w:color w:val="010000"/>
        </w:rPr>
        <w:t>to any other Lenders for any Defaulted Amounts then owing to such other Lenders, ratably in accordance with such respective</w:t>
      </w:r>
      <w:r>
        <w:rPr>
          <w:rFonts w:ascii="Arial" w:cs="Arial" w:eastAsia="Arial" w:hAnsi="Arial"/>
          <w:sz w:val="18"/>
          <w:szCs w:val="18"/>
          <w:i w:val="1"/>
          <w:iCs w:val="1"/>
          <w:color w:val="010000"/>
        </w:rPr>
        <w:t xml:space="preserve"> </w:t>
      </w:r>
      <w:r>
        <w:rPr>
          <w:rFonts w:ascii="Arial" w:cs="Arial" w:eastAsia="Arial" w:hAnsi="Arial"/>
          <w:sz w:val="18"/>
          <w:szCs w:val="18"/>
          <w:color w:val="010000"/>
        </w:rPr>
        <w:t>Defaulted Amounts then owing to such other Lenders.</w:t>
      </w:r>
    </w:p>
    <w:p>
      <w:pPr>
        <w:spacing w:after="0" w:line="180"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Any portion of such amount paid by Borrower for the account of such Defaulting Lender remaining, after giving effect to the amount applied by the Agent pursuant to this subsection (b), shall be applied by the Agent as specified in subsection (c) of this Section 2.19.</w:t>
      </w:r>
    </w:p>
    <w:p>
      <w:pPr>
        <w:spacing w:after="0" w:line="73" w:lineRule="exact"/>
        <w:rPr>
          <w:sz w:val="20"/>
          <w:szCs w:val="20"/>
          <w:color w:val="auto"/>
        </w:rPr>
      </w:pPr>
    </w:p>
    <w:p>
      <w:pPr>
        <w:ind w:firstLine="1041"/>
        <w:spacing w:after="0" w:line="282" w:lineRule="auto"/>
        <w:tabs>
          <w:tab w:leader="none" w:pos="1276" w:val="left"/>
        </w:tabs>
        <w:numPr>
          <w:ilvl w:val="0"/>
          <w:numId w:val="73"/>
        </w:numPr>
        <w:rPr>
          <w:rFonts w:ascii="Arial" w:cs="Arial" w:eastAsia="Arial" w:hAnsi="Arial"/>
          <w:sz w:val="16"/>
          <w:szCs w:val="16"/>
          <w:color w:val="010000"/>
        </w:rPr>
      </w:pPr>
      <w:r>
        <w:rPr>
          <w:rFonts w:ascii="Arial" w:cs="Arial" w:eastAsia="Arial" w:hAnsi="Arial"/>
          <w:sz w:val="16"/>
          <w:szCs w:val="16"/>
          <w:color w:val="010000"/>
        </w:rPr>
        <w:t>In the event that, at any time, (i) any Lender shall be a Defaulting Lender, (ii) such Defaulting Lender shall not owe a Defaulted Revolving Loan or a Defaulted Amount and (iii) Borrower, the Agent or any other Lender shall be required to pay or distribute any amount hereunder or under any other Loan Document to or for the account of such Defaulting Lender, then Borrower or such other Lender shall pay such amount to the Agent to be held by the Agent, to the fullest extent permitted by applicable law, in escrow or the Agent shall, to the fullest extent permitted by applicable law, hold in escrow such amount otherwise held by it. Any funds held by the Agent in escrow under this subsection (c) shall be deposited by the Agent in an account with the Agent, in the name and under the control of the Agent, but subject to the provisions of this subsection (c). The terms applicable to such account, including the rate of interest payable with respect to the credit balance of such account from time to time, shall be the Agent’s standard terms applicable to escrow accounts maintained with it. Any interest credited to such account from time to time shall be held by the Agent in escrow under, and applied by the Agent from time to time in accordance with the provisions of, this subsection (c). The Agent shall, to the fullest extent permitted by applicable law, apply all funds so held in escrow from time to time to the extent necessary to make any Revolving Loans required to be made by such Defaulting Lender and to pay any amount payable by such Defaulting Lender hereunder and under the other Loan Documents to the Agent or any other Lender, as and when such Revolving Loans or amounts are required to be made or paid and, if the amount so held in escrow shall at any time be insufficient to make and pay all such Revolving Loans and amounts required to be made or paid at such time, in the following order of priority:</w:t>
      </w:r>
    </w:p>
    <w:p>
      <w:pPr>
        <w:spacing w:after="0" w:line="69" w:lineRule="exact"/>
        <w:rPr>
          <w:rFonts w:ascii="Arial" w:cs="Arial" w:eastAsia="Arial" w:hAnsi="Arial"/>
          <w:sz w:val="16"/>
          <w:szCs w:val="16"/>
          <w:color w:val="010000"/>
        </w:rPr>
      </w:pPr>
    </w:p>
    <w:p>
      <w:pPr>
        <w:ind w:left="1780" w:hanging="221"/>
        <w:spacing w:after="0"/>
        <w:tabs>
          <w:tab w:leader="none" w:pos="1780" w:val="left"/>
        </w:tabs>
        <w:numPr>
          <w:ilvl w:val="1"/>
          <w:numId w:val="73"/>
        </w:numPr>
        <w:rPr>
          <w:rFonts w:ascii="Arial" w:cs="Arial" w:eastAsia="Arial" w:hAnsi="Arial"/>
          <w:sz w:val="16"/>
          <w:szCs w:val="16"/>
          <w:color w:val="010000"/>
        </w:rPr>
      </w:pPr>
      <w:r>
        <w:rPr>
          <w:rFonts w:ascii="Arial" w:cs="Arial" w:eastAsia="Arial" w:hAnsi="Arial"/>
          <w:sz w:val="16"/>
          <w:szCs w:val="16"/>
          <w:i w:val="1"/>
          <w:iCs w:val="1"/>
          <w:color w:val="010000"/>
        </w:rPr>
        <w:t xml:space="preserve">first, </w:t>
      </w:r>
      <w:r>
        <w:rPr>
          <w:rFonts w:ascii="Arial" w:cs="Arial" w:eastAsia="Arial" w:hAnsi="Arial"/>
          <w:sz w:val="16"/>
          <w:szCs w:val="16"/>
          <w:color w:val="010000"/>
        </w:rPr>
        <w:t>to the Agent for any amount then due and payable by such Defaulting Lender to the Agent hereunder in its capacity as Agent;</w:t>
      </w:r>
    </w:p>
    <w:p>
      <w:pPr>
        <w:spacing w:after="0" w:line="136" w:lineRule="exact"/>
        <w:rPr>
          <w:rFonts w:ascii="Arial" w:cs="Arial" w:eastAsia="Arial" w:hAnsi="Arial"/>
          <w:sz w:val="16"/>
          <w:szCs w:val="16"/>
          <w:color w:val="010000"/>
        </w:rPr>
      </w:pPr>
    </w:p>
    <w:p>
      <w:pPr>
        <w:ind w:right="140" w:firstLine="1559"/>
        <w:spacing w:after="0" w:line="267" w:lineRule="auto"/>
        <w:tabs>
          <w:tab w:leader="none" w:pos="1814" w:val="left"/>
        </w:tabs>
        <w:numPr>
          <w:ilvl w:val="1"/>
          <w:numId w:val="73"/>
        </w:numPr>
        <w:rPr>
          <w:rFonts w:ascii="Arial" w:cs="Arial" w:eastAsia="Arial" w:hAnsi="Arial"/>
          <w:sz w:val="18"/>
          <w:szCs w:val="18"/>
          <w:color w:val="010000"/>
        </w:rPr>
      </w:pPr>
      <w:r>
        <w:rPr>
          <w:rFonts w:ascii="Arial" w:cs="Arial" w:eastAsia="Arial" w:hAnsi="Arial"/>
          <w:sz w:val="18"/>
          <w:szCs w:val="18"/>
          <w:i w:val="1"/>
          <w:iCs w:val="1"/>
          <w:color w:val="010000"/>
        </w:rPr>
        <w:t xml:space="preserve">second, </w:t>
      </w:r>
      <w:r>
        <w:rPr>
          <w:rFonts w:ascii="Arial" w:cs="Arial" w:eastAsia="Arial" w:hAnsi="Arial"/>
          <w:sz w:val="18"/>
          <w:szCs w:val="18"/>
          <w:color w:val="010000"/>
        </w:rPr>
        <w:t>to the Issuing Banks for any amounts then due and payable to them hereunder, in their capacities as such, by such Defaulting</w:t>
      </w:r>
      <w:r>
        <w:rPr>
          <w:rFonts w:ascii="Arial" w:cs="Arial" w:eastAsia="Arial" w:hAnsi="Arial"/>
          <w:sz w:val="18"/>
          <w:szCs w:val="18"/>
          <w:i w:val="1"/>
          <w:iCs w:val="1"/>
          <w:color w:val="010000"/>
        </w:rPr>
        <w:t xml:space="preserve"> </w:t>
      </w:r>
      <w:r>
        <w:rPr>
          <w:rFonts w:ascii="Arial" w:cs="Arial" w:eastAsia="Arial" w:hAnsi="Arial"/>
          <w:sz w:val="18"/>
          <w:szCs w:val="18"/>
          <w:color w:val="010000"/>
        </w:rPr>
        <w:t>Lender, ratably in accordance with such respective amounts then due and payable to the Issuing Banks;</w:t>
      </w:r>
    </w:p>
    <w:p>
      <w:pPr>
        <w:spacing w:after="0" w:line="72" w:lineRule="exact"/>
        <w:rPr>
          <w:rFonts w:ascii="Arial" w:cs="Arial" w:eastAsia="Arial" w:hAnsi="Arial"/>
          <w:sz w:val="18"/>
          <w:szCs w:val="18"/>
          <w:color w:val="010000"/>
        </w:rPr>
      </w:pPr>
    </w:p>
    <w:p>
      <w:pPr>
        <w:ind w:right="740" w:firstLine="1559"/>
        <w:spacing w:after="0" w:line="267" w:lineRule="auto"/>
        <w:tabs>
          <w:tab w:leader="none" w:pos="1863" w:val="left"/>
        </w:tabs>
        <w:numPr>
          <w:ilvl w:val="1"/>
          <w:numId w:val="73"/>
        </w:numPr>
        <w:rPr>
          <w:rFonts w:ascii="Arial" w:cs="Arial" w:eastAsia="Arial" w:hAnsi="Arial"/>
          <w:sz w:val="18"/>
          <w:szCs w:val="18"/>
          <w:color w:val="010000"/>
        </w:rPr>
      </w:pPr>
      <w:r>
        <w:rPr>
          <w:rFonts w:ascii="Arial" w:cs="Arial" w:eastAsia="Arial" w:hAnsi="Arial"/>
          <w:sz w:val="18"/>
          <w:szCs w:val="18"/>
          <w:i w:val="1"/>
          <w:iCs w:val="1"/>
          <w:color w:val="010000"/>
        </w:rPr>
        <w:t xml:space="preserve">third, </w:t>
      </w:r>
      <w:r>
        <w:rPr>
          <w:rFonts w:ascii="Arial" w:cs="Arial" w:eastAsia="Arial" w:hAnsi="Arial"/>
          <w:sz w:val="18"/>
          <w:szCs w:val="18"/>
          <w:color w:val="010000"/>
        </w:rPr>
        <w:t>to the Agent for any amount then due and payable by such Defaulting Lender in respect of Swingline Loans ratably in</w:t>
      </w:r>
      <w:r>
        <w:rPr>
          <w:rFonts w:ascii="Arial" w:cs="Arial" w:eastAsia="Arial" w:hAnsi="Arial"/>
          <w:sz w:val="18"/>
          <w:szCs w:val="18"/>
          <w:i w:val="1"/>
          <w:iCs w:val="1"/>
          <w:color w:val="010000"/>
        </w:rPr>
        <w:t xml:space="preserve"> </w:t>
      </w:r>
      <w:r>
        <w:rPr>
          <w:rFonts w:ascii="Arial" w:cs="Arial" w:eastAsia="Arial" w:hAnsi="Arial"/>
          <w:sz w:val="18"/>
          <w:szCs w:val="18"/>
          <w:color w:val="010000"/>
        </w:rPr>
        <w:t>accordance with such respective amounts and payable to Agent in respect of Swingline Loans;</w:t>
      </w:r>
    </w:p>
    <w:p>
      <w:pPr>
        <w:spacing w:after="0" w:line="72" w:lineRule="exact"/>
        <w:rPr>
          <w:rFonts w:ascii="Arial" w:cs="Arial" w:eastAsia="Arial" w:hAnsi="Arial"/>
          <w:sz w:val="18"/>
          <w:szCs w:val="18"/>
          <w:color w:val="010000"/>
        </w:rPr>
      </w:pPr>
    </w:p>
    <w:p>
      <w:pPr>
        <w:ind w:right="40" w:firstLine="1559"/>
        <w:spacing w:after="0" w:line="267" w:lineRule="auto"/>
        <w:tabs>
          <w:tab w:leader="none" w:pos="1853" w:val="left"/>
        </w:tabs>
        <w:numPr>
          <w:ilvl w:val="1"/>
          <w:numId w:val="73"/>
        </w:numPr>
        <w:rPr>
          <w:rFonts w:ascii="Arial" w:cs="Arial" w:eastAsia="Arial" w:hAnsi="Arial"/>
          <w:sz w:val="18"/>
          <w:szCs w:val="18"/>
          <w:color w:val="010000"/>
        </w:rPr>
      </w:pPr>
      <w:r>
        <w:rPr>
          <w:rFonts w:ascii="Arial" w:cs="Arial" w:eastAsia="Arial" w:hAnsi="Arial"/>
          <w:sz w:val="18"/>
          <w:szCs w:val="18"/>
          <w:i w:val="1"/>
          <w:iCs w:val="1"/>
          <w:color w:val="010000"/>
        </w:rPr>
        <w:t xml:space="preserve">fourth, </w:t>
      </w:r>
      <w:r>
        <w:rPr>
          <w:rFonts w:ascii="Arial" w:cs="Arial" w:eastAsia="Arial" w:hAnsi="Arial"/>
          <w:sz w:val="18"/>
          <w:szCs w:val="18"/>
          <w:color w:val="010000"/>
        </w:rPr>
        <w:t>to any other Lenders for any amount then due and payable by such Defaulting Lender to such other Lenders hereunder, ratably</w:t>
      </w:r>
      <w:r>
        <w:rPr>
          <w:rFonts w:ascii="Arial" w:cs="Arial" w:eastAsia="Arial" w:hAnsi="Arial"/>
          <w:sz w:val="18"/>
          <w:szCs w:val="18"/>
          <w:i w:val="1"/>
          <w:iCs w:val="1"/>
          <w:color w:val="010000"/>
        </w:rPr>
        <w:t xml:space="preserve"> </w:t>
      </w:r>
      <w:r>
        <w:rPr>
          <w:rFonts w:ascii="Arial" w:cs="Arial" w:eastAsia="Arial" w:hAnsi="Arial"/>
          <w:sz w:val="18"/>
          <w:szCs w:val="18"/>
          <w:color w:val="010000"/>
        </w:rPr>
        <w:t>in accordance with such respective amounts then due and payable to such other Lenders; and</w:t>
      </w:r>
    </w:p>
    <w:p>
      <w:pPr>
        <w:spacing w:after="0" w:line="72" w:lineRule="exact"/>
        <w:rPr>
          <w:rFonts w:ascii="Arial" w:cs="Arial" w:eastAsia="Arial" w:hAnsi="Arial"/>
          <w:sz w:val="18"/>
          <w:szCs w:val="18"/>
          <w:color w:val="010000"/>
        </w:rPr>
      </w:pPr>
    </w:p>
    <w:p>
      <w:pPr>
        <w:ind w:right="640" w:firstLine="1559"/>
        <w:spacing w:after="0" w:line="267" w:lineRule="auto"/>
        <w:tabs>
          <w:tab w:leader="none" w:pos="1804" w:val="left"/>
        </w:tabs>
        <w:numPr>
          <w:ilvl w:val="1"/>
          <w:numId w:val="73"/>
        </w:numPr>
        <w:rPr>
          <w:rFonts w:ascii="Arial" w:cs="Arial" w:eastAsia="Arial" w:hAnsi="Arial"/>
          <w:sz w:val="18"/>
          <w:szCs w:val="18"/>
          <w:color w:val="010000"/>
        </w:rPr>
      </w:pPr>
      <w:r>
        <w:rPr>
          <w:rFonts w:ascii="Arial" w:cs="Arial" w:eastAsia="Arial" w:hAnsi="Arial"/>
          <w:sz w:val="18"/>
          <w:szCs w:val="18"/>
          <w:i w:val="1"/>
          <w:iCs w:val="1"/>
          <w:color w:val="010000"/>
        </w:rPr>
        <w:t xml:space="preserve">fifth, </w:t>
      </w:r>
      <w:r>
        <w:rPr>
          <w:rFonts w:ascii="Arial" w:cs="Arial" w:eastAsia="Arial" w:hAnsi="Arial"/>
          <w:sz w:val="18"/>
          <w:szCs w:val="18"/>
          <w:color w:val="010000"/>
        </w:rPr>
        <w:t>to the Company, as applicable for any Revolving Loan then required to be made by such Defaulting Lender pursuant to a</w:t>
      </w:r>
      <w:r>
        <w:rPr>
          <w:rFonts w:ascii="Arial" w:cs="Arial" w:eastAsia="Arial" w:hAnsi="Arial"/>
          <w:sz w:val="18"/>
          <w:szCs w:val="18"/>
          <w:i w:val="1"/>
          <w:iCs w:val="1"/>
          <w:color w:val="010000"/>
        </w:rPr>
        <w:t xml:space="preserve"> </w:t>
      </w:r>
      <w:r>
        <w:rPr>
          <w:rFonts w:ascii="Arial" w:cs="Arial" w:eastAsia="Arial" w:hAnsi="Arial"/>
          <w:sz w:val="18"/>
          <w:szCs w:val="18"/>
          <w:color w:val="010000"/>
        </w:rPr>
        <w:t>Commitment of such Defaulting Lender.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96" w:name="page97"/>
    <w:bookmarkEnd w:id="96"/>
    <w:p>
      <w:pPr>
        <w:jc w:val="both"/>
        <w:ind w:right="100"/>
        <w:spacing w:after="0" w:line="304" w:lineRule="auto"/>
        <w:rPr>
          <w:sz w:val="20"/>
          <w:szCs w:val="20"/>
          <w:color w:val="auto"/>
        </w:rPr>
      </w:pPr>
      <w:r>
        <w:rPr>
          <w:rFonts w:ascii="Arial" w:cs="Arial" w:eastAsia="Arial" w:hAnsi="Arial"/>
          <w:sz w:val="16"/>
          <w:szCs w:val="16"/>
          <w:color w:val="auto"/>
        </w:rPr>
        <w:t>In the event that any Lender that is a Defaulting Lender shall, at any time, cease to be a Defaulting Lender, any funds held by the Agent in escrow at such time with respect to such Lender shall be distributed by the Agent to such Lender and applied by such Lender to the Obligations owing to such Lender at such time under this Agreement and the other Loan Documents ratably in accordance with the respective amounts of such Obligations outstanding at such time.</w:t>
      </w:r>
    </w:p>
    <w:p>
      <w:pPr>
        <w:spacing w:after="0" w:line="48" w:lineRule="exact"/>
        <w:rPr>
          <w:sz w:val="20"/>
          <w:szCs w:val="20"/>
          <w:color w:val="auto"/>
        </w:rPr>
      </w:pPr>
    </w:p>
    <w:p>
      <w:pPr>
        <w:ind w:right="40" w:firstLine="1041"/>
        <w:spacing w:after="0" w:line="257" w:lineRule="auto"/>
        <w:tabs>
          <w:tab w:leader="none" w:pos="1286" w:val="left"/>
        </w:tabs>
        <w:numPr>
          <w:ilvl w:val="0"/>
          <w:numId w:val="74"/>
        </w:numPr>
        <w:rPr>
          <w:rFonts w:ascii="Arial" w:cs="Arial" w:eastAsia="Arial" w:hAnsi="Arial"/>
          <w:sz w:val="18"/>
          <w:szCs w:val="18"/>
          <w:color w:val="010000"/>
        </w:rPr>
      </w:pPr>
      <w:r>
        <w:rPr>
          <w:rFonts w:ascii="Arial" w:cs="Arial" w:eastAsia="Arial" w:hAnsi="Arial"/>
          <w:sz w:val="18"/>
          <w:szCs w:val="18"/>
          <w:color w:val="010000"/>
        </w:rPr>
        <w:t>The rights and remedies against a Defaulting Lender under this Section 2.19 are in addition to other rights and remedies that Borrower may have against such Defaulting Lender with respect to any Defaulted Revolving Loan and that the Agent or any Lender may have against such Defaulting Lender with respect to any Defaulted Amount.</w:t>
      </w:r>
    </w:p>
    <w:p>
      <w:pPr>
        <w:spacing w:after="0" w:line="81" w:lineRule="exact"/>
        <w:rPr>
          <w:rFonts w:ascii="Arial" w:cs="Arial" w:eastAsia="Arial" w:hAnsi="Arial"/>
          <w:sz w:val="18"/>
          <w:szCs w:val="18"/>
          <w:color w:val="010000"/>
        </w:rPr>
      </w:pPr>
    </w:p>
    <w:p>
      <w:pPr>
        <w:ind w:right="100" w:firstLine="1041"/>
        <w:spacing w:after="0" w:line="270" w:lineRule="auto"/>
        <w:tabs>
          <w:tab w:leader="none" w:pos="1276" w:val="left"/>
        </w:tabs>
        <w:numPr>
          <w:ilvl w:val="0"/>
          <w:numId w:val="74"/>
        </w:numPr>
        <w:rPr>
          <w:rFonts w:ascii="Arial" w:cs="Arial" w:eastAsia="Arial" w:hAnsi="Arial"/>
          <w:sz w:val="17"/>
          <w:szCs w:val="17"/>
          <w:color w:val="010000"/>
        </w:rPr>
      </w:pPr>
      <w:r>
        <w:rPr>
          <w:rFonts w:ascii="Arial" w:cs="Arial" w:eastAsia="Arial" w:hAnsi="Arial"/>
          <w:sz w:val="17"/>
          <w:szCs w:val="17"/>
          <w:color w:val="010000"/>
        </w:rPr>
        <w:t>Anything contained herein to the contrary notwithstanding, in the event that (i) any Lender shall become a Defaulting Lender and (ii) such Defaulting Lender shall fail to cure the default as a result of which it has become a Defaulting Lender within five Business Days after the Company’s request that it cure such default, the Company shall have the right (but not the obligation) to repay such Defaulting Lender in an amount equal to the principal of, and all accrued interest on, all outstanding Revolving Loans owing to such Lender, together with all other amounts due and payable to such Lender under the Loan Documents, and such Lender’s Commitment hereunder shall be terminated immediately thereafter.</w:t>
      </w:r>
    </w:p>
    <w:p>
      <w:pPr>
        <w:spacing w:after="0" w:line="73" w:lineRule="exact"/>
        <w:rPr>
          <w:rFonts w:ascii="Arial" w:cs="Arial" w:eastAsia="Arial" w:hAnsi="Arial"/>
          <w:sz w:val="17"/>
          <w:szCs w:val="17"/>
          <w:color w:val="010000"/>
        </w:rPr>
      </w:pPr>
    </w:p>
    <w:p>
      <w:pPr>
        <w:ind w:right="40" w:firstLine="1041"/>
        <w:spacing w:after="0" w:line="287" w:lineRule="auto"/>
        <w:tabs>
          <w:tab w:leader="none" w:pos="1256" w:val="left"/>
        </w:tabs>
        <w:numPr>
          <w:ilvl w:val="0"/>
          <w:numId w:val="74"/>
        </w:numPr>
        <w:rPr>
          <w:rFonts w:ascii="Arial" w:cs="Arial" w:eastAsia="Arial" w:hAnsi="Arial"/>
          <w:sz w:val="16"/>
          <w:szCs w:val="16"/>
          <w:color w:val="010000"/>
        </w:rPr>
      </w:pPr>
      <w:r>
        <w:rPr>
          <w:rFonts w:ascii="Arial" w:cs="Arial" w:eastAsia="Arial" w:hAnsi="Arial"/>
          <w:sz w:val="16"/>
          <w:szCs w:val="16"/>
          <w:color w:val="010000"/>
        </w:rPr>
        <w:t xml:space="preserve">If any Lender becomes, and during the period it remains, a Defaulting Lender or a Potential Defaulting Lender, for purposes of computing the amount of the obligation of each Non-Defaulting Lender to acquire, refinance or fund participations in Letters of Credit pursuant to Section 2.03, the “Ratable Share” of each Non-Defaulting Lender under the Revolving Credit Facility shall be computed without giving effect to the Letter of Credit Commitment of that Defaulting Lender;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(i) each such reallocation shall be given effect only if, at the date the applicable Lender becomes a Defaulting Lender, no Default or Event of Default exists; and (ii) the aggregate obligation of each Non-Defaulting Lender to acquire, refinance or fund participations in Letters of Credit under the Revolving Credit Facility shall not exceed the positive difference, if any, of (1) the applicable Revolving Credit Commitment of that Non-Defaulting Lender minus (2) the aggregate Revolving Loans of that Lender under such Revolving Credit Facility.</w:t>
      </w:r>
    </w:p>
    <w:p>
      <w:pPr>
        <w:spacing w:after="0" w:line="60" w:lineRule="exact"/>
        <w:rPr>
          <w:rFonts w:ascii="Arial" w:cs="Arial" w:eastAsia="Arial" w:hAnsi="Arial"/>
          <w:sz w:val="16"/>
          <w:szCs w:val="16"/>
          <w:color w:val="010000"/>
        </w:rPr>
      </w:pPr>
    </w:p>
    <w:p>
      <w:pPr>
        <w:ind w:firstLine="1041"/>
        <w:spacing w:after="0" w:line="252" w:lineRule="auto"/>
        <w:tabs>
          <w:tab w:leader="none" w:pos="1286" w:val="left"/>
        </w:tabs>
        <w:numPr>
          <w:ilvl w:val="0"/>
          <w:numId w:val="74"/>
        </w:numPr>
        <w:rPr>
          <w:rFonts w:ascii="Arial" w:cs="Arial" w:eastAsia="Arial" w:hAnsi="Arial"/>
          <w:sz w:val="18"/>
          <w:szCs w:val="18"/>
          <w:color w:val="010000"/>
        </w:rPr>
      </w:pPr>
      <w:r>
        <w:rPr>
          <w:rFonts w:ascii="Arial" w:cs="Arial" w:eastAsia="Arial" w:hAnsi="Arial"/>
          <w:sz w:val="18"/>
          <w:szCs w:val="18"/>
          <w:color w:val="010000"/>
        </w:rPr>
        <w:t>Each Issuing Bank, may, by notice to the Company and such Defaulting Lender or Potential Defaulting Lender through the Agent, require the Borrower to Cash Collateralize the obligations of Borrower to such Issuing Bank in respect of such Letter of Credit in amount at least equal to the aggregate amount of the unreallocated obligations (contingent or otherwise) of such Defaulting Lender or such Potential Defaulting Lender in respect thereof, or to make other arrangements satisfactory to the Agent, and to the applicable Issuing Bank, in their sole discretion to protect them against the risk of non-payment by such Defaulting Lender or Potential Defaulting Lender.</w:t>
      </w:r>
    </w:p>
    <w:p>
      <w:pPr>
        <w:spacing w:after="0" w:line="86" w:lineRule="exact"/>
        <w:rPr>
          <w:rFonts w:ascii="Arial" w:cs="Arial" w:eastAsia="Arial" w:hAnsi="Arial"/>
          <w:sz w:val="18"/>
          <w:szCs w:val="18"/>
          <w:color w:val="010000"/>
        </w:rPr>
      </w:pPr>
    </w:p>
    <w:p>
      <w:pPr>
        <w:ind w:right="200" w:firstLine="1041"/>
        <w:spacing w:after="0" w:line="257" w:lineRule="auto"/>
        <w:tabs>
          <w:tab w:leader="none" w:pos="1286" w:val="left"/>
        </w:tabs>
        <w:numPr>
          <w:ilvl w:val="0"/>
          <w:numId w:val="74"/>
        </w:numPr>
        <w:rPr>
          <w:rFonts w:ascii="Arial" w:cs="Arial" w:eastAsia="Arial" w:hAnsi="Arial"/>
          <w:sz w:val="18"/>
          <w:szCs w:val="18"/>
          <w:color w:val="010000"/>
        </w:rPr>
      </w:pPr>
      <w:r>
        <w:rPr>
          <w:rFonts w:ascii="Arial" w:cs="Arial" w:eastAsia="Arial" w:hAnsi="Arial"/>
          <w:sz w:val="18"/>
          <w:szCs w:val="18"/>
          <w:color w:val="010000"/>
        </w:rPr>
        <w:t>If Borrower Cash Collateralizes any portion of a Defaulting Lender’s or a Potential Defaulting Lender’s exposure with respect to an outstanding Letter of Credit, Borrower shall not be required to pay any fees under Section 2.04(b)(i) to any Defaulting Lender or Potential Defaulting Lender that is a Lender at any time when the Letter of Credit is so Cash Collateralized.</w:t>
      </w:r>
    </w:p>
    <w:p>
      <w:pPr>
        <w:spacing w:after="0" w:line="81" w:lineRule="exact"/>
        <w:rPr>
          <w:rFonts w:ascii="Arial" w:cs="Arial" w:eastAsia="Arial" w:hAnsi="Arial"/>
          <w:sz w:val="18"/>
          <w:szCs w:val="18"/>
          <w:color w:val="010000"/>
        </w:rPr>
      </w:pPr>
    </w:p>
    <w:p>
      <w:pPr>
        <w:ind w:right="40" w:firstLine="1041"/>
        <w:spacing w:after="0" w:line="252" w:lineRule="auto"/>
        <w:tabs>
          <w:tab w:leader="none" w:pos="1246" w:val="left"/>
        </w:tabs>
        <w:numPr>
          <w:ilvl w:val="0"/>
          <w:numId w:val="74"/>
        </w:numPr>
        <w:rPr>
          <w:rFonts w:ascii="Arial" w:cs="Arial" w:eastAsia="Arial" w:hAnsi="Arial"/>
          <w:sz w:val="18"/>
          <w:szCs w:val="18"/>
          <w:color w:val="010000"/>
        </w:rPr>
      </w:pPr>
      <w:r>
        <w:rPr>
          <w:rFonts w:ascii="Arial" w:cs="Arial" w:eastAsia="Arial" w:hAnsi="Arial"/>
          <w:sz w:val="18"/>
          <w:szCs w:val="18"/>
          <w:color w:val="010000"/>
        </w:rPr>
        <w:t xml:space="preserve">If any Lender becomes, and during the period it remains, a Defaulting Lender or a Potential Defaulting Lender, for purposes of computing the amount of the obligation of each Non-Defaulting Lender to settle Swingline Loans pursuant to Sections 2.22, the “Ratable Share” of each Non-Defaulting Lender under the Revolving Credit Facility shall be computed without giving effect to such obligation of that Defaulting Lender;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the aggregate obligation of each Non-Defaulting Lender to settle Swingline Loans shall not exceed the Unused Revolving Credit Commitment of such Non-Defaulting Lender.</w:t>
      </w:r>
    </w:p>
    <w:p>
      <w:pPr>
        <w:spacing w:after="0" w:line="193" w:lineRule="exact"/>
        <w:rPr>
          <w:sz w:val="20"/>
          <w:szCs w:val="20"/>
          <w:color w:val="auto"/>
        </w:rPr>
      </w:pPr>
    </w:p>
    <w:p>
      <w:pPr>
        <w:ind w:right="20" w:firstLine="518"/>
        <w:spacing w:after="0" w:line="281" w:lineRule="auto"/>
        <w:rPr>
          <w:sz w:val="20"/>
          <w:szCs w:val="20"/>
          <w:color w:val="auto"/>
        </w:rPr>
      </w:pPr>
      <w:r>
        <w:rPr>
          <w:rFonts w:ascii="Arial" w:cs="Arial" w:eastAsia="Arial" w:hAnsi="Arial"/>
          <w:sz w:val="16"/>
          <w:szCs w:val="16"/>
          <w:color w:val="010000"/>
        </w:rPr>
        <w:t xml:space="preserve">SECTION 2.20. </w:t>
      </w:r>
      <w:r>
        <w:rPr>
          <w:rFonts w:ascii="Arial" w:cs="Arial" w:eastAsia="Arial" w:hAnsi="Arial"/>
          <w:sz w:val="16"/>
          <w:szCs w:val="16"/>
          <w:u w:val="single" w:color="auto"/>
          <w:color w:val="010000"/>
        </w:rPr>
        <w:t>Replacement of Certain Lenders</w:t>
      </w:r>
      <w:r>
        <w:rPr>
          <w:rFonts w:ascii="Arial" w:cs="Arial" w:eastAsia="Arial" w:hAnsi="Arial"/>
          <w:sz w:val="16"/>
          <w:szCs w:val="16"/>
          <w:color w:val="010000"/>
        </w:rPr>
        <w:t>. In the event a Lender (“</w:t>
      </w:r>
      <w:r>
        <w:rPr>
          <w:rFonts w:ascii="Arial" w:cs="Arial" w:eastAsia="Arial" w:hAnsi="Arial"/>
          <w:sz w:val="16"/>
          <w:szCs w:val="16"/>
          <w:u w:val="single" w:color="auto"/>
          <w:color w:val="010000"/>
        </w:rPr>
        <w:t>Affected Lender</w:t>
      </w:r>
      <w:r>
        <w:rPr>
          <w:rFonts w:ascii="Arial" w:cs="Arial" w:eastAsia="Arial" w:hAnsi="Arial"/>
          <w:sz w:val="16"/>
          <w:szCs w:val="16"/>
          <w:color w:val="010000"/>
        </w:rPr>
        <w:t xml:space="preserve">”) shall have (i) become a Defaulting Lender under Section 2.19, (ii) requested compensation from the Borrower under Section 2.14 with respect to Taxes or Other Taxes or with respect to increased costs or capital or under Section 2.11 or other additional costs incurred by such Lender which, in any case, are not being incurred generally by the other Lenders, (iii) has not agreed to any consent, waiver or amendment that requires the agreement of all Lenders or all affected Lenders in accordance with the terms of Section 9.01 and as to which the Required Lenders have agreed, or (iv) delivered a notice pursuant to Section 2.12 claiming that such Lender is unable to extend Eurodollar Rate Revolving Loans to the Borrower for reasons not generally applicable to the other Lenders, then, in any case, the Company or the Agent may make written demand on such Affected Lender (with a copy to the Agent in the case of a demand by the Company and a copy to the Company in the case of a demand by the Agent) for the Affected Lender to assign at par, and such Affected Lender shall use commercially reasonable efforts to assign pursuant to one or more duly executed Assignments and Acceptances five Business Days after the date of such demand, to one or more financial institutions that comply with the provisions of Section 9.08 which the Company or the Agent, as the case may be, shall have engaged for such purpose, all of such Affected Lender’s rights and obligations under this Agreement and the other Loan Documents (including, without limitation, its Commitment, all Revolving Loans owing to it, all of its participation interests in existing Letters of Credit, and its obligation to participate in additional Letters of Credit hereunder) in accordance with Section 9.08. The Agent is authorized to execute one or more of such Assignments and Acceptances as attorney-in-fact for any Affected Lender failing to execute and deliver the same within 5 Business Days after the date of such demand. Further, with respect to such assignment, the Affected Lender shall have concurrently received, in cash, all amounts due and owing to the Affected Lender hereunder or under any other Loan Document;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upon such Affected Lender’s replacement, such Affected Lender shall cease to be a party hereto but shall continue to be entitled to the benefits of Sections 2.11, 2.14 and 9.04, as well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97" w:name="page98"/>
    <w:bookmarkEnd w:id="97"/>
    <w:p>
      <w:pPr>
        <w:spacing w:after="0" w:line="331" w:lineRule="auto"/>
        <w:rPr>
          <w:sz w:val="20"/>
          <w:szCs w:val="20"/>
          <w:color w:val="auto"/>
        </w:rPr>
      </w:pPr>
      <w:r>
        <w:rPr>
          <w:rFonts w:ascii="Arial" w:cs="Arial" w:eastAsia="Arial" w:hAnsi="Arial"/>
          <w:sz w:val="16"/>
          <w:szCs w:val="16"/>
          <w:color w:val="010000"/>
        </w:rPr>
        <w:t>as to any fees accrued for its account hereunder and not yet paid, and shall continue to be obligated under Section 8.05 with respect to losses, obligations, liabilities, damages, penalties, actions, judgments, costs, expenses or disbursements for matters which occurred prior to the date the Affected Lender is replaced.</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2.21. </w:t>
      </w:r>
      <w:r>
        <w:rPr>
          <w:rFonts w:ascii="Arial" w:cs="Arial" w:eastAsia="Arial" w:hAnsi="Arial"/>
          <w:sz w:val="18"/>
          <w:szCs w:val="18"/>
          <w:u w:val="single" w:color="auto"/>
          <w:color w:val="010000"/>
        </w:rPr>
        <w:t>Increase in the Aggregate Revolving Credit Commitments</w:t>
      </w:r>
      <w:r>
        <w:rPr>
          <w:rFonts w:ascii="Arial" w:cs="Arial" w:eastAsia="Arial" w:hAnsi="Arial"/>
          <w:sz w:val="18"/>
          <w:szCs w:val="18"/>
          <w:color w:val="010000"/>
        </w:rPr>
        <w:t>.</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color w:val="010000"/>
        </w:rPr>
        <w:t>(a) Borrower may, at any time, and from time to time, by notice to the Agent, request an increase of the Revolving Credit Facility (a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010000"/>
        </w:rPr>
        <w:t>“</w:t>
      </w:r>
      <w:r>
        <w:rPr>
          <w:rFonts w:ascii="Arial" w:cs="Arial" w:eastAsia="Arial" w:hAnsi="Arial"/>
          <w:sz w:val="17"/>
          <w:szCs w:val="17"/>
          <w:u w:val="single" w:color="auto"/>
          <w:color w:val="010000"/>
        </w:rPr>
        <w:t>Commitment Increase</w:t>
      </w:r>
      <w:r>
        <w:rPr>
          <w:rFonts w:ascii="Arial" w:cs="Arial" w:eastAsia="Arial" w:hAnsi="Arial"/>
          <w:sz w:val="17"/>
          <w:szCs w:val="17"/>
          <w:color w:val="010000"/>
        </w:rPr>
        <w:t>”), either from existing Lenders or from additional parties approved by the Agent and the Issuing Banks after consultation with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010000"/>
        </w:rPr>
        <w:t>Borrower (such approval not to be unreasonably withheld, delayed or conditioned and to be limited to approval rights that such party would have with respect to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010000"/>
        </w:rPr>
        <w:t>an assignment of the loan). Each Commitment Increase shall be for an amount of $25,000,000 or an integral multiple of $1,000,000 in excess thereof (or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010000"/>
        </w:rPr>
        <w:t>remainder of such amount so that all such increases equal $50,000,000), to be effective as of a date that is at least 90 days prior to the Termination Date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010000"/>
        </w:rPr>
        <w:t>“</w:t>
      </w:r>
      <w:r>
        <w:rPr>
          <w:rFonts w:ascii="Arial" w:cs="Arial" w:eastAsia="Arial" w:hAnsi="Arial"/>
          <w:sz w:val="16"/>
          <w:szCs w:val="16"/>
          <w:u w:val="single" w:color="auto"/>
          <w:color w:val="010000"/>
        </w:rPr>
        <w:t>Increase Date</w:t>
      </w:r>
      <w:r>
        <w:rPr>
          <w:rFonts w:ascii="Arial" w:cs="Arial" w:eastAsia="Arial" w:hAnsi="Arial"/>
          <w:sz w:val="16"/>
          <w:szCs w:val="16"/>
          <w:color w:val="010000"/>
        </w:rPr>
        <w:t xml:space="preserve">”) as specified in the related notice to the Agent;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xml:space="preserve"> that (i) in no event shall the aggregate amount of all such Commitment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010000"/>
        </w:rPr>
        <w:t>Increases exceed $50,000,000, (ii) on the date of any request by the Company for a Commitment Increase and on the related Increase Date, no event shall have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010000"/>
        </w:rPr>
        <w:t>occurred and be continuing that constitutes a Default, and (iii) the Revolving Credit Commitment of each Lender or Eligible Assignee shall be in an amount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010000"/>
        </w:rPr>
        <w:t>$10,000,000 or an integral multiple of $5,000,000 in excess thereof.</w:t>
      </w:r>
    </w:p>
    <w:p>
      <w:pPr>
        <w:spacing w:after="0" w:line="102" w:lineRule="exact"/>
        <w:rPr>
          <w:sz w:val="20"/>
          <w:szCs w:val="20"/>
          <w:color w:val="auto"/>
        </w:rPr>
      </w:pPr>
    </w:p>
    <w:p>
      <w:pPr>
        <w:ind w:right="100" w:firstLine="1041"/>
        <w:spacing w:after="0" w:line="254" w:lineRule="auto"/>
        <w:tabs>
          <w:tab w:leader="none" w:pos="1286" w:val="left"/>
        </w:tabs>
        <w:numPr>
          <w:ilvl w:val="0"/>
          <w:numId w:val="75"/>
        </w:numPr>
        <w:rPr>
          <w:rFonts w:ascii="Arial" w:cs="Arial" w:eastAsia="Arial" w:hAnsi="Arial"/>
          <w:sz w:val="18"/>
          <w:szCs w:val="18"/>
          <w:color w:val="010000"/>
        </w:rPr>
      </w:pPr>
      <w:r>
        <w:rPr>
          <w:rFonts w:ascii="Arial" w:cs="Arial" w:eastAsia="Arial" w:hAnsi="Arial"/>
          <w:sz w:val="18"/>
          <w:szCs w:val="18"/>
          <w:color w:val="010000"/>
        </w:rPr>
        <w:t>If the applicable Lenders and Eligible Assignees that are asked to participate in the Commitment Increase notify the Agent that they are willing to so increase their respective Revolving Credit Commitments by an aggregate amount that exceeds the amount of the requested Commitment Increase, the requested Commitment Increase shall be allocated among such Lenders and Eligible Assignees willing to participate therein in such amounts as are determined by the Company in consultation with the Agent.</w:t>
      </w:r>
    </w:p>
    <w:p>
      <w:pPr>
        <w:spacing w:after="0" w:line="83" w:lineRule="exact"/>
        <w:rPr>
          <w:rFonts w:ascii="Arial" w:cs="Arial" w:eastAsia="Arial" w:hAnsi="Arial"/>
          <w:sz w:val="18"/>
          <w:szCs w:val="18"/>
          <w:color w:val="010000"/>
        </w:rPr>
      </w:pPr>
    </w:p>
    <w:p>
      <w:pPr>
        <w:ind w:right="60" w:firstLine="1041"/>
        <w:spacing w:after="0" w:line="283" w:lineRule="auto"/>
        <w:tabs>
          <w:tab w:leader="none" w:pos="1276" w:val="left"/>
        </w:tabs>
        <w:numPr>
          <w:ilvl w:val="0"/>
          <w:numId w:val="75"/>
        </w:numPr>
        <w:rPr>
          <w:rFonts w:ascii="Arial" w:cs="Arial" w:eastAsia="Arial" w:hAnsi="Arial"/>
          <w:sz w:val="16"/>
          <w:szCs w:val="16"/>
          <w:color w:val="010000"/>
        </w:rPr>
      </w:pPr>
      <w:r>
        <w:rPr>
          <w:rFonts w:ascii="Arial" w:cs="Arial" w:eastAsia="Arial" w:hAnsi="Arial"/>
          <w:sz w:val="16"/>
          <w:szCs w:val="16"/>
          <w:color w:val="010000"/>
        </w:rPr>
        <w:t>On each Increase Date, each party participating in the Commitment Increase that is not an existing Lender (an “</w:t>
      </w:r>
      <w:r>
        <w:rPr>
          <w:rFonts w:ascii="Arial" w:cs="Arial" w:eastAsia="Arial" w:hAnsi="Arial"/>
          <w:sz w:val="16"/>
          <w:szCs w:val="16"/>
          <w:u w:val="single" w:color="auto"/>
          <w:color w:val="010000"/>
        </w:rPr>
        <w:t>Assuming Lender</w:t>
      </w:r>
      <w:r>
        <w:rPr>
          <w:rFonts w:ascii="Arial" w:cs="Arial" w:eastAsia="Arial" w:hAnsi="Arial"/>
          <w:sz w:val="16"/>
          <w:szCs w:val="16"/>
          <w:color w:val="010000"/>
        </w:rPr>
        <w:t>”) shall become a Lender party to this Agreement as of such Increase Date and the Revolving Credit Commitment under the Revolving Credit Facility of each existing Lender participating in the Commitment Increase (an “</w:t>
      </w:r>
      <w:r>
        <w:rPr>
          <w:rFonts w:ascii="Arial" w:cs="Arial" w:eastAsia="Arial" w:hAnsi="Arial"/>
          <w:sz w:val="16"/>
          <w:szCs w:val="16"/>
          <w:u w:val="single" w:color="auto"/>
          <w:color w:val="010000"/>
        </w:rPr>
        <w:t>Increasing Lender</w:t>
      </w:r>
      <w:r>
        <w:rPr>
          <w:rFonts w:ascii="Arial" w:cs="Arial" w:eastAsia="Arial" w:hAnsi="Arial"/>
          <w:sz w:val="16"/>
          <w:szCs w:val="16"/>
          <w:color w:val="010000"/>
        </w:rPr>
        <w:t xml:space="preserve">”) shall be increased by the amount allocated to such Lender by Borrower as of such Increase Date;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(i) the Agent shall have received on or before such Increase Date the following, each dated such date: (A) certified copies of resolutions of the Board of Directors of Borrower or the Executive Committee of such Board approving the Commitment Increase and the corresponding modifications to this Agreement, (B) a customary opinion of counsel for the Borrower in form and substance reasonably satisfactory to the Agent, (C) an assumption agreement from each Assuming Lender, if any, in form and substance satisfactory to the Company and the Agent (each an “</w:t>
      </w:r>
      <w:r>
        <w:rPr>
          <w:rFonts w:ascii="Arial" w:cs="Arial" w:eastAsia="Arial" w:hAnsi="Arial"/>
          <w:sz w:val="16"/>
          <w:szCs w:val="16"/>
          <w:u w:val="single" w:color="auto"/>
          <w:color w:val="010000"/>
        </w:rPr>
        <w:t>Assumption</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Agreement</w:t>
      </w:r>
      <w:r>
        <w:rPr>
          <w:rFonts w:ascii="Arial" w:cs="Arial" w:eastAsia="Arial" w:hAnsi="Arial"/>
          <w:sz w:val="16"/>
          <w:szCs w:val="16"/>
          <w:color w:val="010000"/>
        </w:rPr>
        <w:t>”), duly executed by such Eligible Assignee, the Agent and the Company, and (D) confirmation from each Increasing Lender of the increase in the amount of its Revolving Credit Commitment under the Revolving Credit Facility in a writing satisfactory to the Company and the Agent; and (ii) there shall have been paid to each Lender providing an additional Commitment in connection with such increase in the Revolving Credit Facility all fees and expenses due and payable to such Person on or before the effectiveness of such increase.</w:t>
      </w:r>
    </w:p>
    <w:p>
      <w:pPr>
        <w:spacing w:after="0" w:line="17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On each Increase Date, upon fulfillment of the conditions set forth in the immediately preceding sentence of this Section 2.21(c), the Agent shall notify the Lenders (including, without limitation, each Assuming Lender) and the Borrower, on or before 1:00 p.m. (New York City time), by telecopier, of the occurrence of the Commitment Increase to be effected on such Increase Date and shall record in the Register the relevant information with respect to each Increasing Lender and each Assuming Lender on such date. Each Increasing Lender and each Assuming Lender shall, before 2:00 p.m. (New York City time) on the Increase Date, make available for the account of its Applicable Lending Office to the Agent at the Agent’s Account, in same day funds, in the case of such Assuming Lender, an amount equal to such Assuming Lender’s ratable portion of the Borrowings under the Revolving Credit Facility then outstanding (calculated based on its Revolving Credit Commitment as a percentage of the aggregate Revolving Credit Commitments under the Revolving Credit Facility outstanding after giving effect to the relevant Commitment Increase) and, in the case of such Increasing Lender, an amount equal to the excess of (i) such Increasing Lender’s ratable portion of the Borrowings under the Revolving Credit Facility then outstanding (calculated based on its Revolving Credit Commitment as a percentage of the aggregate Revolving Credit Commitments under the Revolving Credit Facility outstanding after giving effect to the relevant Commitment Increase) over (ii) such Increasing Lender’s ratable portion of the Borrowings under the Revolving Credit Facility then outstanding (calculated based on its Revolving Credit Commitment (without giving effect to the relevant Commitment Increase) as a percentage of the aggregate Revolving Credit Commitments under the Revolving Credit Facility (without giving effect to the relevant Commitment Increase). After the Agent’s receipt of such funds from each such Increasing Lender and each such Assuming Lender, the Agent will promptly thereafter cause to be distributed like funds to the other applicable Lenders for the account of their respective Applicable Lending Offices in an amount to each other applicable Lender such that the aggregate amount of the outstanding Revolving Loans owing to each applicable Lender after giving effect to such distribution equals such Lender’s ratable portion of the Borrowings under the Revolving Credit Facility then outstanding (calculated based on its Revolving Credit Commitment as a percentage of the aggregate Revolving Credit Commitments under the Revolving Credit Facility outstanding after giving effect to the relevant Commitment Increase).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98" w:name="page99"/>
    <w:bookmarkEnd w:id="98"/>
    <w:p>
      <w:pPr>
        <w:ind w:right="40" w:firstLine="1041"/>
        <w:spacing w:after="0" w:line="257" w:lineRule="auto"/>
        <w:tabs>
          <w:tab w:leader="none" w:pos="1286" w:val="left"/>
        </w:tabs>
        <w:numPr>
          <w:ilvl w:val="0"/>
          <w:numId w:val="76"/>
        </w:numPr>
        <w:rPr>
          <w:rFonts w:ascii="Arial" w:cs="Arial" w:eastAsia="Arial" w:hAnsi="Arial"/>
          <w:sz w:val="18"/>
          <w:szCs w:val="18"/>
          <w:color w:val="010000"/>
        </w:rPr>
      </w:pPr>
      <w:r>
        <w:rPr>
          <w:rFonts w:ascii="Arial" w:cs="Arial" w:eastAsia="Arial" w:hAnsi="Arial"/>
          <w:sz w:val="18"/>
          <w:szCs w:val="18"/>
          <w:color w:val="010000"/>
        </w:rPr>
        <w:t>In connection with any Commitment Increase, this Agreement and the other Loan Documents may be amended in a writing (which may be executed and delivered by the Borrower and the Agent) to reflect any technical changes necessary to give effect to such increase in accordance with its terms as set forth herein.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2.22. </w:t>
      </w:r>
      <w:r>
        <w:rPr>
          <w:rFonts w:ascii="Arial" w:cs="Arial" w:eastAsia="Arial" w:hAnsi="Arial"/>
          <w:sz w:val="18"/>
          <w:szCs w:val="18"/>
          <w:u w:val="single" w:color="auto"/>
          <w:color w:val="010000"/>
        </w:rPr>
        <w:t>Swingline Loans; Settlement</w:t>
      </w:r>
      <w:r>
        <w:rPr>
          <w:rFonts w:ascii="Arial" w:cs="Arial" w:eastAsia="Arial" w:hAnsi="Arial"/>
          <w:sz w:val="18"/>
          <w:szCs w:val="18"/>
          <w:color w:val="010000"/>
        </w:rPr>
        <w:t>.</w:t>
      </w:r>
    </w:p>
    <w:p>
      <w:pPr>
        <w:spacing w:after="0" w:line="113" w:lineRule="exact"/>
        <w:rPr>
          <w:sz w:val="20"/>
          <w:szCs w:val="20"/>
          <w:color w:val="auto"/>
        </w:rPr>
      </w:pPr>
    </w:p>
    <w:p>
      <w:pPr>
        <w:ind w:right="160" w:firstLine="1041"/>
        <w:spacing w:after="0" w:line="250" w:lineRule="auto"/>
        <w:tabs>
          <w:tab w:leader="none" w:pos="1276" w:val="left"/>
        </w:tabs>
        <w:numPr>
          <w:ilvl w:val="0"/>
          <w:numId w:val="77"/>
        </w:numPr>
        <w:rPr>
          <w:rFonts w:ascii="Arial" w:cs="Arial" w:eastAsia="Arial" w:hAnsi="Arial"/>
          <w:sz w:val="18"/>
          <w:szCs w:val="18"/>
          <w:color w:val="010000"/>
        </w:rPr>
      </w:pPr>
      <w:r>
        <w:rPr>
          <w:rFonts w:ascii="Arial" w:cs="Arial" w:eastAsia="Arial" w:hAnsi="Arial"/>
          <w:sz w:val="18"/>
          <w:szCs w:val="18"/>
          <w:color w:val="010000"/>
        </w:rPr>
        <w:t xml:space="preserve">Each Borrowing of Swingline Loans shall be made upon the Borrower’s irrevocable notice to the Agent, which may be given by telephone. Each such notice must be received by the Agent not later than 1:00 p.m. on the requested borrowing date, and shall specify (i) the amount to be borrowed, which shall be a minimum of $250,000, (ii) all Swingline Loans then outstanding shall not exceed $20,000,000 and (iii) the requested borrowing date, which shall be a Business Day. Each such telephonic notice must be confirmed promptly by delivery to the Agent of a written notice substantially in the form of </w:t>
      </w:r>
      <w:r>
        <w:rPr>
          <w:rFonts w:ascii="Arial" w:cs="Arial" w:eastAsia="Arial" w:hAnsi="Arial"/>
          <w:sz w:val="18"/>
          <w:szCs w:val="18"/>
          <w:u w:val="single" w:color="auto"/>
          <w:color w:val="010000"/>
        </w:rPr>
        <w:t>Exhibit B-2</w:t>
      </w:r>
      <w:r>
        <w:rPr>
          <w:rFonts w:ascii="Arial" w:cs="Arial" w:eastAsia="Arial" w:hAnsi="Arial"/>
          <w:sz w:val="18"/>
          <w:szCs w:val="18"/>
          <w:color w:val="010000"/>
        </w:rPr>
        <w:t xml:space="preserve"> (“Swingline Loan Notice”). Subject to the terms and conditions hereof, the Agent shall not later than 3:00 p.m. on the borrowing date specified in such Swingline Loan Notice, make the amount of such Swingline Loan available to the Borrower. Swingline Loans shall constitute Revolving Loans for all purposes, except that payments thereon shall be made to the Agent for its own account until Lenders have funded their participations therein as provided below.</w:t>
      </w:r>
    </w:p>
    <w:p>
      <w:pPr>
        <w:spacing w:after="0" w:line="88" w:lineRule="exact"/>
        <w:rPr>
          <w:rFonts w:ascii="Arial" w:cs="Arial" w:eastAsia="Arial" w:hAnsi="Arial"/>
          <w:sz w:val="18"/>
          <w:szCs w:val="18"/>
          <w:color w:val="010000"/>
        </w:rPr>
      </w:pPr>
    </w:p>
    <w:p>
      <w:pPr>
        <w:ind w:right="100" w:firstLine="1041"/>
        <w:spacing w:after="0" w:line="285" w:lineRule="auto"/>
        <w:tabs>
          <w:tab w:leader="none" w:pos="1286" w:val="left"/>
        </w:tabs>
        <w:numPr>
          <w:ilvl w:val="0"/>
          <w:numId w:val="77"/>
        </w:numPr>
        <w:rPr>
          <w:rFonts w:ascii="Arial" w:cs="Arial" w:eastAsia="Arial" w:hAnsi="Arial"/>
          <w:sz w:val="16"/>
          <w:szCs w:val="16"/>
          <w:color w:val="010000"/>
        </w:rPr>
      </w:pPr>
      <w:r>
        <w:rPr>
          <w:rFonts w:ascii="Arial" w:cs="Arial" w:eastAsia="Arial" w:hAnsi="Arial"/>
          <w:sz w:val="16"/>
          <w:szCs w:val="16"/>
          <w:color w:val="010000"/>
        </w:rPr>
        <w:t>Settlement of Revolving Loans, including Swingline Loans, among the Lenders and the Agent shall take place on a date determined from time to time by the Agent (but at least weekly), on a pro rata basis in accordance with a settlement report delivered by the Agent to the Lenders. Between settlement dates, the Agent may in its discretion apply payments on Revolving Loans to Swingline Loans, regardless of any designation by Borrower or any provision herein to the contrary. Each Lender hereby purchases, without recourse or warranty, an undivided pro rata participation in all Swingline Loans outstanding from time to time until settled. If a Swingline Loan cannot be settled among Lenders, whether due to a Loan Party’s Insolvency Proceeding or for any other reason, each Lender shall pay the amount of its participation in the Loan to the Agent, in immediately available funds, within one Business Day after the Agent’s request therefor. Lenders’ obligations to make settlements and to fund participations are absolute, irrevocable and unconditional, without offset, counterclaim or other defense, and whether or not the Commitments have terminated, an Overadvance exists or the conditions in Article III are satisfied.</w:t>
      </w:r>
    </w:p>
    <w:p>
      <w:pPr>
        <w:spacing w:after="0" w:line="172" w:lineRule="exact"/>
        <w:rPr>
          <w:sz w:val="20"/>
          <w:szCs w:val="20"/>
          <w:color w:val="auto"/>
        </w:rPr>
      </w:pPr>
    </w:p>
    <w:p>
      <w:pPr>
        <w:jc w:val="both"/>
        <w:ind w:right="80" w:firstLine="518"/>
        <w:spacing w:after="0" w:line="254" w:lineRule="auto"/>
        <w:rPr>
          <w:sz w:val="20"/>
          <w:szCs w:val="20"/>
          <w:color w:val="auto"/>
        </w:rPr>
      </w:pPr>
      <w:r>
        <w:rPr>
          <w:rFonts w:ascii="Arial" w:cs="Arial" w:eastAsia="Arial" w:hAnsi="Arial"/>
          <w:sz w:val="18"/>
          <w:szCs w:val="18"/>
          <w:color w:val="010000"/>
        </w:rPr>
        <w:t xml:space="preserve">SECTION 2.23. </w:t>
      </w:r>
      <w:r>
        <w:rPr>
          <w:rFonts w:ascii="Arial" w:cs="Arial" w:eastAsia="Arial" w:hAnsi="Arial"/>
          <w:sz w:val="18"/>
          <w:szCs w:val="18"/>
          <w:u w:val="single" w:color="auto"/>
          <w:color w:val="010000"/>
        </w:rPr>
        <w:t>Failure to Satisfy Conditions Precedent</w:t>
      </w:r>
      <w:r>
        <w:rPr>
          <w:rFonts w:ascii="Arial" w:cs="Arial" w:eastAsia="Arial" w:hAnsi="Arial"/>
          <w:sz w:val="18"/>
          <w:szCs w:val="18"/>
          <w:color w:val="010000"/>
        </w:rPr>
        <w:t>. If any Lender makes available to the Agent funds for any Revolving Loan to be made by such Lender as provided in the foregoing provisions of this Article II, and such funds are not made available to the Borrower by the Agent because the conditions to the applicable Revolving Loan set forth in Article III are not satisfied or waived in accordance with the terms hereof, the Agent shall return such funds (in like funds as received from such Lender) to such Lender, without interest.</w:t>
      </w:r>
    </w:p>
    <w:p>
      <w:pPr>
        <w:spacing w:after="0" w:line="191"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010000"/>
        </w:rPr>
        <w:t xml:space="preserve">SECTION 2.24. </w:t>
      </w:r>
      <w:r>
        <w:rPr>
          <w:rFonts w:ascii="Arial" w:cs="Arial" w:eastAsia="Arial" w:hAnsi="Arial"/>
          <w:sz w:val="16"/>
          <w:szCs w:val="16"/>
          <w:u w:val="single" w:color="auto"/>
          <w:color w:val="010000"/>
        </w:rPr>
        <w:t>Obligations of Lenders Several</w:t>
      </w:r>
      <w:r>
        <w:rPr>
          <w:rFonts w:ascii="Arial" w:cs="Arial" w:eastAsia="Arial" w:hAnsi="Arial"/>
          <w:sz w:val="16"/>
          <w:szCs w:val="16"/>
          <w:color w:val="010000"/>
        </w:rPr>
        <w:t>. The obligations of the Lenders hereunder to make Revolving Loans, to fund participations in Letters of Credit and to make payments are several and not joint. The failure of any Lender to make any Revolving Loan, to fund any such participation or to make any payment on any date required hereunder shall not relieve any other Lender of its corresponding obligation to do so on such date, and no Lender shall be responsible for the failure of any other Lender to so make its Revolving Loan, to purchase its participation or to make its payment hereunder.</w:t>
      </w:r>
    </w:p>
    <w:p>
      <w:pPr>
        <w:spacing w:after="0" w:line="162"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010000"/>
        </w:rPr>
        <w:t xml:space="preserve">SECTION 2.25. </w:t>
      </w:r>
      <w:r>
        <w:rPr>
          <w:rFonts w:ascii="Arial" w:cs="Arial" w:eastAsia="Arial" w:hAnsi="Arial"/>
          <w:sz w:val="16"/>
          <w:szCs w:val="16"/>
          <w:u w:val="single" w:color="auto"/>
          <w:color w:val="010000"/>
        </w:rPr>
        <w:t>Closing Date Transactions</w:t>
      </w:r>
      <w:r>
        <w:rPr>
          <w:rFonts w:ascii="Arial" w:cs="Arial" w:eastAsia="Arial" w:hAnsi="Arial"/>
          <w:sz w:val="16"/>
          <w:szCs w:val="16"/>
          <w:color w:val="010000"/>
        </w:rPr>
        <w:t xml:space="preserve">. The Lenders and Non-Consenting Lenders party hereto include all of the Lenders under the Existing Credit Agreement immediately prior to execution of this Agreement. The Lenders hereby consent to and approve the execution of this Agreement, the Security Agreement, the amendment and restatement of the Existing Credit Agreement and the transactions contemplated thereby (including the termination of the commitments of the Non-Consenting Lenders and the reallocation of commitments as set forth on Schedule I). The Non-Consenting Lenders hereby consent to and approve the termination of the commitments of the Non-Consenting Lenders and the reallocation of commitments as set forth on Schedule I. On the Closing Date, each Non-Consenting Lender shall have concurrently received, in cash, all amounts due and owing to such Non-Consenting Lender hereunder or under any other Loan Document;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upon the termination of the commitment of such Non-Consenting Lender on the Closing Date, such Non-Consenting Lender shall cease to be a party hereto but shall continue to be entitled to the benefits of Sections 2.11, 2.14 and 9.04, as well as to any fees accrued for its account hereunder and not yet paid, and shall continue to be obligated under Section 8.05 with respect to losses, obligations, liabilities, damages, penalties, actions, judgments, costs, expenses or disbursements for matters which occurred prior to the Closing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color w:val="auto"/>
        </w:rPr>
        <w:t>ARTICLE III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TO EFFECTIVENESS AND LENDING</w:t>
      </w:r>
    </w:p>
    <w:p>
      <w:pPr>
        <w:spacing w:after="0" w:line="220" w:lineRule="exact"/>
        <w:rPr>
          <w:sz w:val="20"/>
          <w:szCs w:val="20"/>
          <w:color w:val="auto"/>
        </w:rPr>
      </w:pPr>
    </w:p>
    <w:p>
      <w:pPr>
        <w:ind w:right="240" w:firstLine="518"/>
        <w:spacing w:after="0" w:line="267" w:lineRule="auto"/>
        <w:rPr>
          <w:sz w:val="20"/>
          <w:szCs w:val="20"/>
          <w:color w:val="auto"/>
        </w:rPr>
      </w:pPr>
      <w:r>
        <w:rPr>
          <w:rFonts w:ascii="Arial" w:cs="Arial" w:eastAsia="Arial" w:hAnsi="Arial"/>
          <w:sz w:val="18"/>
          <w:szCs w:val="18"/>
          <w:color w:val="010000"/>
        </w:rPr>
        <w:t xml:space="preserve">SECTION 3.01. </w:t>
      </w:r>
      <w:r>
        <w:rPr>
          <w:rFonts w:ascii="Arial" w:cs="Arial" w:eastAsia="Arial" w:hAnsi="Arial"/>
          <w:sz w:val="18"/>
          <w:szCs w:val="18"/>
          <w:u w:val="single" w:color="auto"/>
          <w:color w:val="010000"/>
        </w:rPr>
        <w:t>Conditions Precedent to Effectiveness</w:t>
      </w:r>
      <w:r>
        <w:rPr>
          <w:rFonts w:ascii="Arial" w:cs="Arial" w:eastAsia="Arial" w:hAnsi="Arial"/>
          <w:sz w:val="18"/>
          <w:szCs w:val="18"/>
          <w:color w:val="010000"/>
        </w:rPr>
        <w:t>. This Agreement shall be effective upon the satisfaction or waiver of the following conditions precedent in the determination of Agent:</w:t>
      </w:r>
    </w:p>
    <w:p>
      <w:pPr>
        <w:spacing w:after="0" w:line="73" w:lineRule="exact"/>
        <w:rPr>
          <w:sz w:val="20"/>
          <w:szCs w:val="20"/>
          <w:color w:val="auto"/>
        </w:rPr>
      </w:pPr>
    </w:p>
    <w:p>
      <w:pPr>
        <w:ind w:left="1280" w:hanging="239"/>
        <w:spacing w:after="0"/>
        <w:tabs>
          <w:tab w:leader="none" w:pos="1280" w:val="left"/>
        </w:tabs>
        <w:numPr>
          <w:ilvl w:val="0"/>
          <w:numId w:val="78"/>
        </w:numPr>
        <w:rPr>
          <w:rFonts w:ascii="Arial" w:cs="Arial" w:eastAsia="Arial" w:hAnsi="Arial"/>
          <w:sz w:val="17"/>
          <w:szCs w:val="17"/>
          <w:color w:val="010000"/>
        </w:rPr>
      </w:pPr>
      <w:r>
        <w:rPr>
          <w:rFonts w:ascii="Arial" w:cs="Arial" w:eastAsia="Arial" w:hAnsi="Arial"/>
          <w:sz w:val="17"/>
          <w:szCs w:val="17"/>
          <w:color w:val="010000"/>
        </w:rPr>
        <w:t>The Agent shall have received executed counterparts to this Agreement from the Company, each other Loan Party and each Lender;</w:t>
      </w:r>
    </w:p>
    <w:p>
      <w:pPr>
        <w:spacing w:after="0" w:line="124" w:lineRule="exact"/>
        <w:rPr>
          <w:rFonts w:ascii="Arial" w:cs="Arial" w:eastAsia="Arial" w:hAnsi="Arial"/>
          <w:sz w:val="17"/>
          <w:szCs w:val="17"/>
          <w:color w:val="010000"/>
        </w:rPr>
      </w:pPr>
    </w:p>
    <w:p>
      <w:pPr>
        <w:ind w:left="1300" w:hanging="259"/>
        <w:spacing w:after="0"/>
        <w:tabs>
          <w:tab w:leader="none" w:pos="1300" w:val="left"/>
        </w:tabs>
        <w:numPr>
          <w:ilvl w:val="0"/>
          <w:numId w:val="78"/>
        </w:numPr>
        <w:rPr>
          <w:rFonts w:ascii="Arial" w:cs="Arial" w:eastAsia="Arial" w:hAnsi="Arial"/>
          <w:sz w:val="17"/>
          <w:szCs w:val="17"/>
          <w:color w:val="010000"/>
        </w:rPr>
      </w:pPr>
      <w:r>
        <w:rPr>
          <w:rFonts w:ascii="Arial" w:cs="Arial" w:eastAsia="Arial" w:hAnsi="Arial"/>
          <w:sz w:val="17"/>
          <w:szCs w:val="17"/>
          <w:color w:val="010000"/>
        </w:rPr>
        <w:t>The Agent shall have received the following, each dated as of the Closing Date and in form and substance satisfactory to the Agent:</w:t>
      </w:r>
    </w:p>
    <w:p>
      <w:pPr>
        <w:spacing w:after="0" w:line="124" w:lineRule="exact"/>
        <w:rPr>
          <w:rFonts w:ascii="Arial" w:cs="Arial" w:eastAsia="Arial" w:hAnsi="Arial"/>
          <w:sz w:val="17"/>
          <w:szCs w:val="17"/>
          <w:color w:val="010000"/>
        </w:rPr>
      </w:pPr>
    </w:p>
    <w:p>
      <w:pPr>
        <w:ind w:left="1780" w:hanging="221"/>
        <w:spacing w:after="0"/>
        <w:tabs>
          <w:tab w:leader="none" w:pos="1780" w:val="left"/>
        </w:tabs>
        <w:numPr>
          <w:ilvl w:val="1"/>
          <w:numId w:val="78"/>
        </w:numPr>
        <w:rPr>
          <w:rFonts w:ascii="Arial" w:cs="Arial" w:eastAsia="Arial" w:hAnsi="Arial"/>
          <w:sz w:val="18"/>
          <w:szCs w:val="18"/>
          <w:color w:val="010000"/>
        </w:rPr>
      </w:pPr>
      <w:r>
        <w:rPr>
          <w:rFonts w:ascii="Arial" w:cs="Arial" w:eastAsia="Arial" w:hAnsi="Arial"/>
          <w:sz w:val="18"/>
          <w:szCs w:val="18"/>
          <w:color w:val="010000"/>
        </w:rPr>
        <w:t>A guarantee and collateral acknowledgement and reaffirmation executed and delivered by each Loan Party,</w:t>
      </w:r>
    </w:p>
    <w:p>
      <w:pPr>
        <w:spacing w:after="0" w:line="113" w:lineRule="exact"/>
        <w:rPr>
          <w:rFonts w:ascii="Arial" w:cs="Arial" w:eastAsia="Arial" w:hAnsi="Arial"/>
          <w:sz w:val="18"/>
          <w:szCs w:val="18"/>
          <w:color w:val="010000"/>
        </w:rPr>
      </w:pPr>
    </w:p>
    <w:p>
      <w:pPr>
        <w:ind w:left="1820" w:hanging="261"/>
        <w:spacing w:after="0"/>
        <w:tabs>
          <w:tab w:leader="none" w:pos="1820" w:val="left"/>
        </w:tabs>
        <w:numPr>
          <w:ilvl w:val="1"/>
          <w:numId w:val="78"/>
        </w:numPr>
        <w:rPr>
          <w:rFonts w:ascii="Arial" w:cs="Arial" w:eastAsia="Arial" w:hAnsi="Arial"/>
          <w:sz w:val="18"/>
          <w:szCs w:val="18"/>
          <w:color w:val="010000"/>
        </w:rPr>
      </w:pPr>
      <w:r>
        <w:rPr>
          <w:rFonts w:ascii="Arial" w:cs="Arial" w:eastAsia="Arial" w:hAnsi="Arial"/>
          <w:sz w:val="18"/>
          <w:szCs w:val="18"/>
          <w:color w:val="010000"/>
        </w:rPr>
        <w:t>Notes to the order of the Lenders to the extent requested by any Lender pursuant to Section 2.16,</w:t>
      </w:r>
    </w:p>
    <w:p>
      <w:pPr>
        <w:spacing w:after="0" w:line="113" w:lineRule="exact"/>
        <w:rPr>
          <w:rFonts w:ascii="Arial" w:cs="Arial" w:eastAsia="Arial" w:hAnsi="Arial"/>
          <w:sz w:val="18"/>
          <w:szCs w:val="18"/>
          <w:color w:val="010000"/>
        </w:rPr>
      </w:pPr>
    </w:p>
    <w:p>
      <w:pPr>
        <w:ind w:right="60" w:firstLine="1559"/>
        <w:spacing w:after="0" w:line="257" w:lineRule="auto"/>
        <w:tabs>
          <w:tab w:leader="none" w:pos="1863" w:val="left"/>
        </w:tabs>
        <w:numPr>
          <w:ilvl w:val="1"/>
          <w:numId w:val="78"/>
        </w:numPr>
        <w:rPr>
          <w:rFonts w:ascii="Arial" w:cs="Arial" w:eastAsia="Arial" w:hAnsi="Arial"/>
          <w:sz w:val="18"/>
          <w:szCs w:val="18"/>
          <w:color w:val="010000"/>
        </w:rPr>
      </w:pPr>
      <w:r>
        <w:rPr>
          <w:rFonts w:ascii="Arial" w:cs="Arial" w:eastAsia="Arial" w:hAnsi="Arial"/>
          <w:sz w:val="18"/>
          <w:szCs w:val="18"/>
          <w:color w:val="010000"/>
        </w:rPr>
        <w:t>Certified copies of the resolutions of the Board of Directors of each Loan Party approving each Loan Document to which it is a party, and of all documents evidencing other necessary corporate action and governmental approvals, if any, with respect to each Loan Document to which it is a party,</w:t>
      </w:r>
    </w:p>
    <w:p>
      <w:pPr>
        <w:spacing w:after="0" w:line="81" w:lineRule="exact"/>
        <w:rPr>
          <w:rFonts w:ascii="Arial" w:cs="Arial" w:eastAsia="Arial" w:hAnsi="Arial"/>
          <w:sz w:val="18"/>
          <w:szCs w:val="18"/>
          <w:color w:val="010000"/>
        </w:rPr>
      </w:pPr>
    </w:p>
    <w:p>
      <w:pPr>
        <w:jc w:val="both"/>
        <w:ind w:right="300" w:firstLine="1559"/>
        <w:spacing w:after="0" w:line="331" w:lineRule="auto"/>
        <w:tabs>
          <w:tab w:leader="none" w:pos="1853" w:val="left"/>
        </w:tabs>
        <w:numPr>
          <w:ilvl w:val="1"/>
          <w:numId w:val="78"/>
        </w:numPr>
        <w:rPr>
          <w:rFonts w:ascii="Arial" w:cs="Arial" w:eastAsia="Arial" w:hAnsi="Arial"/>
          <w:sz w:val="16"/>
          <w:szCs w:val="16"/>
          <w:color w:val="010000"/>
        </w:rPr>
      </w:pPr>
      <w:r>
        <w:rPr>
          <w:rFonts w:ascii="Arial" w:cs="Arial" w:eastAsia="Arial" w:hAnsi="Arial"/>
          <w:sz w:val="16"/>
          <w:szCs w:val="16"/>
          <w:color w:val="010000"/>
        </w:rPr>
        <w:t>A certificate of the secretary or an assistant secretary of each Loan Party certifying the names and true signatures of the officers of such Loan Party authorized to sign each Loan Document to which it is or is to be a party and the other documents to be delivered hereunder and thereunder,</w:t>
      </w:r>
    </w:p>
    <w:p>
      <w:pPr>
        <w:spacing w:after="0" w:line="25" w:lineRule="exact"/>
        <w:rPr>
          <w:rFonts w:ascii="Arial" w:cs="Arial" w:eastAsia="Arial" w:hAnsi="Arial"/>
          <w:sz w:val="16"/>
          <w:szCs w:val="16"/>
          <w:color w:val="010000"/>
        </w:rPr>
      </w:pPr>
    </w:p>
    <w:p>
      <w:pPr>
        <w:ind w:firstLine="1559"/>
        <w:spacing w:after="0" w:line="291" w:lineRule="auto"/>
        <w:tabs>
          <w:tab w:leader="none" w:pos="1804" w:val="left"/>
        </w:tabs>
        <w:numPr>
          <w:ilvl w:val="1"/>
          <w:numId w:val="78"/>
        </w:numPr>
        <w:rPr>
          <w:rFonts w:ascii="Arial" w:cs="Arial" w:eastAsia="Arial" w:hAnsi="Arial"/>
          <w:sz w:val="16"/>
          <w:szCs w:val="16"/>
          <w:color w:val="010000"/>
        </w:rPr>
      </w:pPr>
      <w:r>
        <w:rPr>
          <w:rFonts w:ascii="Arial" w:cs="Arial" w:eastAsia="Arial" w:hAnsi="Arial"/>
          <w:sz w:val="16"/>
          <w:szCs w:val="16"/>
          <w:color w:val="010000"/>
        </w:rPr>
        <w:t>Such certificates of good standing (to the extent such concept exists in such jurisdiction) from the applicable secretary of state or similar official of the jurisdiction of organization, formation documents and organizational documents of each Loan Party as the Agent may reasonably require, and such other documents as the Agent may reasonably require to evidence that each Loan Party qualified to engage in business in each jurisdiction where its ownership, lease or operation of properties or the conduct of its business requires such qualification, except for such jurisdictions to the extent that the Company reasonably determines the failure to so qualify in such jurisdiction would not reasonably be expected to have a Material Adverse Effect;</w:t>
      </w:r>
    </w:p>
    <w:p>
      <w:pPr>
        <w:spacing w:after="0" w:line="58" w:lineRule="exact"/>
        <w:rPr>
          <w:rFonts w:ascii="Arial" w:cs="Arial" w:eastAsia="Arial" w:hAnsi="Arial"/>
          <w:sz w:val="16"/>
          <w:szCs w:val="16"/>
          <w:color w:val="010000"/>
        </w:rPr>
      </w:pPr>
    </w:p>
    <w:p>
      <w:pPr>
        <w:ind w:left="1860" w:hanging="301"/>
        <w:spacing w:after="0"/>
        <w:tabs>
          <w:tab w:leader="none" w:pos="1860" w:val="left"/>
        </w:tabs>
        <w:numPr>
          <w:ilvl w:val="1"/>
          <w:numId w:val="78"/>
        </w:numPr>
        <w:rPr>
          <w:rFonts w:ascii="Arial" w:cs="Arial" w:eastAsia="Arial" w:hAnsi="Arial"/>
          <w:sz w:val="18"/>
          <w:szCs w:val="18"/>
          <w:color w:val="010000"/>
        </w:rPr>
      </w:pPr>
      <w:r>
        <w:rPr>
          <w:rFonts w:ascii="Arial" w:cs="Arial" w:eastAsia="Arial" w:hAnsi="Arial"/>
          <w:sz w:val="18"/>
          <w:szCs w:val="18"/>
          <w:color w:val="010000"/>
        </w:rPr>
        <w:t xml:space="preserve">a certificate of the chief financial officer of the Company, in the form attached hereto as </w:t>
      </w:r>
      <w:r>
        <w:rPr>
          <w:rFonts w:ascii="Arial" w:cs="Arial" w:eastAsia="Arial" w:hAnsi="Arial"/>
          <w:sz w:val="18"/>
          <w:szCs w:val="18"/>
          <w:u w:val="single" w:color="auto"/>
          <w:color w:val="010000"/>
        </w:rPr>
        <w:t>Exhibit D</w:t>
      </w:r>
      <w:r>
        <w:rPr>
          <w:rFonts w:ascii="Arial" w:cs="Arial" w:eastAsia="Arial" w:hAnsi="Arial"/>
          <w:sz w:val="18"/>
          <w:szCs w:val="18"/>
          <w:color w:val="010000"/>
        </w:rPr>
        <w:t>,</w:t>
      </w:r>
    </w:p>
    <w:p>
      <w:pPr>
        <w:spacing w:after="0" w:line="113" w:lineRule="exact"/>
        <w:rPr>
          <w:rFonts w:ascii="Arial" w:cs="Arial" w:eastAsia="Arial" w:hAnsi="Arial"/>
          <w:sz w:val="18"/>
          <w:szCs w:val="18"/>
          <w:color w:val="010000"/>
        </w:rPr>
      </w:pPr>
    </w:p>
    <w:p>
      <w:pPr>
        <w:ind w:left="1900" w:hanging="341"/>
        <w:spacing w:after="0"/>
        <w:tabs>
          <w:tab w:leader="none" w:pos="1900" w:val="left"/>
        </w:tabs>
        <w:numPr>
          <w:ilvl w:val="1"/>
          <w:numId w:val="78"/>
        </w:numPr>
        <w:rPr>
          <w:rFonts w:ascii="Arial" w:cs="Arial" w:eastAsia="Arial" w:hAnsi="Arial"/>
          <w:sz w:val="16"/>
          <w:szCs w:val="16"/>
          <w:color w:val="010000"/>
        </w:rPr>
      </w:pPr>
      <w:r>
        <w:rPr>
          <w:rFonts w:ascii="Arial" w:cs="Arial" w:eastAsia="Arial" w:hAnsi="Arial"/>
          <w:sz w:val="16"/>
          <w:szCs w:val="16"/>
          <w:color w:val="010000"/>
        </w:rPr>
        <w:t>Copies of a recent Lien and judgment search in each jurisdiction reasonably requested by the Agent with respect to the Loan Parties,</w:t>
      </w:r>
    </w:p>
    <w:p>
      <w:pPr>
        <w:spacing w:after="0" w:line="136" w:lineRule="exact"/>
        <w:rPr>
          <w:rFonts w:ascii="Arial" w:cs="Arial" w:eastAsia="Arial" w:hAnsi="Arial"/>
          <w:sz w:val="16"/>
          <w:szCs w:val="16"/>
          <w:color w:val="010000"/>
        </w:rPr>
      </w:pPr>
    </w:p>
    <w:p>
      <w:pPr>
        <w:ind w:left="1960" w:hanging="401"/>
        <w:spacing w:after="0"/>
        <w:tabs>
          <w:tab w:leader="none" w:pos="1960" w:val="left"/>
        </w:tabs>
        <w:numPr>
          <w:ilvl w:val="1"/>
          <w:numId w:val="78"/>
        </w:numPr>
        <w:rPr>
          <w:rFonts w:ascii="Arial" w:cs="Arial" w:eastAsia="Arial" w:hAnsi="Arial"/>
          <w:sz w:val="17"/>
          <w:szCs w:val="17"/>
          <w:color w:val="010000"/>
        </w:rPr>
      </w:pPr>
      <w:r>
        <w:rPr>
          <w:rFonts w:ascii="Arial" w:cs="Arial" w:eastAsia="Arial" w:hAnsi="Arial"/>
          <w:sz w:val="17"/>
          <w:szCs w:val="17"/>
          <w:color w:val="010000"/>
        </w:rPr>
        <w:t>A certificate from the Responsible Officer of the Company as to the matters set forth in Sections 3.01(d), 3.01(g) and 3.01(k),</w:t>
      </w:r>
    </w:p>
    <w:p>
      <w:pPr>
        <w:spacing w:after="0" w:line="124" w:lineRule="exact"/>
        <w:rPr>
          <w:rFonts w:ascii="Arial" w:cs="Arial" w:eastAsia="Arial" w:hAnsi="Arial"/>
          <w:sz w:val="17"/>
          <w:szCs w:val="17"/>
          <w:color w:val="010000"/>
        </w:rPr>
      </w:pPr>
    </w:p>
    <w:p>
      <w:pPr>
        <w:ind w:right="220" w:firstLine="1559"/>
        <w:spacing w:after="0" w:line="257" w:lineRule="auto"/>
        <w:tabs>
          <w:tab w:leader="none" w:pos="1853" w:val="left"/>
        </w:tabs>
        <w:numPr>
          <w:ilvl w:val="1"/>
          <w:numId w:val="78"/>
        </w:numPr>
        <w:rPr>
          <w:rFonts w:ascii="Arial" w:cs="Arial" w:eastAsia="Arial" w:hAnsi="Arial"/>
          <w:sz w:val="18"/>
          <w:szCs w:val="18"/>
          <w:color w:val="010000"/>
        </w:rPr>
      </w:pPr>
      <w:r>
        <w:rPr>
          <w:rFonts w:ascii="Arial" w:cs="Arial" w:eastAsia="Arial" w:hAnsi="Arial"/>
          <w:sz w:val="18"/>
          <w:szCs w:val="18"/>
          <w:color w:val="010000"/>
        </w:rPr>
        <w:t>certificates of insurance with respect to the Loan Parties’ property and liability insurance, together with a loss payable endorsement naming the Agent as loss payee; provided that the Agent and the Arrangers acknowledge and confirm they have received the certificates required by this subclause (ix) in form and substance that is reasonably satisfactory,</w:t>
      </w:r>
    </w:p>
    <w:p>
      <w:pPr>
        <w:spacing w:after="0" w:line="81" w:lineRule="exact"/>
        <w:rPr>
          <w:rFonts w:ascii="Arial" w:cs="Arial" w:eastAsia="Arial" w:hAnsi="Arial"/>
          <w:sz w:val="18"/>
          <w:szCs w:val="18"/>
          <w:color w:val="010000"/>
        </w:rPr>
      </w:pPr>
    </w:p>
    <w:p>
      <w:pPr>
        <w:ind w:left="1820" w:hanging="261"/>
        <w:spacing w:after="0"/>
        <w:tabs>
          <w:tab w:leader="none" w:pos="1820" w:val="left"/>
        </w:tabs>
        <w:numPr>
          <w:ilvl w:val="1"/>
          <w:numId w:val="78"/>
        </w:numPr>
        <w:rPr>
          <w:rFonts w:ascii="Arial" w:cs="Arial" w:eastAsia="Arial" w:hAnsi="Arial"/>
          <w:sz w:val="16"/>
          <w:szCs w:val="16"/>
          <w:color w:val="010000"/>
        </w:rPr>
      </w:pPr>
      <w:r>
        <w:rPr>
          <w:rFonts w:ascii="Arial" w:cs="Arial" w:eastAsia="Arial" w:hAnsi="Arial"/>
          <w:sz w:val="16"/>
          <w:szCs w:val="16"/>
          <w:color w:val="010000"/>
        </w:rPr>
        <w:t>A customary legal opinion of Sullivan &amp; Cromwell, special counsel for the Company, in form and substance reasonably satisfactory to</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the Agent, and</w:t>
      </w:r>
    </w:p>
    <w:p>
      <w:pPr>
        <w:spacing w:after="0" w:line="102" w:lineRule="exact"/>
        <w:rPr>
          <w:rFonts w:ascii="Arial" w:cs="Arial" w:eastAsia="Arial" w:hAnsi="Arial"/>
          <w:sz w:val="16"/>
          <w:szCs w:val="16"/>
          <w:color w:val="010000"/>
        </w:rPr>
      </w:pPr>
    </w:p>
    <w:p>
      <w:pPr>
        <w:ind w:left="1860" w:hanging="301"/>
        <w:spacing w:after="0"/>
        <w:tabs>
          <w:tab w:leader="none" w:pos="1860" w:val="left"/>
        </w:tabs>
        <w:numPr>
          <w:ilvl w:val="1"/>
          <w:numId w:val="78"/>
        </w:numPr>
        <w:rPr>
          <w:rFonts w:ascii="Arial" w:cs="Arial" w:eastAsia="Arial" w:hAnsi="Arial"/>
          <w:sz w:val="16"/>
          <w:szCs w:val="16"/>
          <w:color w:val="010000"/>
        </w:rPr>
      </w:pPr>
      <w:r>
        <w:rPr>
          <w:rFonts w:ascii="Arial" w:cs="Arial" w:eastAsia="Arial" w:hAnsi="Arial"/>
          <w:sz w:val="16"/>
          <w:szCs w:val="16"/>
          <w:color w:val="010000"/>
        </w:rPr>
        <w:t>A customary legal opinion of Day Pitney LLP, New Jersey counsel for the Company, in form and substance reasonably satisfactory to</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the Agent.</w:t>
      </w:r>
    </w:p>
    <w:p>
      <w:pPr>
        <w:spacing w:after="0" w:line="102" w:lineRule="exact"/>
        <w:rPr>
          <w:rFonts w:ascii="Arial" w:cs="Arial" w:eastAsia="Arial" w:hAnsi="Arial"/>
          <w:sz w:val="16"/>
          <w:szCs w:val="16"/>
          <w:color w:val="010000"/>
        </w:rPr>
      </w:pPr>
    </w:p>
    <w:p>
      <w:pPr>
        <w:ind w:right="40" w:firstLine="1041"/>
        <w:spacing w:after="0" w:line="257" w:lineRule="auto"/>
        <w:tabs>
          <w:tab w:leader="none" w:pos="1276" w:val="left"/>
        </w:tabs>
        <w:numPr>
          <w:ilvl w:val="0"/>
          <w:numId w:val="78"/>
        </w:numPr>
        <w:rPr>
          <w:rFonts w:ascii="Arial" w:cs="Arial" w:eastAsia="Arial" w:hAnsi="Arial"/>
          <w:sz w:val="18"/>
          <w:szCs w:val="18"/>
          <w:color w:val="010000"/>
        </w:rPr>
      </w:pPr>
      <w:r>
        <w:rPr>
          <w:rFonts w:ascii="Arial" w:cs="Arial" w:eastAsia="Arial" w:hAnsi="Arial"/>
          <w:sz w:val="18"/>
          <w:szCs w:val="18"/>
          <w:color w:val="010000"/>
        </w:rPr>
        <w:t>The Agent shall have received a Borrowing Base Certificate as of the most recent calendar month-end if the Closing Date is after the 20th day of a month or otherwise as of the end of the second most recent prior calendar month with customary supporting documentation and supplemental reporting to be reasonably agreed by the Agent and the Company.</w:t>
      </w:r>
    </w:p>
    <w:p>
      <w:pPr>
        <w:spacing w:after="0" w:line="81" w:lineRule="exact"/>
        <w:rPr>
          <w:rFonts w:ascii="Arial" w:cs="Arial" w:eastAsia="Arial" w:hAnsi="Arial"/>
          <w:sz w:val="18"/>
          <w:szCs w:val="18"/>
          <w:color w:val="010000"/>
        </w:rPr>
      </w:pPr>
    </w:p>
    <w:p>
      <w:pPr>
        <w:ind w:right="260" w:firstLine="1041"/>
        <w:spacing w:after="0" w:line="267" w:lineRule="auto"/>
        <w:tabs>
          <w:tab w:leader="none" w:pos="1286" w:val="left"/>
        </w:tabs>
        <w:numPr>
          <w:ilvl w:val="0"/>
          <w:numId w:val="78"/>
        </w:numPr>
        <w:rPr>
          <w:rFonts w:ascii="Arial" w:cs="Arial" w:eastAsia="Arial" w:hAnsi="Arial"/>
          <w:sz w:val="18"/>
          <w:szCs w:val="18"/>
          <w:color w:val="010000"/>
        </w:rPr>
      </w:pPr>
      <w:r>
        <w:rPr>
          <w:rFonts w:ascii="Arial" w:cs="Arial" w:eastAsia="Arial" w:hAnsi="Arial"/>
          <w:sz w:val="18"/>
          <w:szCs w:val="18"/>
          <w:color w:val="010000"/>
        </w:rPr>
        <w:t>No material adverse change in the business, operations, financial condition or assets of Loan Parties (taken as a whole) shall have occurred since December 31, 2015.</w:t>
      </w:r>
    </w:p>
    <w:p>
      <w:pPr>
        <w:spacing w:after="0" w:line="72" w:lineRule="exact"/>
        <w:rPr>
          <w:rFonts w:ascii="Arial" w:cs="Arial" w:eastAsia="Arial" w:hAnsi="Arial"/>
          <w:sz w:val="18"/>
          <w:szCs w:val="18"/>
          <w:color w:val="010000"/>
        </w:rPr>
      </w:pPr>
    </w:p>
    <w:p>
      <w:pPr>
        <w:ind w:right="20" w:firstLine="1041"/>
        <w:spacing w:after="0" w:line="254" w:lineRule="auto"/>
        <w:tabs>
          <w:tab w:leader="none" w:pos="1276" w:val="left"/>
        </w:tabs>
        <w:numPr>
          <w:ilvl w:val="0"/>
          <w:numId w:val="78"/>
        </w:numPr>
        <w:rPr>
          <w:rFonts w:ascii="Arial" w:cs="Arial" w:eastAsia="Arial" w:hAnsi="Arial"/>
          <w:sz w:val="18"/>
          <w:szCs w:val="18"/>
          <w:color w:val="010000"/>
        </w:rPr>
      </w:pPr>
      <w:r>
        <w:rPr>
          <w:rFonts w:ascii="Arial" w:cs="Arial" w:eastAsia="Arial" w:hAnsi="Arial"/>
          <w:sz w:val="18"/>
          <w:szCs w:val="18"/>
          <w:color w:val="010000"/>
        </w:rPr>
        <w:t xml:space="preserve">The Agent and Arrangers, shall have received, in form and substance satisfactory to them, unaudited interim consolidated financial statements of the Company for each quarterly period ended subsequent to the date of the latest financial statements delivered to Arrangers prior to the Closing Date;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the Agent and the Arrangers acknowledge and confirm they have received the information required by this paragraph in form and substance that is reasonably satisfactory.</w:t>
      </w:r>
    </w:p>
    <w:p>
      <w:pPr>
        <w:spacing w:after="0" w:line="83" w:lineRule="exact"/>
        <w:rPr>
          <w:rFonts w:ascii="Arial" w:cs="Arial" w:eastAsia="Arial" w:hAnsi="Arial"/>
          <w:sz w:val="18"/>
          <w:szCs w:val="18"/>
          <w:color w:val="010000"/>
        </w:rPr>
      </w:pPr>
    </w:p>
    <w:p>
      <w:pPr>
        <w:ind w:right="800" w:firstLine="1041"/>
        <w:spacing w:after="0" w:line="267" w:lineRule="auto"/>
        <w:tabs>
          <w:tab w:leader="none" w:pos="1256" w:val="left"/>
        </w:tabs>
        <w:numPr>
          <w:ilvl w:val="0"/>
          <w:numId w:val="78"/>
        </w:numPr>
        <w:rPr>
          <w:rFonts w:ascii="Arial" w:cs="Arial" w:eastAsia="Arial" w:hAnsi="Arial"/>
          <w:sz w:val="18"/>
          <w:szCs w:val="18"/>
          <w:color w:val="010000"/>
        </w:rPr>
      </w:pPr>
      <w:r>
        <w:rPr>
          <w:rFonts w:ascii="Arial" w:cs="Arial" w:eastAsia="Arial" w:hAnsi="Arial"/>
          <w:sz w:val="18"/>
          <w:szCs w:val="18"/>
          <w:color w:val="010000"/>
        </w:rPr>
        <w:t>Satisfactory evidence that the Company has received all governmental and third party consents and approvals as may be required in connection with the Revolving Credit Facility and the transactions contemplated thereby.</w:t>
      </w:r>
    </w:p>
    <w:p>
      <w:pPr>
        <w:spacing w:after="0" w:line="72" w:lineRule="exact"/>
        <w:rPr>
          <w:rFonts w:ascii="Arial" w:cs="Arial" w:eastAsia="Arial" w:hAnsi="Arial"/>
          <w:sz w:val="18"/>
          <w:szCs w:val="18"/>
          <w:color w:val="010000"/>
        </w:rPr>
      </w:pPr>
    </w:p>
    <w:p>
      <w:pPr>
        <w:jc w:val="both"/>
        <w:ind w:right="620" w:firstLine="1041"/>
        <w:spacing w:after="0" w:line="331" w:lineRule="auto"/>
        <w:tabs>
          <w:tab w:leader="none" w:pos="1286" w:val="left"/>
        </w:tabs>
        <w:numPr>
          <w:ilvl w:val="0"/>
          <w:numId w:val="78"/>
        </w:numPr>
        <w:rPr>
          <w:rFonts w:ascii="Arial" w:cs="Arial" w:eastAsia="Arial" w:hAnsi="Arial"/>
          <w:sz w:val="16"/>
          <w:szCs w:val="16"/>
          <w:color w:val="010000"/>
        </w:rPr>
      </w:pPr>
      <w:r>
        <w:rPr>
          <w:rFonts w:ascii="Arial" w:cs="Arial" w:eastAsia="Arial" w:hAnsi="Arial"/>
          <w:sz w:val="16"/>
          <w:szCs w:val="16"/>
          <w:color w:val="010000"/>
        </w:rPr>
        <w:t>Minimum opening Excess Availability on the Closing Date of not less than $20,000,000 after the application of proceeds of the initial Revolving Loans and issuance of the initial Letters of Credit and after provision for payment of all fees and expenses of the Closing Date Transactions.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00" w:name="page101"/>
    <w:bookmarkEnd w:id="100"/>
    <w:p>
      <w:pPr>
        <w:ind w:right="300" w:firstLine="1041"/>
        <w:spacing w:after="0" w:line="304" w:lineRule="auto"/>
        <w:tabs>
          <w:tab w:leader="none" w:pos="1286" w:val="left"/>
        </w:tabs>
        <w:numPr>
          <w:ilvl w:val="0"/>
          <w:numId w:val="79"/>
        </w:numPr>
        <w:rPr>
          <w:rFonts w:ascii="Arial" w:cs="Arial" w:eastAsia="Arial" w:hAnsi="Arial"/>
          <w:sz w:val="16"/>
          <w:szCs w:val="16"/>
          <w:color w:val="010000"/>
        </w:rPr>
      </w:pPr>
      <w:r>
        <w:rPr>
          <w:rFonts w:ascii="Arial" w:cs="Arial" w:eastAsia="Arial" w:hAnsi="Arial"/>
          <w:sz w:val="16"/>
          <w:szCs w:val="16"/>
          <w:color w:val="010000"/>
        </w:rPr>
        <w:t>The Lenders shall have received at least 3 Business Days prior to the Closing Date all documentation and information as is reasonably requested by the Lenders that is required by regulatory authorities under applicable “know your customer” and anti-money-laundering rules and regulations, including, without limitation, the PATRIOT Act, in each case to the extent requested in writing at least 10 Business Days prior to the Closing Date.</w:t>
      </w:r>
    </w:p>
    <w:p>
      <w:pPr>
        <w:spacing w:after="0" w:line="47" w:lineRule="exact"/>
        <w:rPr>
          <w:rFonts w:ascii="Arial" w:cs="Arial" w:eastAsia="Arial" w:hAnsi="Arial"/>
          <w:sz w:val="16"/>
          <w:szCs w:val="16"/>
          <w:color w:val="010000"/>
        </w:rPr>
      </w:pPr>
    </w:p>
    <w:p>
      <w:pPr>
        <w:ind w:right="200" w:firstLine="1041"/>
        <w:spacing w:after="0" w:line="273" w:lineRule="auto"/>
        <w:tabs>
          <w:tab w:leader="none" w:pos="1246" w:val="left"/>
        </w:tabs>
        <w:numPr>
          <w:ilvl w:val="0"/>
          <w:numId w:val="79"/>
        </w:numPr>
        <w:rPr>
          <w:rFonts w:ascii="Arial" w:cs="Arial" w:eastAsia="Arial" w:hAnsi="Arial"/>
          <w:sz w:val="17"/>
          <w:szCs w:val="17"/>
          <w:color w:val="010000"/>
        </w:rPr>
      </w:pPr>
      <w:r>
        <w:rPr>
          <w:rFonts w:ascii="Arial" w:cs="Arial" w:eastAsia="Arial" w:hAnsi="Arial"/>
          <w:sz w:val="17"/>
          <w:szCs w:val="17"/>
          <w:color w:val="010000"/>
        </w:rPr>
        <w:t>All fees and expenses required to be paid under the Loan Documents, the Commitment Letter or the Fee Letters and invoiced at least three Business Days prior to the Closing Date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the three (3) Business Day invoice requirement shall not apply to amounts due pursuant to the Fee Letters (other than with respect to out of pocket fees and expenses, including legal fees)) shall have been, or will be paid on the Closing Date or arrangements satisfactory to Agent and the Arrangers have been made with regard to the payment thereof.</w:t>
      </w:r>
    </w:p>
    <w:p>
      <w:pPr>
        <w:spacing w:after="0" w:line="70" w:lineRule="exact"/>
        <w:rPr>
          <w:rFonts w:ascii="Arial" w:cs="Arial" w:eastAsia="Arial" w:hAnsi="Arial"/>
          <w:sz w:val="17"/>
          <w:szCs w:val="17"/>
          <w:color w:val="010000"/>
        </w:rPr>
      </w:pPr>
    </w:p>
    <w:p>
      <w:pPr>
        <w:jc w:val="both"/>
        <w:ind w:right="380" w:firstLine="1041"/>
        <w:spacing w:after="0" w:line="257" w:lineRule="auto"/>
        <w:tabs>
          <w:tab w:leader="none" w:pos="1246" w:val="left"/>
        </w:tabs>
        <w:numPr>
          <w:ilvl w:val="0"/>
          <w:numId w:val="79"/>
        </w:numPr>
        <w:rPr>
          <w:rFonts w:ascii="Arial" w:cs="Arial" w:eastAsia="Arial" w:hAnsi="Arial"/>
          <w:sz w:val="18"/>
          <w:szCs w:val="18"/>
          <w:color w:val="010000"/>
        </w:rPr>
      </w:pPr>
      <w:r>
        <w:rPr>
          <w:rFonts w:ascii="Arial" w:cs="Arial" w:eastAsia="Arial" w:hAnsi="Arial"/>
          <w:sz w:val="18"/>
          <w:szCs w:val="18"/>
          <w:color w:val="010000"/>
        </w:rPr>
        <w:t>All documents and instruments required to create and perfect the Agent’s first priority (as to the ABL Priority Collateral) or other priority security interest in and Lien on the Collateral (free and clear of all other Liens other than Permitted Collateral Liens and subject to exceptions permitted by Section 5.02(a)) shall have been executed and delivered and, if applicable, be in proper form for filing.</w:t>
      </w:r>
    </w:p>
    <w:p>
      <w:pPr>
        <w:spacing w:after="0" w:line="81" w:lineRule="exact"/>
        <w:rPr>
          <w:rFonts w:ascii="Arial" w:cs="Arial" w:eastAsia="Arial" w:hAnsi="Arial"/>
          <w:sz w:val="18"/>
          <w:szCs w:val="18"/>
          <w:color w:val="010000"/>
        </w:rPr>
      </w:pPr>
    </w:p>
    <w:p>
      <w:pPr>
        <w:ind w:right="40" w:firstLine="1041"/>
        <w:spacing w:after="0" w:line="269" w:lineRule="auto"/>
        <w:tabs>
          <w:tab w:leader="none" w:pos="1286" w:val="left"/>
        </w:tabs>
        <w:numPr>
          <w:ilvl w:val="0"/>
          <w:numId w:val="79"/>
        </w:numPr>
        <w:rPr>
          <w:rFonts w:ascii="Arial" w:cs="Arial" w:eastAsia="Arial" w:hAnsi="Arial"/>
          <w:sz w:val="17"/>
          <w:szCs w:val="17"/>
          <w:color w:val="010000"/>
        </w:rPr>
      </w:pPr>
      <w:r>
        <w:rPr>
          <w:rFonts w:ascii="Arial" w:cs="Arial" w:eastAsia="Arial" w:hAnsi="Arial"/>
          <w:sz w:val="17"/>
          <w:szCs w:val="17"/>
          <w:color w:val="010000"/>
        </w:rPr>
        <w:t xml:space="preserve">(i) the representations and warranties of the Borrower and each other Loan Party contained in each Loan Document to which it is a party shall be correct on and as of the Closing Date in all material respects (except to the extent qualified by materiality or “Material Adverse Effect,” in which case such representations and warranties shall be true and correct in all respects), before and after giving effect to the effectiveness of this Agreement and the transactions contemplated hereby, as though made on and as of such date;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any representation or warranty as of a specific date shall only be true or correct in all material respects as of such date and (ii) no event shall have occurred and be continuing, or would result from the effectiveness of this Agreement or the transactions contemplated hereby, that would constitute a Default.</w:t>
      </w:r>
    </w:p>
    <w:p>
      <w:pPr>
        <w:spacing w:after="0" w:line="72" w:lineRule="exact"/>
        <w:rPr>
          <w:rFonts w:ascii="Arial" w:cs="Arial" w:eastAsia="Arial" w:hAnsi="Arial"/>
          <w:sz w:val="17"/>
          <w:szCs w:val="17"/>
          <w:color w:val="010000"/>
        </w:rPr>
      </w:pPr>
    </w:p>
    <w:p>
      <w:pPr>
        <w:ind w:left="1260" w:hanging="219"/>
        <w:spacing w:after="0"/>
        <w:tabs>
          <w:tab w:leader="none" w:pos="1260" w:val="left"/>
        </w:tabs>
        <w:numPr>
          <w:ilvl w:val="0"/>
          <w:numId w:val="79"/>
        </w:numPr>
        <w:rPr>
          <w:rFonts w:ascii="Arial" w:cs="Arial" w:eastAsia="Arial" w:hAnsi="Arial"/>
          <w:sz w:val="18"/>
          <w:szCs w:val="18"/>
          <w:color w:val="010000"/>
        </w:rPr>
      </w:pPr>
      <w:r>
        <w:rPr>
          <w:rFonts w:ascii="Arial" w:cs="Arial" w:eastAsia="Arial" w:hAnsi="Arial"/>
          <w:sz w:val="18"/>
          <w:szCs w:val="18"/>
          <w:color w:val="010000"/>
        </w:rPr>
        <w:t>No Default under the Loan Documents shall exist on the Closing Date.</w:t>
      </w:r>
    </w:p>
    <w:p>
      <w:pPr>
        <w:spacing w:after="0" w:line="113" w:lineRule="exact"/>
        <w:rPr>
          <w:rFonts w:ascii="Arial" w:cs="Arial" w:eastAsia="Arial" w:hAnsi="Arial"/>
          <w:sz w:val="18"/>
          <w:szCs w:val="18"/>
          <w:color w:val="010000"/>
        </w:rPr>
      </w:pPr>
    </w:p>
    <w:p>
      <w:pPr>
        <w:ind w:right="60" w:firstLine="1041"/>
        <w:spacing w:after="0" w:line="270" w:lineRule="auto"/>
        <w:tabs>
          <w:tab w:leader="none" w:pos="1335" w:val="left"/>
        </w:tabs>
        <w:numPr>
          <w:ilvl w:val="0"/>
          <w:numId w:val="79"/>
        </w:numPr>
        <w:rPr>
          <w:rFonts w:ascii="Arial" w:cs="Arial" w:eastAsia="Arial" w:hAnsi="Arial"/>
          <w:sz w:val="17"/>
          <w:szCs w:val="17"/>
          <w:color w:val="010000"/>
        </w:rPr>
      </w:pPr>
      <w:r>
        <w:rPr>
          <w:rFonts w:ascii="Arial" w:cs="Arial" w:eastAsia="Arial" w:hAnsi="Arial"/>
          <w:sz w:val="17"/>
          <w:szCs w:val="17"/>
          <w:color w:val="010000"/>
        </w:rPr>
        <w:t>The Agent shall have received reasonably satisfactory evidence that all Revolving Loans (if any) under and as defined in the Existing Credit Agreement shall be repaid, the commitments of the Non-Consenting Lenders hereunder shall have been terminated pursuant to Section 2.25 (and the Commitments of all continuing and new Lenders shall be as set forth on Schedule I) and all accrued interest and fees under the Existing Credit Agreement shall have been paid, or arrangements satisfactory to the Administrative Agent in respect thereof shall have been made. For the avoidance of doubt, all Letters of Credit outstanding immediately prior to execution of this Agreement shall continue to and remain outstanding.</w:t>
      </w:r>
    </w:p>
    <w:p>
      <w:pPr>
        <w:spacing w:after="0" w:line="18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010000"/>
        </w:rPr>
        <w:t xml:space="preserve">SECTION 3.02. </w:t>
      </w:r>
      <w:r>
        <w:rPr>
          <w:rFonts w:ascii="Arial" w:cs="Arial" w:eastAsia="Arial" w:hAnsi="Arial"/>
          <w:sz w:val="17"/>
          <w:szCs w:val="17"/>
          <w:u w:val="single" w:color="auto"/>
          <w:color w:val="010000"/>
        </w:rPr>
        <w:t>Conditions Precedent to Each Borrowing and Issuance</w:t>
      </w:r>
      <w:r>
        <w:rPr>
          <w:rFonts w:ascii="Arial" w:cs="Arial" w:eastAsia="Arial" w:hAnsi="Arial"/>
          <w:sz w:val="17"/>
          <w:szCs w:val="17"/>
          <w:color w:val="010000"/>
        </w:rPr>
        <w:t>. The obligation of each Lender to make a Revolving Loan (other than a Revolving Loan made by any Issuing Bank pursuant to Section 2.03(c) or any Lender pursuant to Section 2.03(c)) on the occasion of each Borrowing and the obligation of each Issuing Bank to issue a Letter of Credit shall be subject to the conditions precedent that the Closing Date shall have occurred and on the date of such Borrowing or such Issuance the following statements shall be true (and each of the giving of the applicable Notice of Borrowing, Notice of Issuance and the acceptance by the Borrower of the proceeds of such Borrowing or such Issuance shall constitute a representation and warranty by the Company that on the date of such Borrowing or such Issuance such statements are true):</w:t>
      </w:r>
    </w:p>
    <w:p>
      <w:pPr>
        <w:spacing w:after="0" w:line="72" w:lineRule="exact"/>
        <w:rPr>
          <w:sz w:val="20"/>
          <w:szCs w:val="20"/>
          <w:color w:val="auto"/>
        </w:rPr>
      </w:pPr>
    </w:p>
    <w:p>
      <w:pPr>
        <w:ind w:right="40" w:firstLine="1041"/>
        <w:spacing w:after="0" w:line="252" w:lineRule="auto"/>
        <w:tabs>
          <w:tab w:leader="none" w:pos="1276" w:val="left"/>
        </w:tabs>
        <w:numPr>
          <w:ilvl w:val="0"/>
          <w:numId w:val="80"/>
        </w:numPr>
        <w:rPr>
          <w:rFonts w:ascii="Arial" w:cs="Arial" w:eastAsia="Arial" w:hAnsi="Arial"/>
          <w:sz w:val="18"/>
          <w:szCs w:val="18"/>
          <w:color w:val="010000"/>
        </w:rPr>
      </w:pPr>
      <w:r>
        <w:rPr>
          <w:rFonts w:ascii="Arial" w:cs="Arial" w:eastAsia="Arial" w:hAnsi="Arial"/>
          <w:sz w:val="18"/>
          <w:szCs w:val="18"/>
          <w:color w:val="010000"/>
        </w:rPr>
        <w:t xml:space="preserve">the representations and warranties of the Borrower and each other Loan Party contained in each Loan Document to which it is a party are correct in all material respects (except to the extent qualified by materiality or “Material Adverse Effect,” in which case such representations and warranties shall be true and correct in all respects) on and as of such date, before and after giving effect to such Borrowing or such Issuance and to the application of the proceeds therefrom, as though made on and as of such date;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any representation or warranty as of a specific date shall only need be true or correct in all material respects as of such date;</w:t>
      </w:r>
    </w:p>
    <w:p>
      <w:pPr>
        <w:spacing w:after="0" w:line="86" w:lineRule="exact"/>
        <w:rPr>
          <w:rFonts w:ascii="Arial" w:cs="Arial" w:eastAsia="Arial" w:hAnsi="Arial"/>
          <w:sz w:val="18"/>
          <w:szCs w:val="18"/>
          <w:color w:val="010000"/>
        </w:rPr>
      </w:pPr>
    </w:p>
    <w:p>
      <w:pPr>
        <w:ind w:right="540" w:firstLine="1041"/>
        <w:spacing w:after="0" w:line="267" w:lineRule="auto"/>
        <w:tabs>
          <w:tab w:leader="none" w:pos="1286" w:val="left"/>
        </w:tabs>
        <w:numPr>
          <w:ilvl w:val="0"/>
          <w:numId w:val="80"/>
        </w:numPr>
        <w:rPr>
          <w:rFonts w:ascii="Arial" w:cs="Arial" w:eastAsia="Arial" w:hAnsi="Arial"/>
          <w:sz w:val="18"/>
          <w:szCs w:val="18"/>
          <w:color w:val="010000"/>
        </w:rPr>
      </w:pPr>
      <w:r>
        <w:rPr>
          <w:rFonts w:ascii="Arial" w:cs="Arial" w:eastAsia="Arial" w:hAnsi="Arial"/>
          <w:sz w:val="18"/>
          <w:szCs w:val="18"/>
          <w:color w:val="010000"/>
        </w:rPr>
        <w:t>no event has occurred and is continuing, or would result from such Borrowing or such Issuance or from the application of the proceeds therefrom, that constitutes a Default; and</w:t>
      </w:r>
    </w:p>
    <w:p>
      <w:pPr>
        <w:spacing w:after="0" w:line="72" w:lineRule="exact"/>
        <w:rPr>
          <w:rFonts w:ascii="Arial" w:cs="Arial" w:eastAsia="Arial" w:hAnsi="Arial"/>
          <w:sz w:val="18"/>
          <w:szCs w:val="18"/>
          <w:color w:val="010000"/>
        </w:rPr>
      </w:pPr>
    </w:p>
    <w:p>
      <w:pPr>
        <w:ind w:right="340" w:firstLine="1041"/>
        <w:spacing w:after="0" w:line="267" w:lineRule="auto"/>
        <w:tabs>
          <w:tab w:leader="none" w:pos="1276" w:val="left"/>
        </w:tabs>
        <w:numPr>
          <w:ilvl w:val="0"/>
          <w:numId w:val="80"/>
        </w:numPr>
        <w:rPr>
          <w:rFonts w:ascii="Arial" w:cs="Arial" w:eastAsia="Arial" w:hAnsi="Arial"/>
          <w:sz w:val="18"/>
          <w:szCs w:val="18"/>
          <w:color w:val="010000"/>
        </w:rPr>
      </w:pPr>
      <w:r>
        <w:rPr>
          <w:rFonts w:ascii="Arial" w:cs="Arial" w:eastAsia="Arial" w:hAnsi="Arial"/>
          <w:sz w:val="18"/>
          <w:szCs w:val="18"/>
          <w:color w:val="010000"/>
        </w:rPr>
        <w:t>no Borrowing Base Deficiency will exist after giving effect to such Borrowing, issuance or renewal and to the application of the proceeds therefrom (other than as permitted by Section 2.01(c) or (d)).</w:t>
      </w:r>
    </w:p>
    <w:p>
      <w:pPr>
        <w:spacing w:after="0" w:line="18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010000"/>
        </w:rPr>
        <w:t xml:space="preserve">SECTION 3.03. </w:t>
      </w:r>
      <w:r>
        <w:rPr>
          <w:rFonts w:ascii="Arial" w:cs="Arial" w:eastAsia="Arial" w:hAnsi="Arial"/>
          <w:sz w:val="16"/>
          <w:szCs w:val="16"/>
          <w:u w:val="single" w:color="auto"/>
          <w:color w:val="010000"/>
        </w:rPr>
        <w:t>Additional Conditions to Issuances</w:t>
      </w:r>
      <w:r>
        <w:rPr>
          <w:rFonts w:ascii="Arial" w:cs="Arial" w:eastAsia="Arial" w:hAnsi="Arial"/>
          <w:sz w:val="16"/>
          <w:szCs w:val="16"/>
          <w:color w:val="010000"/>
        </w:rPr>
        <w:t>. In addition to the other conditions precedent herein set forth, if any Lender becomes, and during the period it remains, a Defaulting Lender or a Potential Defaulting Lender, no Issuing Bank will be required to issue any Letter of Credit or to amend any outstanding Letter of Credit to increase the face amount thereof, alter the drawing terms thereunder or extend the expiry date thereof, unless such Issuing Bank is satisfied that any exposure that would result from a Defaulted Revolving Loan of such Defaulting Lender or Potential Defaulting Lender is eliminated or fully covered by the Commitments of the Non-Defaulting Lenders or by Cash Collateralization or a combination thereof satisfactory to such Issuing Bank.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01" w:name="page102"/>
    <w:bookmarkEnd w:id="101"/>
    <w:p>
      <w:pPr>
        <w:ind w:right="80" w:firstLine="518"/>
        <w:spacing w:after="0" w:line="270" w:lineRule="auto"/>
        <w:rPr>
          <w:sz w:val="20"/>
          <w:szCs w:val="20"/>
          <w:color w:val="auto"/>
        </w:rPr>
      </w:pPr>
      <w:r>
        <w:rPr>
          <w:rFonts w:ascii="Arial" w:cs="Arial" w:eastAsia="Arial" w:hAnsi="Arial"/>
          <w:sz w:val="17"/>
          <w:szCs w:val="17"/>
          <w:color w:val="010000"/>
        </w:rPr>
        <w:t xml:space="preserve">SECTION 3.04. </w:t>
      </w:r>
      <w:r>
        <w:rPr>
          <w:rFonts w:ascii="Arial" w:cs="Arial" w:eastAsia="Arial" w:hAnsi="Arial"/>
          <w:sz w:val="17"/>
          <w:szCs w:val="17"/>
          <w:u w:val="single" w:color="auto"/>
          <w:color w:val="010000"/>
        </w:rPr>
        <w:t>Determinations Under this Agreement</w:t>
      </w:r>
      <w:r>
        <w:rPr>
          <w:rFonts w:ascii="Arial" w:cs="Arial" w:eastAsia="Arial" w:hAnsi="Arial"/>
          <w:sz w:val="17"/>
          <w:szCs w:val="17"/>
          <w:color w:val="010000"/>
        </w:rPr>
        <w:t>. For purposes of determining compliance with the conditions specified in this Agreement, each Lender shall be deemed to have consented to, approved or accepted or to be satisfied with each document or other matter required hereunder to be consented to or approved by or acceptable or satisfactory to the Lenders unless an officer of the Agent responsible for the transactions contemplated by this Agreement shall have received notice from such Lender prior to the date that the Company, by notice to the Lenders, designates as the proposed Closing Date, specifying its objection thereto. The Agent shall promptly notify the Lenders of the occurrence of the Closing Date.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0" w:lineRule="exact"/>
        <w:rPr>
          <w:sz w:val="20"/>
          <w:szCs w:val="20"/>
          <w:color w:val="auto"/>
        </w:rPr>
      </w:pPr>
    </w:p>
    <w:p>
      <w:pPr>
        <w:ind w:right="220" w:firstLine="518"/>
        <w:spacing w:after="0" w:line="267" w:lineRule="auto"/>
        <w:rPr>
          <w:sz w:val="20"/>
          <w:szCs w:val="20"/>
          <w:color w:val="auto"/>
        </w:rPr>
      </w:pPr>
      <w:r>
        <w:rPr>
          <w:rFonts w:ascii="Arial" w:cs="Arial" w:eastAsia="Arial" w:hAnsi="Arial"/>
          <w:sz w:val="18"/>
          <w:szCs w:val="18"/>
          <w:color w:val="010000"/>
        </w:rPr>
        <w:t xml:space="preserve">SECTION 4.01. </w:t>
      </w:r>
      <w:r>
        <w:rPr>
          <w:rFonts w:ascii="Arial" w:cs="Arial" w:eastAsia="Arial" w:hAnsi="Arial"/>
          <w:sz w:val="18"/>
          <w:szCs w:val="18"/>
          <w:u w:val="single" w:color="auto"/>
          <w:color w:val="010000"/>
        </w:rPr>
        <w:t>Representations and Warranties of the Company</w:t>
      </w:r>
      <w:r>
        <w:rPr>
          <w:rFonts w:ascii="Arial" w:cs="Arial" w:eastAsia="Arial" w:hAnsi="Arial"/>
          <w:sz w:val="18"/>
          <w:szCs w:val="18"/>
          <w:color w:val="010000"/>
        </w:rPr>
        <w:t>. The Company and each other Loan Party represents and warrants (as applicable) as follows:</w:t>
      </w:r>
    </w:p>
    <w:p>
      <w:pPr>
        <w:spacing w:after="0" w:line="73" w:lineRule="exact"/>
        <w:rPr>
          <w:sz w:val="20"/>
          <w:szCs w:val="20"/>
          <w:color w:val="auto"/>
        </w:rPr>
      </w:pPr>
    </w:p>
    <w:p>
      <w:pPr>
        <w:ind w:right="20" w:firstLine="1041"/>
        <w:spacing w:after="0" w:line="291" w:lineRule="auto"/>
        <w:tabs>
          <w:tab w:leader="none" w:pos="1276" w:val="left"/>
        </w:tabs>
        <w:numPr>
          <w:ilvl w:val="0"/>
          <w:numId w:val="81"/>
        </w:numPr>
        <w:rPr>
          <w:rFonts w:ascii="Arial" w:cs="Arial" w:eastAsia="Arial" w:hAnsi="Arial"/>
          <w:sz w:val="16"/>
          <w:szCs w:val="16"/>
          <w:color w:val="010000"/>
        </w:rPr>
      </w:pPr>
      <w:r>
        <w:rPr>
          <w:rFonts w:ascii="Arial" w:cs="Arial" w:eastAsia="Arial" w:hAnsi="Arial"/>
          <w:sz w:val="16"/>
          <w:szCs w:val="16"/>
          <w:color w:val="010000"/>
        </w:rPr>
        <w:t>Each Loan Party is duly organized, validly existing and, to the extent such concept is applicable, in good standing under the laws of the jurisdiction of its organization, except as to any Loan Party, other than the Company, where such failure to be organized, existing or in good standing would not, individually or in the aggregate, reasonably be expected to have a Material Adverse Effect and is qualified to do business and in good standing as a foreign entity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58" w:lineRule="exact"/>
        <w:rPr>
          <w:rFonts w:ascii="Arial" w:cs="Arial" w:eastAsia="Arial" w:hAnsi="Arial"/>
          <w:sz w:val="16"/>
          <w:szCs w:val="16"/>
          <w:color w:val="010000"/>
        </w:rPr>
      </w:pPr>
    </w:p>
    <w:p>
      <w:pPr>
        <w:ind w:right="20" w:firstLine="1041"/>
        <w:spacing w:after="0" w:line="267" w:lineRule="auto"/>
        <w:tabs>
          <w:tab w:leader="none" w:pos="1286" w:val="left"/>
        </w:tabs>
        <w:numPr>
          <w:ilvl w:val="0"/>
          <w:numId w:val="81"/>
        </w:numPr>
        <w:rPr>
          <w:rFonts w:ascii="Arial" w:cs="Arial" w:eastAsia="Arial" w:hAnsi="Arial"/>
          <w:sz w:val="17"/>
          <w:szCs w:val="17"/>
          <w:color w:val="010000"/>
        </w:rPr>
      </w:pPr>
      <w:r>
        <w:rPr>
          <w:rFonts w:ascii="Arial" w:cs="Arial" w:eastAsia="Arial" w:hAnsi="Arial"/>
          <w:sz w:val="17"/>
          <w:szCs w:val="17"/>
          <w:color w:val="010000"/>
        </w:rPr>
        <w:t>The execution, delivery and performance by each Loan Party of each Loan Document to which it is or is to be party, and the consummation of the transactions contemplated hereby and thereby, are within such Loan Party’s corporate, limited liability company or partnership powers, as applicable, have been duly authorized by all necessary corporate, limited liability company or partnership action, as applicable, and do not (i) contravene such Loan Party’s charter or by-laws, (ii) violate law, rule, regulation (including, without limitation, with respect to the Borrower, Regulation X of the Board of Governors of the Federal Reserve System), order, writ, judgment, injunction, decree, determination or award, (iii) conflict with or result in the breach of, or constitute a default or require any payment to be made under, any material contractual restriction, binding on or affecting such Loan Party or (iv) except for the Liens created under the Loan Documents, result in or require the creation or imposition of any Lien upon or with respect to any of the properties of any Loan Party or any of its Restricted Subsidiaries (other than Liens permitted under Section 5.02(a)).</w:t>
      </w:r>
    </w:p>
    <w:p>
      <w:pPr>
        <w:spacing w:after="0" w:line="73" w:lineRule="exact"/>
        <w:rPr>
          <w:rFonts w:ascii="Arial" w:cs="Arial" w:eastAsia="Arial" w:hAnsi="Arial"/>
          <w:sz w:val="17"/>
          <w:szCs w:val="17"/>
          <w:color w:val="010000"/>
        </w:rPr>
      </w:pPr>
    </w:p>
    <w:p>
      <w:pPr>
        <w:ind w:right="60" w:firstLine="1041"/>
        <w:spacing w:after="0" w:line="250" w:lineRule="auto"/>
        <w:tabs>
          <w:tab w:leader="none" w:pos="1276" w:val="left"/>
        </w:tabs>
        <w:numPr>
          <w:ilvl w:val="0"/>
          <w:numId w:val="81"/>
        </w:numPr>
        <w:rPr>
          <w:rFonts w:ascii="Arial" w:cs="Arial" w:eastAsia="Arial" w:hAnsi="Arial"/>
          <w:sz w:val="18"/>
          <w:szCs w:val="18"/>
          <w:color w:val="010000"/>
        </w:rPr>
      </w:pPr>
      <w:r>
        <w:rPr>
          <w:rFonts w:ascii="Arial" w:cs="Arial" w:eastAsia="Arial" w:hAnsi="Arial"/>
          <w:sz w:val="18"/>
          <w:szCs w:val="18"/>
          <w:color w:val="010000"/>
        </w:rPr>
        <w:t>No authorization or approval or other action by, and no notice to or filing with, any Governmental Authority or regulatory body or any other third party is required for (i) the due execution, delivery, recordation, filing or performance by any Loan Party of any Loan Document to which it is or is to be a party, (ii) other than as set forth in Section 6(m) of the Security Agreement, the grant by any Loan Party of the Liens granted by it pursuant to the Collateral Documents, (iii) other than in respect of the Specified Collateral as set forth in Section 6(m) of the Security Agreement, the perfection or maintenance of the Liens created under the Collateral Documents (including the priority required thereunder) or (iv) except for any notices that may be required pursuant to any applicable Intercreditor Agreement, the exercise by the Agent or any Lender of its rights under the Loan Documents or the remedies in respect of the Collateral pursuant to the Collateral Documents.</w:t>
      </w:r>
    </w:p>
    <w:p>
      <w:pPr>
        <w:spacing w:after="0" w:line="90" w:lineRule="exact"/>
        <w:rPr>
          <w:rFonts w:ascii="Arial" w:cs="Arial" w:eastAsia="Arial" w:hAnsi="Arial"/>
          <w:sz w:val="18"/>
          <w:szCs w:val="18"/>
          <w:color w:val="010000"/>
        </w:rPr>
      </w:pPr>
    </w:p>
    <w:p>
      <w:pPr>
        <w:ind w:firstLine="1041"/>
        <w:spacing w:after="0" w:line="252" w:lineRule="auto"/>
        <w:tabs>
          <w:tab w:leader="none" w:pos="1286" w:val="left"/>
        </w:tabs>
        <w:numPr>
          <w:ilvl w:val="0"/>
          <w:numId w:val="81"/>
        </w:numPr>
        <w:rPr>
          <w:rFonts w:ascii="Arial" w:cs="Arial" w:eastAsia="Arial" w:hAnsi="Arial"/>
          <w:sz w:val="18"/>
          <w:szCs w:val="18"/>
          <w:color w:val="010000"/>
        </w:rPr>
      </w:pPr>
      <w:r>
        <w:rPr>
          <w:rFonts w:ascii="Arial" w:cs="Arial" w:eastAsia="Arial" w:hAnsi="Arial"/>
          <w:sz w:val="18"/>
          <w:szCs w:val="18"/>
          <w:color w:val="010000"/>
        </w:rPr>
        <w:t>This Agreement has been, and each other Loan Document when delivered hereunder will have been, duly executed and delivered by each Loan Party party thereto. This Agreement is, and each other Loan Document when delivered hereunder will be, the legal, valid and binding obligation of each Loan Party party thereto enforceable against such Loan Party in accordance with their respective terms, except as enforceability may be affected by applicable bankruptcy, insolvency, reorganization, moratorium or other similar laws affecting enforcement of creditors’ rights generally and by general principles of equity, whether enforcement is sought in a proceeding in equity or at law.</w:t>
      </w:r>
    </w:p>
    <w:p>
      <w:pPr>
        <w:spacing w:after="0" w:line="86" w:lineRule="exact"/>
        <w:rPr>
          <w:rFonts w:ascii="Arial" w:cs="Arial" w:eastAsia="Arial" w:hAnsi="Arial"/>
          <w:sz w:val="18"/>
          <w:szCs w:val="18"/>
          <w:color w:val="010000"/>
        </w:rPr>
      </w:pPr>
    </w:p>
    <w:p>
      <w:pPr>
        <w:ind w:right="40" w:firstLine="1041"/>
        <w:spacing w:after="0" w:line="287" w:lineRule="auto"/>
        <w:tabs>
          <w:tab w:leader="none" w:pos="1276" w:val="left"/>
        </w:tabs>
        <w:numPr>
          <w:ilvl w:val="0"/>
          <w:numId w:val="81"/>
        </w:numPr>
        <w:rPr>
          <w:rFonts w:ascii="Arial" w:cs="Arial" w:eastAsia="Arial" w:hAnsi="Arial"/>
          <w:sz w:val="16"/>
          <w:szCs w:val="16"/>
          <w:color w:val="010000"/>
        </w:rPr>
      </w:pPr>
      <w:r>
        <w:rPr>
          <w:rFonts w:ascii="Arial" w:cs="Arial" w:eastAsia="Arial" w:hAnsi="Arial"/>
          <w:sz w:val="16"/>
          <w:szCs w:val="16"/>
          <w:color w:val="010000"/>
        </w:rPr>
        <w:t>The Consolidated statement of financial position of the Company and its Consolidated Subsidiaries as at December 31, 2015, and the related Consolidated statement of earnings and Consolidated statement of cash flows of the Company and its Consolidated Subsidiaries for the fiscal year then ended, accompanied by an opinion of PricewaterhouseCoopers LLP, independent public accountants, copies of which have been furnished to each Lender, fairly present, in all material respects, the Consolidated financial condition of the Company and its Consolidated Subsidiaries as at such date and the Consolidated statement of earnings and Consolidated statement of cash flows of the Company and its Consolidated Subsidiaries for the period ended on such date, all in accordance with GAAP. Since December 31, 2015, there has been no Material Adverse Effect except as disclosed in filings made with, or documents furnished to, the Bankruptcy Court or the Securities and Exchange Commission or as described in any press release, in each case prior to the date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02" w:name="page103"/>
    <w:bookmarkEnd w:id="102"/>
    <w:p>
      <w:pPr>
        <w:jc w:val="both"/>
        <w:ind w:right="500" w:firstLine="1041"/>
        <w:spacing w:after="0" w:line="273" w:lineRule="auto"/>
        <w:tabs>
          <w:tab w:leader="none" w:pos="1256" w:val="left"/>
        </w:tabs>
        <w:numPr>
          <w:ilvl w:val="0"/>
          <w:numId w:val="82"/>
        </w:numPr>
        <w:rPr>
          <w:rFonts w:ascii="Arial" w:cs="Arial" w:eastAsia="Arial" w:hAnsi="Arial"/>
          <w:sz w:val="17"/>
          <w:szCs w:val="17"/>
          <w:color w:val="010000"/>
        </w:rPr>
      </w:pPr>
      <w:r>
        <w:rPr>
          <w:rFonts w:ascii="Arial" w:cs="Arial" w:eastAsia="Arial" w:hAnsi="Arial"/>
          <w:sz w:val="17"/>
          <w:szCs w:val="17"/>
          <w:color w:val="010000"/>
        </w:rPr>
        <w:t xml:space="preserve">Other than as disclosed on </w:t>
      </w:r>
      <w:r>
        <w:rPr>
          <w:rFonts w:ascii="Arial" w:cs="Arial" w:eastAsia="Arial" w:hAnsi="Arial"/>
          <w:sz w:val="17"/>
          <w:szCs w:val="17"/>
          <w:u w:val="single" w:color="auto"/>
          <w:color w:val="010000"/>
        </w:rPr>
        <w:t>Schedule 4.01(f)</w:t>
      </w:r>
      <w:r>
        <w:rPr>
          <w:rFonts w:ascii="Arial" w:cs="Arial" w:eastAsia="Arial" w:hAnsi="Arial"/>
          <w:sz w:val="17"/>
          <w:szCs w:val="17"/>
          <w:color w:val="010000"/>
        </w:rPr>
        <w:t>, there is no pending or, to the knowledge of the Company, threatened in writing action, suit, investigation, litigation or proceeding, including, without limitation, any Environmental Action, affecting any Loan Party before any court, governmental agency or arbitrator that (i) is reasonably likely to have a Material Adverse Effect or (ii) purports to affect the legality, validity or enforceability of this Agreement or any other Loan Document or the consummation of the transactions contemplated hereby.</w:t>
      </w:r>
    </w:p>
    <w:p>
      <w:pPr>
        <w:spacing w:after="0" w:line="70" w:lineRule="exact"/>
        <w:rPr>
          <w:rFonts w:ascii="Arial" w:cs="Arial" w:eastAsia="Arial" w:hAnsi="Arial"/>
          <w:sz w:val="17"/>
          <w:szCs w:val="17"/>
          <w:color w:val="010000"/>
        </w:rPr>
      </w:pPr>
    </w:p>
    <w:p>
      <w:pPr>
        <w:ind w:right="200" w:firstLine="1041"/>
        <w:spacing w:after="0" w:line="304" w:lineRule="auto"/>
        <w:tabs>
          <w:tab w:leader="none" w:pos="1286" w:val="left"/>
        </w:tabs>
        <w:numPr>
          <w:ilvl w:val="0"/>
          <w:numId w:val="82"/>
        </w:numPr>
        <w:rPr>
          <w:rFonts w:ascii="Arial" w:cs="Arial" w:eastAsia="Arial" w:hAnsi="Arial"/>
          <w:sz w:val="16"/>
          <w:szCs w:val="16"/>
          <w:color w:val="010000"/>
        </w:rPr>
      </w:pPr>
      <w:r>
        <w:rPr>
          <w:rFonts w:ascii="Arial" w:cs="Arial" w:eastAsia="Arial" w:hAnsi="Arial"/>
          <w:sz w:val="16"/>
          <w:szCs w:val="16"/>
          <w:color w:val="010000"/>
        </w:rPr>
        <w:t>Neither Borrower nor any other Loan Party is engaged in the business of extending credit for the purpose of purchasing or carrying margin stock (within the meaning of Regulation U issued by the Board of Governors of the Federal Reserve System), and no proceeds of any Revolving Loan will be used to purchase or carry any margin stock or to extend credit to others for the purpose of purchasing or carrying any margin stock.</w:t>
      </w:r>
    </w:p>
    <w:p>
      <w:pPr>
        <w:spacing w:after="0" w:line="47" w:lineRule="exact"/>
        <w:rPr>
          <w:rFonts w:ascii="Arial" w:cs="Arial" w:eastAsia="Arial" w:hAnsi="Arial"/>
          <w:sz w:val="16"/>
          <w:szCs w:val="16"/>
          <w:color w:val="010000"/>
        </w:rPr>
      </w:pPr>
    </w:p>
    <w:p>
      <w:pPr>
        <w:ind w:right="100" w:firstLine="1041"/>
        <w:spacing w:after="0" w:line="267" w:lineRule="auto"/>
        <w:tabs>
          <w:tab w:leader="none" w:pos="1286" w:val="left"/>
        </w:tabs>
        <w:numPr>
          <w:ilvl w:val="0"/>
          <w:numId w:val="82"/>
        </w:numPr>
        <w:rPr>
          <w:rFonts w:ascii="Arial" w:cs="Arial" w:eastAsia="Arial" w:hAnsi="Arial"/>
          <w:sz w:val="18"/>
          <w:szCs w:val="18"/>
          <w:color w:val="010000"/>
        </w:rPr>
      </w:pPr>
      <w:r>
        <w:rPr>
          <w:rFonts w:ascii="Arial" w:cs="Arial" w:eastAsia="Arial" w:hAnsi="Arial"/>
          <w:sz w:val="18"/>
          <w:szCs w:val="18"/>
          <w:color w:val="010000"/>
        </w:rPr>
        <w:t>Neither Borrower nor any other Loan Party is an “investment company”, or a company “controlled” by an “investment company”, within the meaning of the Investment Company Act of 1940, as amended.</w:t>
      </w:r>
    </w:p>
    <w:p>
      <w:pPr>
        <w:spacing w:after="0" w:line="72" w:lineRule="exact"/>
        <w:rPr>
          <w:rFonts w:ascii="Arial" w:cs="Arial" w:eastAsia="Arial" w:hAnsi="Arial"/>
          <w:sz w:val="18"/>
          <w:szCs w:val="18"/>
          <w:color w:val="010000"/>
        </w:rPr>
      </w:pPr>
    </w:p>
    <w:p>
      <w:pPr>
        <w:ind w:right="100" w:firstLine="1041"/>
        <w:spacing w:after="0" w:line="267" w:lineRule="auto"/>
        <w:tabs>
          <w:tab w:leader="none" w:pos="1246" w:val="left"/>
        </w:tabs>
        <w:numPr>
          <w:ilvl w:val="0"/>
          <w:numId w:val="82"/>
        </w:numPr>
        <w:rPr>
          <w:rFonts w:ascii="Arial" w:cs="Arial" w:eastAsia="Arial" w:hAnsi="Arial"/>
          <w:sz w:val="17"/>
          <w:szCs w:val="17"/>
          <w:color w:val="010000"/>
        </w:rPr>
      </w:pPr>
      <w:r>
        <w:rPr>
          <w:rFonts w:ascii="Arial" w:cs="Arial" w:eastAsia="Arial" w:hAnsi="Arial"/>
          <w:sz w:val="17"/>
          <w:szCs w:val="17"/>
          <w:color w:val="010000"/>
        </w:rPr>
        <w:t xml:space="preserve">Except as disclosed on </w:t>
      </w:r>
      <w:r>
        <w:rPr>
          <w:rFonts w:ascii="Arial" w:cs="Arial" w:eastAsia="Arial" w:hAnsi="Arial"/>
          <w:sz w:val="17"/>
          <w:szCs w:val="17"/>
          <w:u w:val="single" w:color="auto"/>
          <w:color w:val="010000"/>
        </w:rPr>
        <w:t>Schedule 4.01(i)</w:t>
      </w:r>
      <w:r>
        <w:rPr>
          <w:rFonts w:ascii="Arial" w:cs="Arial" w:eastAsia="Arial" w:hAnsi="Arial"/>
          <w:sz w:val="17"/>
          <w:szCs w:val="17"/>
          <w:color w:val="010000"/>
        </w:rPr>
        <w:t>, each Loan Party and each of their respective Subsidiaries owns, or is licensed to use, all trademarks, tradenames, copyrights, patents, technology, know-how and processes necessary for the conduct of its business as currently conducted except for those the failure to own or license which are not reasonably expected to have a Material Adverse Effect (the “Intellectual Property”). To the knowledge of the Company, no claim has been asserted and is pending against any Intellectual Property by any Person challenging or questioning the use of any such Intellectual Property or the validity or effectiveness of any such Intellectual Property, nor does any Loan Party know of any valid basis for any such claim, except, in either case, for such claims that in the aggregate are not reasonably expected to have a Material Adverse Effect. The use of such Intellectual Property by the Company and its Subsidiaries and the operation of their businesses does not infringe on the rights of any Person, except for such claims and infringements that, in the aggregate, are not reasonably expected to have a Material Adverse Effect.</w:t>
      </w:r>
    </w:p>
    <w:p>
      <w:pPr>
        <w:spacing w:after="0" w:line="73" w:lineRule="exact"/>
        <w:rPr>
          <w:rFonts w:ascii="Arial" w:cs="Arial" w:eastAsia="Arial" w:hAnsi="Arial"/>
          <w:sz w:val="17"/>
          <w:szCs w:val="17"/>
          <w:color w:val="010000"/>
        </w:rPr>
      </w:pPr>
    </w:p>
    <w:p>
      <w:pPr>
        <w:ind w:right="360" w:firstLine="1041"/>
        <w:spacing w:after="0" w:line="267" w:lineRule="auto"/>
        <w:tabs>
          <w:tab w:leader="none" w:pos="1246" w:val="left"/>
        </w:tabs>
        <w:numPr>
          <w:ilvl w:val="0"/>
          <w:numId w:val="82"/>
        </w:numPr>
        <w:rPr>
          <w:rFonts w:ascii="Arial" w:cs="Arial" w:eastAsia="Arial" w:hAnsi="Arial"/>
          <w:sz w:val="18"/>
          <w:szCs w:val="18"/>
          <w:color w:val="010000"/>
        </w:rPr>
      </w:pPr>
      <w:r>
        <w:rPr>
          <w:rFonts w:ascii="Arial" w:cs="Arial" w:eastAsia="Arial" w:hAnsi="Arial"/>
          <w:sz w:val="18"/>
          <w:szCs w:val="18"/>
          <w:color w:val="010000"/>
        </w:rPr>
        <w:t>No ERISA Event has occurred or is reasonably expected to occur with respect to any Plan that has resulted in or is reasonably expected to result in a material liability of any Loan Party or any ERISA Affiliate.</w:t>
      </w:r>
    </w:p>
    <w:p>
      <w:pPr>
        <w:spacing w:after="0" w:line="72" w:lineRule="exact"/>
        <w:rPr>
          <w:rFonts w:ascii="Arial" w:cs="Arial" w:eastAsia="Arial" w:hAnsi="Arial"/>
          <w:sz w:val="18"/>
          <w:szCs w:val="18"/>
          <w:color w:val="010000"/>
        </w:rPr>
      </w:pPr>
    </w:p>
    <w:p>
      <w:pPr>
        <w:ind w:right="1000" w:firstLine="1041"/>
        <w:spacing w:after="0" w:line="267" w:lineRule="auto"/>
        <w:tabs>
          <w:tab w:leader="none" w:pos="1286" w:val="left"/>
        </w:tabs>
        <w:numPr>
          <w:ilvl w:val="0"/>
          <w:numId w:val="82"/>
        </w:numPr>
        <w:rPr>
          <w:rFonts w:ascii="Arial" w:cs="Arial" w:eastAsia="Arial" w:hAnsi="Arial"/>
          <w:sz w:val="18"/>
          <w:szCs w:val="18"/>
          <w:color w:val="010000"/>
        </w:rPr>
      </w:pPr>
      <w:r>
        <w:rPr>
          <w:rFonts w:ascii="Arial" w:cs="Arial" w:eastAsia="Arial" w:hAnsi="Arial"/>
          <w:sz w:val="18"/>
          <w:szCs w:val="18"/>
          <w:color w:val="010000"/>
        </w:rPr>
        <w:t>Neither any Loan Party nor any ERISA Affiliate has incurred or is reasonably expected to incur any Withdrawal Liability to any Multiemployer Plan that in the aggregate could reasonably be expected to have a Material Adverse Effect.</w:t>
      </w:r>
    </w:p>
    <w:p>
      <w:pPr>
        <w:spacing w:after="0" w:line="72" w:lineRule="exact"/>
        <w:rPr>
          <w:rFonts w:ascii="Arial" w:cs="Arial" w:eastAsia="Arial" w:hAnsi="Arial"/>
          <w:sz w:val="18"/>
          <w:szCs w:val="18"/>
          <w:color w:val="010000"/>
        </w:rPr>
      </w:pPr>
    </w:p>
    <w:p>
      <w:pPr>
        <w:ind w:firstLine="1041"/>
        <w:spacing w:after="0" w:line="254" w:lineRule="auto"/>
        <w:tabs>
          <w:tab w:leader="none" w:pos="1246" w:val="left"/>
        </w:tabs>
        <w:numPr>
          <w:ilvl w:val="0"/>
          <w:numId w:val="82"/>
        </w:numPr>
        <w:rPr>
          <w:rFonts w:ascii="Arial" w:cs="Arial" w:eastAsia="Arial" w:hAnsi="Arial"/>
          <w:sz w:val="18"/>
          <w:szCs w:val="18"/>
          <w:color w:val="010000"/>
        </w:rPr>
      </w:pPr>
      <w:r>
        <w:rPr>
          <w:rFonts w:ascii="Arial" w:cs="Arial" w:eastAsia="Arial" w:hAnsi="Arial"/>
          <w:sz w:val="18"/>
          <w:szCs w:val="18"/>
          <w:color w:val="010000"/>
        </w:rPr>
        <w:t>Neither any Loan Party nor any ERISA Affiliate has been notified by the sponsor of a Multiemployer Plan that such Multiemployer Plan is insolvent or has been terminated, within the meaning of Title IV of ERISA, or has been determined to be in “endangered” or “critical” status within the meaning of Section 432 of the Code or Section 305 of ERISA, and no such Multiemployer Plan is reasonably expected to be insolvent or to be terminated, within the meaning of Title IV of ERISA or in endangered or critical status.</w:t>
      </w:r>
    </w:p>
    <w:p>
      <w:pPr>
        <w:spacing w:after="0" w:line="83" w:lineRule="exact"/>
        <w:rPr>
          <w:rFonts w:ascii="Arial" w:cs="Arial" w:eastAsia="Arial" w:hAnsi="Arial"/>
          <w:sz w:val="18"/>
          <w:szCs w:val="18"/>
          <w:color w:val="010000"/>
        </w:rPr>
      </w:pPr>
    </w:p>
    <w:p>
      <w:pPr>
        <w:ind w:right="160" w:firstLine="1041"/>
        <w:spacing w:after="0" w:line="270" w:lineRule="auto"/>
        <w:tabs>
          <w:tab w:leader="none" w:pos="1335" w:val="left"/>
        </w:tabs>
        <w:numPr>
          <w:ilvl w:val="0"/>
          <w:numId w:val="82"/>
        </w:numPr>
        <w:rPr>
          <w:rFonts w:ascii="Arial" w:cs="Arial" w:eastAsia="Arial" w:hAnsi="Arial"/>
          <w:sz w:val="17"/>
          <w:szCs w:val="17"/>
          <w:color w:val="010000"/>
        </w:rPr>
      </w:pPr>
      <w:r>
        <w:rPr>
          <w:rFonts w:ascii="Arial" w:cs="Arial" w:eastAsia="Arial" w:hAnsi="Arial"/>
          <w:sz w:val="17"/>
          <w:szCs w:val="17"/>
          <w:color w:val="010000"/>
        </w:rPr>
        <w:t>Except as would not reasonably be expected to result in a Material Adverse Effect, as of the Closing Date, no event comprising (i) the commencement of winding up of the UK Pension Scheme, except pursuant to the KPP Settlement Agreement, (ii) the cessation of participation in the UK Pension Scheme by any Affiliate of the Borrower, except pursuant to the KPP Settlement Agreement, or (iii) the issue of a warning notice by the UK Pensions Regulator that it is considering issuing a financial support direction or contribution notice in relation to the UK Pension Scheme, has occurred, and (to the knowledge of the Borrower or Kodak Limited) the UK Pensions Regulator has not stated any intention to do so.</w:t>
      </w:r>
    </w:p>
    <w:p>
      <w:pPr>
        <w:spacing w:after="0" w:line="73" w:lineRule="exact"/>
        <w:rPr>
          <w:rFonts w:ascii="Arial" w:cs="Arial" w:eastAsia="Arial" w:hAnsi="Arial"/>
          <w:sz w:val="17"/>
          <w:szCs w:val="17"/>
          <w:color w:val="010000"/>
        </w:rPr>
      </w:pPr>
    </w:p>
    <w:p>
      <w:pPr>
        <w:ind w:right="140" w:firstLine="1041"/>
        <w:spacing w:after="0" w:line="257" w:lineRule="auto"/>
        <w:tabs>
          <w:tab w:leader="none" w:pos="1286" w:val="left"/>
        </w:tabs>
        <w:numPr>
          <w:ilvl w:val="0"/>
          <w:numId w:val="82"/>
        </w:numPr>
        <w:rPr>
          <w:rFonts w:ascii="Arial" w:cs="Arial" w:eastAsia="Arial" w:hAnsi="Arial"/>
          <w:sz w:val="18"/>
          <w:szCs w:val="18"/>
          <w:color w:val="010000"/>
        </w:rPr>
      </w:pPr>
      <w:r>
        <w:rPr>
          <w:rFonts w:ascii="Arial" w:cs="Arial" w:eastAsia="Arial" w:hAnsi="Arial"/>
          <w:sz w:val="18"/>
          <w:szCs w:val="18"/>
          <w:color w:val="010000"/>
        </w:rPr>
        <w:t>As of the Closing Date, no Loan Party nor any Affiliate of any Loan Party has incurred any liability to the UK Pension Scheme as a result of ceasing to participate in the UK Pension Scheme and (to the knowledge of the Borrower or Kodak Limited) no Affiliate of any Loan Party has stated any intention to cease to participate in the UK Pension Scheme, except pursuant to the KPP Settlement Agreement.</w:t>
      </w:r>
    </w:p>
    <w:p>
      <w:pPr>
        <w:spacing w:after="0" w:line="81" w:lineRule="exact"/>
        <w:rPr>
          <w:rFonts w:ascii="Arial" w:cs="Arial" w:eastAsia="Arial" w:hAnsi="Arial"/>
          <w:sz w:val="18"/>
          <w:szCs w:val="18"/>
          <w:color w:val="010000"/>
        </w:rPr>
      </w:pPr>
    </w:p>
    <w:p>
      <w:pPr>
        <w:jc w:val="both"/>
        <w:ind w:right="220" w:firstLine="1041"/>
        <w:spacing w:after="0" w:line="257" w:lineRule="auto"/>
        <w:tabs>
          <w:tab w:leader="none" w:pos="1286" w:val="left"/>
        </w:tabs>
        <w:numPr>
          <w:ilvl w:val="0"/>
          <w:numId w:val="82"/>
        </w:numPr>
        <w:rPr>
          <w:rFonts w:ascii="Arial" w:cs="Arial" w:eastAsia="Arial" w:hAnsi="Arial"/>
          <w:sz w:val="18"/>
          <w:szCs w:val="18"/>
          <w:color w:val="010000"/>
        </w:rPr>
      </w:pPr>
      <w:r>
        <w:rPr>
          <w:rFonts w:ascii="Arial" w:cs="Arial" w:eastAsia="Arial" w:hAnsi="Arial"/>
          <w:sz w:val="18"/>
          <w:szCs w:val="18"/>
          <w:color w:val="010000"/>
        </w:rPr>
        <w:t>As of the Closing Date, no Loan Party nor any Affiliate of any Loan Party has been notified by the trustees of the UK Pension Scheme that the UK Pension Scheme is being wound up and (to the knowledge of the Borrower or Kodak Limited) the trustees of the UK Pension Scheme have not stated any intention to do so, except pursuant to the KPP Settlement Agreement.</w:t>
      </w:r>
    </w:p>
    <w:p>
      <w:pPr>
        <w:spacing w:after="0" w:line="81" w:lineRule="exact"/>
        <w:rPr>
          <w:rFonts w:ascii="Arial" w:cs="Arial" w:eastAsia="Arial" w:hAnsi="Arial"/>
          <w:sz w:val="18"/>
          <w:szCs w:val="18"/>
          <w:color w:val="010000"/>
        </w:rPr>
      </w:pPr>
    </w:p>
    <w:p>
      <w:pPr>
        <w:ind w:right="20" w:firstLine="1041"/>
        <w:spacing w:after="0" w:line="273" w:lineRule="auto"/>
        <w:tabs>
          <w:tab w:leader="none" w:pos="1286" w:val="left"/>
        </w:tabs>
        <w:numPr>
          <w:ilvl w:val="0"/>
          <w:numId w:val="82"/>
        </w:numPr>
        <w:rPr>
          <w:rFonts w:ascii="Arial" w:cs="Arial" w:eastAsia="Arial" w:hAnsi="Arial"/>
          <w:sz w:val="17"/>
          <w:szCs w:val="17"/>
          <w:color w:val="010000"/>
        </w:rPr>
      </w:pPr>
      <w:r>
        <w:rPr>
          <w:rFonts w:ascii="Arial" w:cs="Arial" w:eastAsia="Arial" w:hAnsi="Arial"/>
          <w:sz w:val="17"/>
          <w:szCs w:val="17"/>
          <w:color w:val="010000"/>
        </w:rPr>
        <w:t>Except as would not reasonably be expected to result in a Material Adverse Effect or, except pursuant to the KPP Settlement Agreement, as of the Closing Date, the UK Pension Schemes are duly registered for HMRC tax purposes, all material obligations of each Affiliate required to be performed in connection with the UK Pension Schemes and any funding agreements therefor have been performed in a timely fashion; and there are no material outstanding disputes involving the Borrower or any of its Affiliates concerning the UK Pension Schemes.</w:t>
      </w:r>
    </w:p>
    <w:p>
      <w:pPr>
        <w:spacing w:after="0" w:line="70" w:lineRule="exact"/>
        <w:rPr>
          <w:rFonts w:ascii="Arial" w:cs="Arial" w:eastAsia="Arial" w:hAnsi="Arial"/>
          <w:sz w:val="17"/>
          <w:szCs w:val="17"/>
          <w:color w:val="010000"/>
        </w:rPr>
      </w:pPr>
    </w:p>
    <w:p>
      <w:pPr>
        <w:ind w:right="180" w:firstLine="1041"/>
        <w:spacing w:after="0" w:line="267" w:lineRule="auto"/>
        <w:tabs>
          <w:tab w:leader="none" w:pos="1286" w:val="left"/>
        </w:tabs>
        <w:numPr>
          <w:ilvl w:val="0"/>
          <w:numId w:val="82"/>
        </w:numPr>
        <w:rPr>
          <w:rFonts w:ascii="Arial" w:cs="Arial" w:eastAsia="Arial" w:hAnsi="Arial"/>
          <w:sz w:val="18"/>
          <w:szCs w:val="18"/>
          <w:color w:val="010000"/>
        </w:rPr>
      </w:pPr>
      <w:r>
        <w:rPr>
          <w:rFonts w:ascii="Arial" w:cs="Arial" w:eastAsia="Arial" w:hAnsi="Arial"/>
          <w:sz w:val="18"/>
          <w:szCs w:val="18"/>
          <w:color w:val="010000"/>
        </w:rPr>
        <w:t xml:space="preserve">None of the Loan Parties or their Subsidiaries is a party to or bound by any collective bargaining or similar agreement with any union, labor organization or other bargaining agent except as set forth on </w:t>
      </w:r>
      <w:r>
        <w:rPr>
          <w:rFonts w:ascii="Arial" w:cs="Arial" w:eastAsia="Arial" w:hAnsi="Arial"/>
          <w:sz w:val="18"/>
          <w:szCs w:val="18"/>
          <w:u w:val="single" w:color="auto"/>
          <w:color w:val="010000"/>
        </w:rPr>
        <w:t>Schedule 4.01(q)</w:t>
      </w:r>
      <w:r>
        <w:rPr>
          <w:rFonts w:ascii="Arial" w:cs="Arial" w:eastAsia="Arial" w:hAnsi="Arial"/>
          <w:sz w:val="18"/>
          <w:szCs w:val="18"/>
          <w:color w:val="010000"/>
        </w:rPr>
        <w:t>.</w:t>
      </w:r>
    </w:p>
    <w:p>
      <w:pPr>
        <w:spacing w:after="0" w:line="72" w:lineRule="exact"/>
        <w:rPr>
          <w:rFonts w:ascii="Arial" w:cs="Arial" w:eastAsia="Arial" w:hAnsi="Arial"/>
          <w:sz w:val="18"/>
          <w:szCs w:val="18"/>
          <w:color w:val="010000"/>
        </w:rPr>
      </w:pPr>
    </w:p>
    <w:p>
      <w:pPr>
        <w:ind w:right="20" w:firstLine="1041"/>
        <w:spacing w:after="0" w:line="254" w:lineRule="auto"/>
        <w:tabs>
          <w:tab w:leader="none" w:pos="1256" w:val="left"/>
        </w:tabs>
        <w:numPr>
          <w:ilvl w:val="0"/>
          <w:numId w:val="82"/>
        </w:numPr>
        <w:rPr>
          <w:rFonts w:ascii="Arial" w:cs="Arial" w:eastAsia="Arial" w:hAnsi="Arial"/>
          <w:sz w:val="18"/>
          <w:szCs w:val="18"/>
          <w:color w:val="010000"/>
        </w:rPr>
      </w:pPr>
      <w:r>
        <w:rPr>
          <w:rFonts w:ascii="Arial" w:cs="Arial" w:eastAsia="Arial" w:hAnsi="Arial"/>
          <w:sz w:val="18"/>
          <w:szCs w:val="18"/>
          <w:color w:val="010000"/>
        </w:rPr>
        <w:t>Except to the extent the Company or a Subsidiary has set aside on its books adequate reserves in accordance with GAAP, the operations and properties of the Company and each of its Consolidated Subsidiaries comply in all material respects with all applicable Environmental Laws and Environmental Permits, except as could not reasonably be expected to have a Material Adverse Effect, all past non-compliance with such Environmental Laws and Environmental Permits has been or is reasonably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03" w:name="page104"/>
    <w:bookmarkEnd w:id="103"/>
    <w:p>
      <w:pPr>
        <w:ind w:right="40"/>
        <w:spacing w:after="0" w:line="273" w:lineRule="auto"/>
        <w:rPr>
          <w:sz w:val="20"/>
          <w:szCs w:val="20"/>
          <w:color w:val="auto"/>
        </w:rPr>
      </w:pPr>
      <w:r>
        <w:rPr>
          <w:rFonts w:ascii="Arial" w:cs="Arial" w:eastAsia="Arial" w:hAnsi="Arial"/>
          <w:sz w:val="17"/>
          <w:szCs w:val="17"/>
          <w:color w:val="010000"/>
        </w:rPr>
        <w:t>expected to be resolved without ongoing obligations or costs that have had or are reasonably expected to have a Material Adverse Effect, and no circumstances exist that are reasonably likely to (A) form the basis of an Environmental Action against the Company or any of its Subsidiaries or any of their properties that is reasonably expected to have a Material Adverse Effect or (B) cause any such property to be subject to any restrictions on ownership, occupancy, use or transferability under any Environmental Law that is reasonably expected to have a Material Adverse Effect.</w:t>
      </w:r>
    </w:p>
    <w:p>
      <w:pPr>
        <w:spacing w:after="0" w:line="71" w:lineRule="exact"/>
        <w:rPr>
          <w:sz w:val="20"/>
          <w:szCs w:val="20"/>
          <w:color w:val="auto"/>
        </w:rPr>
      </w:pPr>
    </w:p>
    <w:p>
      <w:pPr>
        <w:ind w:right="220" w:firstLine="1041"/>
        <w:spacing w:after="0" w:line="291" w:lineRule="auto"/>
        <w:tabs>
          <w:tab w:leader="none" w:pos="1266" w:val="left"/>
        </w:tabs>
        <w:numPr>
          <w:ilvl w:val="0"/>
          <w:numId w:val="83"/>
        </w:numPr>
        <w:rPr>
          <w:rFonts w:ascii="Arial" w:cs="Arial" w:eastAsia="Arial" w:hAnsi="Arial"/>
          <w:sz w:val="16"/>
          <w:szCs w:val="16"/>
          <w:color w:val="010000"/>
        </w:rPr>
      </w:pPr>
      <w:r>
        <w:rPr>
          <w:rFonts w:ascii="Arial" w:cs="Arial" w:eastAsia="Arial" w:hAnsi="Arial"/>
          <w:sz w:val="16"/>
          <w:szCs w:val="16"/>
          <w:color w:val="010000"/>
        </w:rPr>
        <w:t>The Company and each of its Subsidiaries has good and marketable fee simple title to or valid leasehold interests in all of the real property owned or leased by the Company or such Subsidiary and good title to all of their personal property, except where the failure to hold such title or leasehold interests, individually or in the aggregate is not reasonably expected to have a Material Adverse Effect. To the knowledge of the Company, the Company and each of its Subsidiaries enjoy peaceful and undisturbed possession under all of their respective leases except where the failure to enjoy such peaceful and undisturbed possession, individually or in the aggregate, is not reasonably expected to have a Material Adverse Effect.</w:t>
      </w:r>
    </w:p>
    <w:p>
      <w:pPr>
        <w:spacing w:after="0" w:line="58" w:lineRule="exact"/>
        <w:rPr>
          <w:rFonts w:ascii="Arial" w:cs="Arial" w:eastAsia="Arial" w:hAnsi="Arial"/>
          <w:sz w:val="16"/>
          <w:szCs w:val="16"/>
          <w:color w:val="010000"/>
        </w:rPr>
      </w:pPr>
    </w:p>
    <w:p>
      <w:pPr>
        <w:ind w:firstLine="1041"/>
        <w:spacing w:after="0" w:line="283" w:lineRule="auto"/>
        <w:tabs>
          <w:tab w:leader="none" w:pos="1246" w:val="left"/>
        </w:tabs>
        <w:numPr>
          <w:ilvl w:val="0"/>
          <w:numId w:val="83"/>
        </w:numPr>
        <w:rPr>
          <w:rFonts w:ascii="Arial" w:cs="Arial" w:eastAsia="Arial" w:hAnsi="Arial"/>
          <w:sz w:val="16"/>
          <w:szCs w:val="16"/>
          <w:color w:val="010000"/>
        </w:rPr>
      </w:pPr>
      <w:r>
        <w:rPr>
          <w:rFonts w:ascii="Arial" w:cs="Arial" w:eastAsia="Arial" w:hAnsi="Arial"/>
          <w:sz w:val="16"/>
          <w:szCs w:val="16"/>
          <w:color w:val="010000"/>
        </w:rPr>
        <w:t xml:space="preserve">All factual information (other than information of an industry specific or general economic nature), taken as a whole, furnished by or on behalf of the Company, in writing to the Agent, the Arrangers or any Lender on or prior to the Closing Date, for purposes of this Agreement and all other such factual information (other than information of an industry specific or general economic nature), taken as a whole, furnished by the Company in writing to the Agent, the Arrangers or any Lender pursuant to the terms of this Agreement (after the date of this Agreement) will be, true and accurate in all material respects on the date as of which such information is dated or furnished and not incomplete by knowingly omitting to state any material fact necessary to make such information, taken as a whole, not materially misleading at such time,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with respect to any projected financial information (including the Projections), estimates or other forward-looking statements (collectively, “</w:t>
      </w:r>
      <w:r>
        <w:rPr>
          <w:rFonts w:ascii="Arial" w:cs="Arial" w:eastAsia="Arial" w:hAnsi="Arial"/>
          <w:sz w:val="16"/>
          <w:szCs w:val="16"/>
          <w:u w:val="single" w:color="auto"/>
          <w:color w:val="010000"/>
        </w:rPr>
        <w:t>Forward-Looking Information</w:t>
      </w:r>
      <w:r>
        <w:rPr>
          <w:rFonts w:ascii="Arial" w:cs="Arial" w:eastAsia="Arial" w:hAnsi="Arial"/>
          <w:sz w:val="16"/>
          <w:szCs w:val="16"/>
          <w:color w:val="010000"/>
        </w:rPr>
        <w:t xml:space="preserve">”), the Company represents only that such information was prepared in good faith based upon assumptions, and subject to such qualifications, believed to be reasonable at the time; </w:t>
      </w:r>
      <w:r>
        <w:rPr>
          <w:rFonts w:ascii="Arial" w:cs="Arial" w:eastAsia="Arial" w:hAnsi="Arial"/>
          <w:sz w:val="16"/>
          <w:szCs w:val="16"/>
          <w:u w:val="single" w:color="auto"/>
          <w:color w:val="010000"/>
        </w:rPr>
        <w:t>provided</w:t>
      </w:r>
      <w:r>
        <w:rPr>
          <w:rFonts w:ascii="Arial" w:cs="Arial" w:eastAsia="Arial" w:hAnsi="Arial"/>
          <w:sz w:val="16"/>
          <w:szCs w:val="16"/>
          <w:color w:val="010000"/>
        </w:rPr>
        <w:t>, it is understood that such Projections are not to be viewed as facts or as a guarantee of performance of achievement of any particular results and that actual results may vary from projected results (many of which factors are beyond the control of the Company and Subsidiaries and their respective officers, representatives and advisors) and that such variances may be material and that no assurance can be given that such Forward-Looking Information will be realized.</w:t>
      </w:r>
    </w:p>
    <w:p>
      <w:pPr>
        <w:spacing w:after="0" w:line="67" w:lineRule="exact"/>
        <w:rPr>
          <w:rFonts w:ascii="Arial" w:cs="Arial" w:eastAsia="Arial" w:hAnsi="Arial"/>
          <w:sz w:val="16"/>
          <w:szCs w:val="16"/>
          <w:color w:val="010000"/>
        </w:rPr>
      </w:pPr>
    </w:p>
    <w:p>
      <w:pPr>
        <w:ind w:right="20" w:firstLine="1041"/>
        <w:spacing w:after="0" w:line="267" w:lineRule="auto"/>
        <w:tabs>
          <w:tab w:leader="none" w:pos="1286" w:val="left"/>
        </w:tabs>
        <w:numPr>
          <w:ilvl w:val="0"/>
          <w:numId w:val="83"/>
        </w:numPr>
        <w:rPr>
          <w:rFonts w:ascii="Arial" w:cs="Arial" w:eastAsia="Arial" w:hAnsi="Arial"/>
          <w:sz w:val="17"/>
          <w:szCs w:val="17"/>
          <w:color w:val="010000"/>
        </w:rPr>
      </w:pPr>
      <w:r>
        <w:rPr>
          <w:rFonts w:ascii="Arial" w:cs="Arial" w:eastAsia="Arial" w:hAnsi="Arial"/>
          <w:sz w:val="17"/>
          <w:szCs w:val="17"/>
          <w:color w:val="010000"/>
        </w:rPr>
        <w:t>All filings and other actions necessary to perfect and protect the security interest in the Collateral (other than in respect of the Specified Collateral as set forth in Section 6(m) of the Security Agreement created under the Collateral Documents have been duly made or taken and are in full force and effect, and the Collateral Documents create in favor of the Agent for the benefit of the Secured Parties a valid and, together with such filings and other actions, perfected except as otherwise provided in the Intercreditor Agreements security interest with the applicable priority in the Collateral (other than the Specified Collateral), securing the payment of the Secured Obligations (as defined in each Security Agreement), and all filings and other actions necessary to perfect and protect such security interest have been duly taken. The Loan Parties are the legal and beneficial owners of the Collateral free and clear of any Lien, except for the liens and security interests created or permitted under the Loan Documents.</w:t>
      </w:r>
    </w:p>
    <w:p>
      <w:pPr>
        <w:spacing w:after="0" w:line="77" w:lineRule="exact"/>
        <w:rPr>
          <w:rFonts w:ascii="Arial" w:cs="Arial" w:eastAsia="Arial" w:hAnsi="Arial"/>
          <w:sz w:val="17"/>
          <w:szCs w:val="17"/>
          <w:color w:val="010000"/>
        </w:rPr>
      </w:pPr>
    </w:p>
    <w:p>
      <w:pPr>
        <w:ind w:left="1300" w:hanging="259"/>
        <w:spacing w:after="0"/>
        <w:tabs>
          <w:tab w:leader="none" w:pos="1300" w:val="left"/>
        </w:tabs>
        <w:numPr>
          <w:ilvl w:val="0"/>
          <w:numId w:val="83"/>
        </w:numPr>
        <w:rPr>
          <w:rFonts w:ascii="Arial" w:cs="Arial" w:eastAsia="Arial" w:hAnsi="Arial"/>
          <w:sz w:val="18"/>
          <w:szCs w:val="18"/>
          <w:color w:val="010000"/>
        </w:rPr>
      </w:pPr>
      <w:r>
        <w:rPr>
          <w:rFonts w:ascii="Arial" w:cs="Arial" w:eastAsia="Arial" w:hAnsi="Arial"/>
          <w:sz w:val="18"/>
          <w:szCs w:val="18"/>
          <w:color w:val="010000"/>
        </w:rPr>
        <w:t>The Company, together with its Restricted Subsidiaries, on a Consolidated basis is Solvent.</w:t>
      </w:r>
    </w:p>
    <w:p>
      <w:pPr>
        <w:spacing w:after="0" w:line="113" w:lineRule="exact"/>
        <w:rPr>
          <w:rFonts w:ascii="Arial" w:cs="Arial" w:eastAsia="Arial" w:hAnsi="Arial"/>
          <w:sz w:val="18"/>
          <w:szCs w:val="18"/>
          <w:color w:val="010000"/>
        </w:rPr>
      </w:pPr>
    </w:p>
    <w:p>
      <w:pPr>
        <w:ind w:right="140" w:firstLine="1041"/>
        <w:spacing w:after="0" w:line="284" w:lineRule="auto"/>
        <w:tabs>
          <w:tab w:leader="none" w:pos="1325" w:val="left"/>
        </w:tabs>
        <w:numPr>
          <w:ilvl w:val="0"/>
          <w:numId w:val="83"/>
        </w:numPr>
        <w:rPr>
          <w:rFonts w:ascii="Arial" w:cs="Arial" w:eastAsia="Arial" w:hAnsi="Arial"/>
          <w:sz w:val="16"/>
          <w:szCs w:val="16"/>
          <w:color w:val="010000"/>
        </w:rPr>
      </w:pPr>
      <w:r>
        <w:rPr>
          <w:rFonts w:ascii="Arial" w:cs="Arial" w:eastAsia="Arial" w:hAnsi="Arial"/>
          <w:sz w:val="16"/>
          <w:szCs w:val="16"/>
          <w:color w:val="010000"/>
        </w:rPr>
        <w:t xml:space="preserve">(i) Set forth on Part A of </w:t>
      </w:r>
      <w:r>
        <w:rPr>
          <w:rFonts w:ascii="Arial" w:cs="Arial" w:eastAsia="Arial" w:hAnsi="Arial"/>
          <w:sz w:val="16"/>
          <w:szCs w:val="16"/>
          <w:u w:val="single" w:color="auto"/>
          <w:color w:val="010000"/>
        </w:rPr>
        <w:t>Schedule II</w:t>
      </w:r>
      <w:r>
        <w:rPr>
          <w:rFonts w:ascii="Arial" w:cs="Arial" w:eastAsia="Arial" w:hAnsi="Arial"/>
          <w:sz w:val="16"/>
          <w:szCs w:val="16"/>
          <w:color w:val="010000"/>
        </w:rPr>
        <w:t xml:space="preserve"> hereto is a complete and accurate list of all direct and indirect Subsidiaries of the Company that are organized under the laws of a state of the United States of America, and (ii) set forth on Part B of </w:t>
      </w:r>
      <w:r>
        <w:rPr>
          <w:rFonts w:ascii="Arial" w:cs="Arial" w:eastAsia="Arial" w:hAnsi="Arial"/>
          <w:sz w:val="16"/>
          <w:szCs w:val="16"/>
          <w:u w:val="single" w:color="auto"/>
          <w:color w:val="010000"/>
        </w:rPr>
        <w:t>Schedule II</w:t>
      </w:r>
      <w:r>
        <w:rPr>
          <w:rFonts w:ascii="Arial" w:cs="Arial" w:eastAsia="Arial" w:hAnsi="Arial"/>
          <w:sz w:val="16"/>
          <w:szCs w:val="16"/>
          <w:color w:val="010000"/>
        </w:rPr>
        <w:t xml:space="preserve"> hereto is a complete and accurate list of all Subsidiaries of Company, showing, in each case, as of the Closing Date (as to each such Subsidiary) the jurisdiction of its formation, the number of shares, membership interests or partnership interests (as applicable) of each class of its equity interests authorized, and the number outstanding, on the Closing Date and the percentage of each such class of its equity interests owned directly by the applicable Loan Party and the number of shares covered by all outstanding options, warrants, rights of conversion or purchase and similar rights at the Closing Date. Except as set forth on Part C of </w:t>
      </w:r>
      <w:r>
        <w:rPr>
          <w:rFonts w:ascii="Arial" w:cs="Arial" w:eastAsia="Arial" w:hAnsi="Arial"/>
          <w:sz w:val="16"/>
          <w:szCs w:val="16"/>
          <w:u w:val="single" w:color="auto"/>
          <w:color w:val="010000"/>
        </w:rPr>
        <w:t>Schedule II</w:t>
      </w:r>
      <w:r>
        <w:rPr>
          <w:rFonts w:ascii="Arial" w:cs="Arial" w:eastAsia="Arial" w:hAnsi="Arial"/>
          <w:sz w:val="16"/>
          <w:szCs w:val="16"/>
          <w:color w:val="010000"/>
        </w:rPr>
        <w:t xml:space="preserve"> hereto, all of the outstanding equity interests in each Loan Party’s Subsidiaries have been validly issued, are fully paid and non-assessable and, except as otherwise provided herein, are owned by such Loan Party or one or more of its Subsidiaries, other than director’s qualifying shares or similar minority interests required under the laws of the Subsidiary’s formation, free and clear of all Liens, except those created under the Collateral Documents or permitted under the Loan Documents.</w:t>
      </w:r>
    </w:p>
    <w:p>
      <w:pPr>
        <w:spacing w:after="0" w:line="67" w:lineRule="exact"/>
        <w:rPr>
          <w:rFonts w:ascii="Arial" w:cs="Arial" w:eastAsia="Arial" w:hAnsi="Arial"/>
          <w:sz w:val="16"/>
          <w:szCs w:val="16"/>
          <w:color w:val="010000"/>
        </w:rPr>
      </w:pPr>
    </w:p>
    <w:p>
      <w:pPr>
        <w:jc w:val="both"/>
        <w:ind w:right="320" w:firstLine="1041"/>
        <w:spacing w:after="0" w:line="254" w:lineRule="auto"/>
        <w:tabs>
          <w:tab w:leader="none" w:pos="1286" w:val="left"/>
        </w:tabs>
        <w:numPr>
          <w:ilvl w:val="0"/>
          <w:numId w:val="83"/>
        </w:numPr>
        <w:rPr>
          <w:rFonts w:ascii="Arial" w:cs="Arial" w:eastAsia="Arial" w:hAnsi="Arial"/>
          <w:sz w:val="18"/>
          <w:szCs w:val="18"/>
          <w:color w:val="010000"/>
        </w:rPr>
      </w:pPr>
      <w:r>
        <w:rPr>
          <w:rFonts w:ascii="Arial" w:cs="Arial" w:eastAsia="Arial" w:hAnsi="Arial"/>
          <w:sz w:val="18"/>
          <w:szCs w:val="18"/>
          <w:color w:val="010000"/>
        </w:rPr>
        <w:t xml:space="preserve">Part I of </w:t>
      </w:r>
      <w:r>
        <w:rPr>
          <w:rFonts w:ascii="Arial" w:cs="Arial" w:eastAsia="Arial" w:hAnsi="Arial"/>
          <w:sz w:val="18"/>
          <w:szCs w:val="18"/>
          <w:u w:val="single" w:color="auto"/>
          <w:color w:val="010000"/>
        </w:rPr>
        <w:t>Schedule III</w:t>
      </w:r>
      <w:r>
        <w:rPr>
          <w:rFonts w:ascii="Arial" w:cs="Arial" w:eastAsia="Arial" w:hAnsi="Arial"/>
          <w:sz w:val="18"/>
          <w:szCs w:val="18"/>
          <w:color w:val="010000"/>
        </w:rPr>
        <w:t xml:space="preserve"> sets forth all Deposit Accounts that are maintained by the Loan Parties as of the Closing Date, which schedule shall include, with respect to each depository as of the Closing Date (i) the name and address of such depository; (ii) the account number(s) maintained with such depository; and (iii) a contact person at such depository. Part II of </w:t>
      </w:r>
      <w:r>
        <w:rPr>
          <w:rFonts w:ascii="Arial" w:cs="Arial" w:eastAsia="Arial" w:hAnsi="Arial"/>
          <w:sz w:val="18"/>
          <w:szCs w:val="18"/>
          <w:u w:val="single" w:color="auto"/>
          <w:color w:val="010000"/>
        </w:rPr>
        <w:t>Schedule III</w:t>
      </w:r>
      <w:r>
        <w:rPr>
          <w:rFonts w:ascii="Arial" w:cs="Arial" w:eastAsia="Arial" w:hAnsi="Arial"/>
          <w:sz w:val="18"/>
          <w:szCs w:val="18"/>
          <w:color w:val="010000"/>
        </w:rPr>
        <w:t xml:space="preserve"> sets forth all lock boxes that are maintained by the Loan Parties as of the Closing Date.</w:t>
      </w:r>
    </w:p>
    <w:p>
      <w:pPr>
        <w:spacing w:after="0" w:line="83" w:lineRule="exact"/>
        <w:rPr>
          <w:rFonts w:ascii="Arial" w:cs="Arial" w:eastAsia="Arial" w:hAnsi="Arial"/>
          <w:sz w:val="18"/>
          <w:szCs w:val="18"/>
          <w:color w:val="010000"/>
        </w:rPr>
      </w:pPr>
    </w:p>
    <w:p>
      <w:pPr>
        <w:ind w:left="1300" w:hanging="259"/>
        <w:spacing w:after="0"/>
        <w:tabs>
          <w:tab w:leader="none" w:pos="1300" w:val="left"/>
        </w:tabs>
        <w:numPr>
          <w:ilvl w:val="0"/>
          <w:numId w:val="83"/>
        </w:numPr>
        <w:rPr>
          <w:rFonts w:ascii="Arial" w:cs="Arial" w:eastAsia="Arial" w:hAnsi="Arial"/>
          <w:sz w:val="18"/>
          <w:szCs w:val="18"/>
          <w:color w:val="010000"/>
        </w:rPr>
      </w:pPr>
      <w:r>
        <w:rPr>
          <w:rFonts w:ascii="Arial" w:cs="Arial" w:eastAsia="Arial" w:hAnsi="Arial"/>
          <w:sz w:val="18"/>
          <w:szCs w:val="18"/>
          <w:color w:val="010000"/>
        </w:rPr>
        <w:t>[Reserved].</w:t>
      </w:r>
    </w:p>
    <w:p>
      <w:pPr>
        <w:spacing w:after="0" w:line="113" w:lineRule="exact"/>
        <w:rPr>
          <w:rFonts w:ascii="Arial" w:cs="Arial" w:eastAsia="Arial" w:hAnsi="Arial"/>
          <w:sz w:val="18"/>
          <w:szCs w:val="18"/>
          <w:color w:val="010000"/>
        </w:rPr>
      </w:pPr>
    </w:p>
    <w:p>
      <w:pPr>
        <w:ind w:right="20" w:firstLine="1041"/>
        <w:spacing w:after="0" w:line="291" w:lineRule="auto"/>
        <w:tabs>
          <w:tab w:leader="none" w:pos="1276" w:val="left"/>
        </w:tabs>
        <w:numPr>
          <w:ilvl w:val="0"/>
          <w:numId w:val="83"/>
        </w:numPr>
        <w:rPr>
          <w:rFonts w:ascii="Arial" w:cs="Arial" w:eastAsia="Arial" w:hAnsi="Arial"/>
          <w:sz w:val="16"/>
          <w:szCs w:val="16"/>
          <w:color w:val="010000"/>
        </w:rPr>
      </w:pPr>
      <w:r>
        <w:rPr>
          <w:rFonts w:ascii="Arial" w:cs="Arial" w:eastAsia="Arial" w:hAnsi="Arial"/>
          <w:sz w:val="16"/>
          <w:szCs w:val="16"/>
          <w:color w:val="010000"/>
        </w:rPr>
        <w:t>(i) The Company and its Restricted Subsidiaries have timely filed with the appropriate United States federal, state, local and foreign taxing authorities all federal income tax returns and reports and all other material tax returns and reports that were required to be filed by them and all such tax returns are true and correct in all material respects, (ii) the Company and its Restricted Subsidiaries have timely paid and discharged all taxes owed by them, whether or not shown on such tax returns or reports, and (iii) there is no proposed tax assessment against the Company or any of its Restricted Subsidiaries except, in the cases of clauses (ii) and (iii) of this clause (z), for the payment of any such taxes or any tax assessments which are being actively contested by the Company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04" w:name="page105"/>
    <w:bookmarkEnd w:id="104"/>
    <w:p>
      <w:pPr>
        <w:ind w:right="460"/>
        <w:spacing w:after="0" w:line="331" w:lineRule="auto"/>
        <w:rPr>
          <w:sz w:val="20"/>
          <w:szCs w:val="20"/>
          <w:color w:val="auto"/>
        </w:rPr>
      </w:pPr>
      <w:r>
        <w:rPr>
          <w:rFonts w:ascii="Arial" w:cs="Arial" w:eastAsia="Arial" w:hAnsi="Arial"/>
          <w:sz w:val="16"/>
          <w:szCs w:val="16"/>
          <w:color w:val="010000"/>
        </w:rPr>
        <w:t xml:space="preserve">such Restricted Subsidiary in good faith and by appropriate proceedings or which have not had, and would not be reasonably expected to have, a Material Adverse Effect; </w:t>
      </w:r>
      <w:r>
        <w:rPr>
          <w:rFonts w:ascii="Arial" w:cs="Arial" w:eastAsia="Arial" w:hAnsi="Arial"/>
          <w:sz w:val="16"/>
          <w:szCs w:val="16"/>
          <w:u w:val="single" w:color="auto"/>
          <w:color w:val="010000"/>
        </w:rPr>
        <w:t>provided</w:t>
      </w:r>
      <w:r>
        <w:rPr>
          <w:rFonts w:ascii="Arial" w:cs="Arial" w:eastAsia="Arial" w:hAnsi="Arial"/>
          <w:sz w:val="16"/>
          <w:szCs w:val="16"/>
          <w:color w:val="010000"/>
        </w:rPr>
        <w:t>, appropriate reserves, if any, as shall be required in conformity with GAAP shall have been made or provided therefor.</w:t>
      </w:r>
    </w:p>
    <w:p>
      <w:pPr>
        <w:spacing w:after="0" w:line="26" w:lineRule="exact"/>
        <w:rPr>
          <w:sz w:val="20"/>
          <w:szCs w:val="20"/>
          <w:color w:val="auto"/>
        </w:rPr>
      </w:pPr>
    </w:p>
    <w:p>
      <w:pPr>
        <w:ind w:right="200" w:firstLine="1041"/>
        <w:spacing w:after="0" w:line="279" w:lineRule="auto"/>
        <w:tabs>
          <w:tab w:leader="none" w:pos="1355" w:val="left"/>
        </w:tabs>
        <w:numPr>
          <w:ilvl w:val="0"/>
          <w:numId w:val="84"/>
        </w:numPr>
        <w:rPr>
          <w:rFonts w:ascii="Arial" w:cs="Arial" w:eastAsia="Arial" w:hAnsi="Arial"/>
          <w:sz w:val="17"/>
          <w:szCs w:val="17"/>
          <w:color w:val="010000"/>
        </w:rPr>
      </w:pPr>
      <w:r>
        <w:rPr>
          <w:rFonts w:ascii="Arial" w:cs="Arial" w:eastAsia="Arial" w:hAnsi="Arial"/>
          <w:sz w:val="17"/>
          <w:szCs w:val="17"/>
          <w:color w:val="010000"/>
        </w:rPr>
        <w:t>Each of the Borrower and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w:t>
      </w:r>
    </w:p>
    <w:p>
      <w:pPr>
        <w:spacing w:after="0" w:line="65" w:lineRule="exact"/>
        <w:rPr>
          <w:rFonts w:ascii="Arial" w:cs="Arial" w:eastAsia="Arial" w:hAnsi="Arial"/>
          <w:sz w:val="17"/>
          <w:szCs w:val="17"/>
          <w:color w:val="010000"/>
        </w:rPr>
      </w:pPr>
    </w:p>
    <w:p>
      <w:pPr>
        <w:ind w:right="320" w:firstLine="1041"/>
        <w:spacing w:after="0" w:line="283" w:lineRule="auto"/>
        <w:tabs>
          <w:tab w:leader="none" w:pos="1375" w:val="left"/>
        </w:tabs>
        <w:numPr>
          <w:ilvl w:val="0"/>
          <w:numId w:val="84"/>
        </w:numPr>
        <w:rPr>
          <w:rFonts w:ascii="Arial" w:cs="Arial" w:eastAsia="Arial" w:hAnsi="Arial"/>
          <w:sz w:val="16"/>
          <w:szCs w:val="16"/>
          <w:color w:val="010000"/>
        </w:rPr>
      </w:pPr>
      <w:r>
        <w:rPr>
          <w:rFonts w:ascii="Arial" w:cs="Arial" w:eastAsia="Arial" w:hAnsi="Arial"/>
          <w:sz w:val="16"/>
          <w:szCs w:val="16"/>
          <w:color w:val="010000"/>
        </w:rPr>
        <w:t>Neither the advance of the Revolving Loans to the Borrower nor the use of the proceeds of any thereof will violate any Sanction or any enabling legislation or executive order relating thereto (which for the avoidance of doubt shall include, but shall not be limited to Executive Order 13224 of September 21, 2001 Blocking Property and Prohibiting Transactions With Persons Who Commit, Threaten to Commit, or Support Terrorism (66 Fed. Reg.</w:t>
      </w:r>
    </w:p>
    <w:p>
      <w:pPr>
        <w:ind w:right="100"/>
        <w:spacing w:after="0" w:line="266" w:lineRule="auto"/>
        <w:rPr>
          <w:rFonts w:ascii="Arial" w:cs="Arial" w:eastAsia="Arial" w:hAnsi="Arial"/>
          <w:sz w:val="16"/>
          <w:szCs w:val="16"/>
          <w:color w:val="010000"/>
        </w:rPr>
      </w:pPr>
      <w:r>
        <w:rPr>
          <w:rFonts w:ascii="Arial" w:cs="Arial" w:eastAsia="Arial" w:hAnsi="Arial"/>
          <w:sz w:val="17"/>
          <w:szCs w:val="17"/>
          <w:color w:val="010000"/>
        </w:rPr>
        <w:t>49079 (2001)) (the “Executive Order”). Furthermore, neither the Borrower nor any Subsidiary, nor to the knowledge of the Borrower and its Subsidiaries, any director, officer, employee, agent, affiliate or representative thereof is a Person that is (x) included on OFAC’s List of Specifically Designated Nationals or HMT’s Consolidated List of Financial Sanctions Targets and the Investment Ban List, or any similar list enforced by any other relevant sanctions authority, (y) operating, organized or resident in a Designated Jurisdiction or (z) controlled by any Person or Persons described in clauses (x) and (y). The Borrower has instituted and maintains in effect policies and procedures designed to promote and achieve compliance by the Borrower, its Subsidiaries and its and their respective directors, officers, employees, agents and affiliates with Sanctions laws and regulations.</w:t>
      </w:r>
    </w:p>
    <w:p>
      <w:pPr>
        <w:spacing w:after="0" w:line="75" w:lineRule="exact"/>
        <w:rPr>
          <w:rFonts w:ascii="Arial" w:cs="Arial" w:eastAsia="Arial" w:hAnsi="Arial"/>
          <w:sz w:val="16"/>
          <w:szCs w:val="16"/>
          <w:color w:val="010000"/>
        </w:rPr>
      </w:pPr>
    </w:p>
    <w:p>
      <w:pPr>
        <w:ind w:right="20" w:firstLine="1041"/>
        <w:spacing w:after="0" w:line="267" w:lineRule="auto"/>
        <w:tabs>
          <w:tab w:leader="none" w:pos="1355" w:val="left"/>
        </w:tabs>
        <w:numPr>
          <w:ilvl w:val="0"/>
          <w:numId w:val="84"/>
        </w:numPr>
        <w:rPr>
          <w:rFonts w:ascii="Arial" w:cs="Arial" w:eastAsia="Arial" w:hAnsi="Arial"/>
          <w:sz w:val="17"/>
          <w:szCs w:val="17"/>
          <w:color w:val="010000"/>
        </w:rPr>
      </w:pPr>
      <w:r>
        <w:rPr>
          <w:rFonts w:ascii="Arial" w:cs="Arial" w:eastAsia="Arial" w:hAnsi="Arial"/>
          <w:sz w:val="17"/>
          <w:szCs w:val="17"/>
          <w:color w:val="010000"/>
        </w:rPr>
        <w:t>Each Loan Party is in compliance, in all material respects, with the PATRIOT Act. No part of the proceeds of the Revolving Loans will be used by the Borrower or any Subsidiary, directly or, to the knowledge of the Borrower or any Subsidiary,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 including, without limitation, the United States Foreign Corrupt Practices Act of 1977, as amended. Each Loan Party is in compliance with Anti-Corruption Laws in all material respects. The Borrower has instituted and maintained in effect policies and procedures designed to promote and achieve compliance by the Borrower, its Subsidiaries and its and their respective directors, officers, employees, agents and affiliates with Anti-Corruption Laws.</w:t>
      </w:r>
    </w:p>
    <w:p>
      <w:pPr>
        <w:spacing w:after="0" w:line="77" w:lineRule="exact"/>
        <w:rPr>
          <w:rFonts w:ascii="Arial" w:cs="Arial" w:eastAsia="Arial" w:hAnsi="Arial"/>
          <w:sz w:val="17"/>
          <w:szCs w:val="17"/>
          <w:color w:val="010000"/>
        </w:rPr>
      </w:pPr>
    </w:p>
    <w:p>
      <w:pPr>
        <w:ind w:firstLine="1041"/>
        <w:spacing w:after="0" w:line="264" w:lineRule="auto"/>
        <w:tabs>
          <w:tab w:leader="none" w:pos="1375" w:val="left"/>
        </w:tabs>
        <w:numPr>
          <w:ilvl w:val="0"/>
          <w:numId w:val="84"/>
        </w:numPr>
        <w:rPr>
          <w:rFonts w:ascii="Arial" w:cs="Arial" w:eastAsia="Arial" w:hAnsi="Arial"/>
          <w:sz w:val="17"/>
          <w:szCs w:val="17"/>
          <w:color w:val="010000"/>
        </w:rPr>
      </w:pPr>
      <w:r>
        <w:rPr>
          <w:rFonts w:ascii="Arial" w:cs="Arial" w:eastAsia="Arial" w:hAnsi="Arial"/>
          <w:sz w:val="17"/>
          <w:szCs w:val="17"/>
          <w:color w:val="010000"/>
        </w:rPr>
        <w:t xml:space="preserve">As of the Closing Date and except as set forth on </w:t>
      </w:r>
      <w:r>
        <w:rPr>
          <w:rFonts w:ascii="Arial" w:cs="Arial" w:eastAsia="Arial" w:hAnsi="Arial"/>
          <w:sz w:val="17"/>
          <w:szCs w:val="17"/>
          <w:u w:val="single" w:color="auto"/>
          <w:color w:val="010000"/>
        </w:rPr>
        <w:t>Schedule 4.01(dd)</w:t>
      </w:r>
      <w:r>
        <w:rPr>
          <w:rFonts w:ascii="Arial" w:cs="Arial" w:eastAsia="Arial" w:hAnsi="Arial"/>
          <w:sz w:val="17"/>
          <w:szCs w:val="17"/>
          <w:color w:val="010000"/>
        </w:rPr>
        <w:t>, there are no strikes, lockouts or slowdowns against the Borrower or any Restricted Subsidiary pending or, to the knowledge of the Borrower, threatened. Except as would not, individually or in the aggregate, reasonably be expected to have a Material Adverse Effect, (i) the Borrower and its Restricted Subsidiaries are in compliance with the Fair Labor Standards Act or any other applicable Federal, state, local or foreign law dealing with hours worked by or payments made to employees or any similar matters (including but not limited to the appropriate classification of employees as exempt or non-exempt), (ii) the Borrower and its Restricted Subsidiaries have properly classified all individuals engaged as contractors as such under all applicable Federal, state, local or foreign law, (iii) the Borrower and its Restricted Subsidiaries are in compliance with the Worker Adjustment and Retraining Notification Act and all other state, local or foreign laws relating to plant closings or mass layoffs and (iv) all payments due from the Borrower or any Restricted Subsidiary, or for which any claim may be made against the Borrower or any Restricted Subsidiary, on account of wages and employee health and welfare insurance and other benefits, have been paid or accrued as a liability on the books of the Borrower or such Subsidiary. Neither the Borrower nor any Subsidiary is subject to any claims arising out of any employment matter, whether pending as of the Closing Date or to its knowledge threatened, which would, individually or in the aggregate, be reasonably expected to have a Material Adverse Effect. Except as does not, or would not reasonably be expected to, have a Material Adverse Effect, the consummation of the Closing Date Transactions will not give rise to any right of termination or right of renegotiation on the part of any union under any collective bargaining agreement to which the Borrower or any Restricted Subsidiary is bound.</w:t>
      </w:r>
    </w:p>
    <w:p>
      <w:pPr>
        <w:spacing w:after="0" w:line="83" w:lineRule="exact"/>
        <w:rPr>
          <w:rFonts w:ascii="Arial" w:cs="Arial" w:eastAsia="Arial" w:hAnsi="Arial"/>
          <w:sz w:val="17"/>
          <w:szCs w:val="17"/>
          <w:color w:val="010000"/>
        </w:rPr>
      </w:pPr>
    </w:p>
    <w:p>
      <w:pPr>
        <w:ind w:left="1360" w:hanging="319"/>
        <w:spacing w:after="0"/>
        <w:tabs>
          <w:tab w:leader="none" w:pos="1360" w:val="left"/>
        </w:tabs>
        <w:numPr>
          <w:ilvl w:val="0"/>
          <w:numId w:val="84"/>
        </w:numPr>
        <w:rPr>
          <w:rFonts w:ascii="Arial" w:cs="Arial" w:eastAsia="Arial" w:hAnsi="Arial"/>
          <w:sz w:val="17"/>
          <w:szCs w:val="17"/>
          <w:color w:val="010000"/>
        </w:rPr>
      </w:pPr>
      <w:r>
        <w:rPr>
          <w:rFonts w:ascii="Arial" w:cs="Arial" w:eastAsia="Arial" w:hAnsi="Arial"/>
          <w:sz w:val="17"/>
          <w:szCs w:val="17"/>
          <w:color w:val="010000"/>
        </w:rPr>
        <w:t>No Loan Party is an EEA Financial Institution.</w:t>
      </w:r>
    </w:p>
    <w:p>
      <w:pPr>
        <w:spacing w:after="0" w:line="124" w:lineRule="exact"/>
        <w:rPr>
          <w:rFonts w:ascii="Arial" w:cs="Arial" w:eastAsia="Arial" w:hAnsi="Arial"/>
          <w:sz w:val="17"/>
          <w:szCs w:val="17"/>
          <w:color w:val="010000"/>
        </w:rPr>
      </w:pPr>
    </w:p>
    <w:p>
      <w:pPr>
        <w:ind w:right="20" w:firstLine="1041"/>
        <w:spacing w:after="0" w:line="304" w:lineRule="auto"/>
        <w:tabs>
          <w:tab w:leader="none" w:pos="1312" w:val="left"/>
        </w:tabs>
        <w:numPr>
          <w:ilvl w:val="0"/>
          <w:numId w:val="84"/>
        </w:numPr>
        <w:rPr>
          <w:rFonts w:ascii="Arial" w:cs="Arial" w:eastAsia="Arial" w:hAnsi="Arial"/>
          <w:sz w:val="16"/>
          <w:szCs w:val="16"/>
          <w:color w:val="010000"/>
        </w:rPr>
      </w:pPr>
      <w:r>
        <w:rPr>
          <w:rFonts w:ascii="Arial" w:cs="Arial" w:eastAsia="Arial" w:hAnsi="Arial"/>
          <w:sz w:val="16"/>
          <w:szCs w:val="16"/>
          <w:color w:val="010000"/>
        </w:rPr>
        <w:t>No Loan Party is engaged, principally or as one of its important activities, in the business of extending credit for the purpose of purchasing or carrying any Margin Stock. No Revolving Loan proceeds or Letters of Credit will be used by the Company to purchase or carry, or to reduce or refinance any Debt incurred to purchase or carry, any Margin Stock or for any related purpose governed by Regulations T, U or X of the Board of Governors.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 OF THE LOAN PARTIES</w:t>
      </w:r>
    </w:p>
    <w:p>
      <w:pPr>
        <w:spacing w:after="0" w:line="220"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u w:val="single" w:color="auto"/>
          <w:color w:val="010000"/>
        </w:rPr>
        <w:t>Affirmative Covenants</w:t>
      </w:r>
      <w:r>
        <w:rPr>
          <w:rFonts w:ascii="Arial" w:cs="Arial" w:eastAsia="Arial" w:hAnsi="Arial"/>
          <w:sz w:val="17"/>
          <w:szCs w:val="17"/>
          <w:color w:val="010000"/>
        </w:rPr>
        <w:t>. So long as any Revolving Loan or any other payment Obligation (other than contingent indemnification obligations not yet due and payable) of any Loan Party under any Loan Document shall remain unpaid, any Letter of Credit is outstanding or any Lender shall have any Commitment hereunder, each Loan Party shall and shall cause each of its Restricted Subsidiaries to:</w:t>
      </w:r>
    </w:p>
    <w:p>
      <w:pPr>
        <w:spacing w:after="0" w:line="65" w:lineRule="exact"/>
        <w:rPr>
          <w:sz w:val="20"/>
          <w:szCs w:val="20"/>
          <w:color w:val="auto"/>
        </w:rPr>
      </w:pPr>
    </w:p>
    <w:p>
      <w:pPr>
        <w:ind w:right="20" w:firstLine="1041"/>
        <w:spacing w:after="0" w:line="279" w:lineRule="auto"/>
        <w:tabs>
          <w:tab w:leader="none" w:pos="1276" w:val="left"/>
        </w:tabs>
        <w:numPr>
          <w:ilvl w:val="0"/>
          <w:numId w:val="85"/>
        </w:numPr>
        <w:rPr>
          <w:rFonts w:ascii="Arial" w:cs="Arial" w:eastAsia="Arial" w:hAnsi="Arial"/>
          <w:sz w:val="17"/>
          <w:szCs w:val="17"/>
          <w:color w:val="010000"/>
        </w:rPr>
      </w:pPr>
      <w:r>
        <w:rPr>
          <w:rFonts w:ascii="Arial" w:cs="Arial" w:eastAsia="Arial" w:hAnsi="Arial"/>
          <w:sz w:val="17"/>
          <w:szCs w:val="17"/>
          <w:u w:val="single" w:color="auto"/>
          <w:color w:val="010000"/>
        </w:rPr>
        <w:t>Compliance with Laws</w:t>
      </w:r>
      <w:r>
        <w:rPr>
          <w:rFonts w:ascii="Arial" w:cs="Arial" w:eastAsia="Arial" w:hAnsi="Arial"/>
          <w:sz w:val="17"/>
          <w:szCs w:val="17"/>
          <w:color w:val="010000"/>
        </w:rPr>
        <w:t>. Comply, and cause each of its Restricted Subsidiaries to comply, in all material respects, with (x) all applicable laws, rules, regulations and orders, such compliance to include, without limitation, compliance with ERISA, Environmental Laws, and the PATRIOT Act, except where such non-compliance is not reasonably expected to have a Material Adverse Effect and (y) Sanctions laws and regulations.</w:t>
      </w:r>
    </w:p>
    <w:p>
      <w:pPr>
        <w:spacing w:after="0" w:line="65" w:lineRule="exact"/>
        <w:rPr>
          <w:rFonts w:ascii="Arial" w:cs="Arial" w:eastAsia="Arial" w:hAnsi="Arial"/>
          <w:sz w:val="17"/>
          <w:szCs w:val="17"/>
          <w:color w:val="010000"/>
        </w:rPr>
      </w:pPr>
    </w:p>
    <w:p>
      <w:pPr>
        <w:ind w:right="100" w:firstLine="1041"/>
        <w:spacing w:after="0" w:line="284" w:lineRule="auto"/>
        <w:tabs>
          <w:tab w:leader="none" w:pos="1286" w:val="left"/>
        </w:tabs>
        <w:numPr>
          <w:ilvl w:val="0"/>
          <w:numId w:val="85"/>
        </w:numPr>
        <w:rPr>
          <w:rFonts w:ascii="Arial" w:cs="Arial" w:eastAsia="Arial" w:hAnsi="Arial"/>
          <w:sz w:val="16"/>
          <w:szCs w:val="16"/>
          <w:color w:val="010000"/>
        </w:rPr>
      </w:pPr>
      <w:r>
        <w:rPr>
          <w:rFonts w:ascii="Arial" w:cs="Arial" w:eastAsia="Arial" w:hAnsi="Arial"/>
          <w:sz w:val="16"/>
          <w:szCs w:val="16"/>
          <w:u w:val="single" w:color="auto"/>
          <w:color w:val="010000"/>
        </w:rPr>
        <w:t>Payment of Taxes, Etc</w:t>
      </w:r>
      <w:r>
        <w:rPr>
          <w:rFonts w:ascii="Arial" w:cs="Arial" w:eastAsia="Arial" w:hAnsi="Arial"/>
          <w:sz w:val="16"/>
          <w:szCs w:val="16"/>
          <w:color w:val="010000"/>
        </w:rPr>
        <w:t xml:space="preserve">. Pay and discharge, and cause each of its Restricted Subsidiaries to pay and discharge, before the same shall become delinquent, (i) all taxes, assessments and governmental charges or levies imposed upon it or upon its property and (ii) all material lawful claims that, if unpaid, might by law become a Lien upon its property;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xml:space="preserve">, that neither the Company nor any of its Restricted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If an obligation providing the basis for a Lien covered by paragraph (b) of the definition of Permitted Liens is not an obligation of the Company or any of its Restricted Subsidiaries, the Company or any of its Restricted Subsidiaries shall be deemed to be contesting such obligation for purposes of this paragraph 5.01(b) so long as the obligor thereof is contesting such obligation or the Company or any of its Restricted Subsidiaries is using commercially reasonable efforts to contest the Lien or to cause the obligor thereof to satisfy the obligation providing the basis for such Lien;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neither the Company nor any of its Restricted Subsidiaries shall have any obligation to perform the obligation providing the basis for such Lien.</w:t>
      </w:r>
    </w:p>
    <w:p>
      <w:pPr>
        <w:spacing w:after="0" w:line="63" w:lineRule="exact"/>
        <w:rPr>
          <w:rFonts w:ascii="Arial" w:cs="Arial" w:eastAsia="Arial" w:hAnsi="Arial"/>
          <w:sz w:val="16"/>
          <w:szCs w:val="16"/>
          <w:color w:val="010000"/>
        </w:rPr>
      </w:pPr>
    </w:p>
    <w:p>
      <w:pPr>
        <w:ind w:right="200" w:firstLine="1041"/>
        <w:spacing w:after="0" w:line="254" w:lineRule="auto"/>
        <w:tabs>
          <w:tab w:leader="none" w:pos="1276"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010000"/>
        </w:rPr>
        <w:t>Maintenance of Insurance</w:t>
      </w:r>
      <w:r>
        <w:rPr>
          <w:rFonts w:ascii="Arial" w:cs="Arial" w:eastAsia="Arial" w:hAnsi="Arial"/>
          <w:sz w:val="18"/>
          <w:szCs w:val="18"/>
          <w:color w:val="010000"/>
        </w:rPr>
        <w:t xml:space="preserve">. Maintain, and cause each Restricted Subsidiary to maintain, insurance with responsible and reputable insurance companies or associations in such amounts and covering such risks as is usually carried by companies engaged in similar businesses and owning similar properties in the same general areas in which the Company or such Restricted Subsidiary operates;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however</w:t>
      </w:r>
      <w:r>
        <w:rPr>
          <w:rFonts w:ascii="Arial" w:cs="Arial" w:eastAsia="Arial" w:hAnsi="Arial"/>
          <w:sz w:val="18"/>
          <w:szCs w:val="18"/>
          <w:color w:val="010000"/>
        </w:rPr>
        <w:t>, that the Company and its Restricted Subsidiaries may self-insure to the extent consistent with prudent business practice.</w:t>
      </w:r>
    </w:p>
    <w:p>
      <w:pPr>
        <w:spacing w:after="0" w:line="83" w:lineRule="exact"/>
        <w:rPr>
          <w:rFonts w:ascii="Arial" w:cs="Arial" w:eastAsia="Arial" w:hAnsi="Arial"/>
          <w:sz w:val="18"/>
          <w:szCs w:val="18"/>
          <w:color w:val="010000"/>
        </w:rPr>
      </w:pPr>
    </w:p>
    <w:p>
      <w:pPr>
        <w:ind w:firstLine="1041"/>
        <w:spacing w:after="0" w:line="251" w:lineRule="auto"/>
        <w:tabs>
          <w:tab w:leader="none" w:pos="1286"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010000"/>
        </w:rPr>
        <w:t>Preservation of Corporate Existence</w:t>
      </w:r>
      <w:r>
        <w:rPr>
          <w:rFonts w:ascii="Arial" w:cs="Arial" w:eastAsia="Arial" w:hAnsi="Arial"/>
          <w:sz w:val="18"/>
          <w:szCs w:val="18"/>
          <w:color w:val="010000"/>
        </w:rPr>
        <w:t xml:space="preserve">. Preserve and maintain, and cause each of its Restricted Subsidiaries (other than Immaterial Subsidiaries) to preserve and maintain, its corporate existence, rights (charter and statutory) and franchises;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however</w:t>
      </w:r>
      <w:r>
        <w:rPr>
          <w:rFonts w:ascii="Arial" w:cs="Arial" w:eastAsia="Arial" w:hAnsi="Arial"/>
          <w:sz w:val="18"/>
          <w:szCs w:val="18"/>
          <w:color w:val="010000"/>
        </w:rPr>
        <w:t xml:space="preserve">, that the Company and its Restricted Subsidiaries may consummate any amalgamation, merger or consolidation permitted under Section 5.02(b) and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further</w:t>
      </w:r>
      <w:r>
        <w:rPr>
          <w:rFonts w:ascii="Arial" w:cs="Arial" w:eastAsia="Arial" w:hAnsi="Arial"/>
          <w:sz w:val="18"/>
          <w:szCs w:val="18"/>
          <w:color w:val="010000"/>
        </w:rPr>
        <w:t>, that neither the Company nor any of its Restricted Subsidiaries shall be required to preserve any right or franchise if the Company determines that the preservation thereof is no longer desirable in the conduct of the business of the Company or such Restricted Subsidiary, as the case may be, and that the loss thereof is not reasonably expected to have a Material Adverse Effect.</w:t>
      </w:r>
    </w:p>
    <w:p>
      <w:pPr>
        <w:spacing w:after="0" w:line="87" w:lineRule="exact"/>
        <w:rPr>
          <w:rFonts w:ascii="Arial" w:cs="Arial" w:eastAsia="Arial" w:hAnsi="Arial"/>
          <w:sz w:val="18"/>
          <w:szCs w:val="18"/>
          <w:color w:val="010000"/>
        </w:rPr>
      </w:pPr>
    </w:p>
    <w:p>
      <w:pPr>
        <w:ind w:left="1280" w:hanging="239"/>
        <w:spacing w:after="0"/>
        <w:tabs>
          <w:tab w:leader="none" w:pos="1280"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010000"/>
        </w:rPr>
        <w:t>Visitation Rights</w:t>
      </w:r>
      <w:r>
        <w:rPr>
          <w:rFonts w:ascii="Arial" w:cs="Arial" w:eastAsia="Arial" w:hAnsi="Arial"/>
          <w:sz w:val="18"/>
          <w:szCs w:val="18"/>
          <w:color w:val="010000"/>
        </w:rPr>
        <w:t>.</w:t>
      </w:r>
    </w:p>
    <w:p>
      <w:pPr>
        <w:spacing w:after="0" w:line="113" w:lineRule="exact"/>
        <w:rPr>
          <w:rFonts w:ascii="Arial" w:cs="Arial" w:eastAsia="Arial" w:hAnsi="Arial"/>
          <w:sz w:val="18"/>
          <w:szCs w:val="18"/>
          <w:color w:val="010000"/>
        </w:rPr>
      </w:pPr>
    </w:p>
    <w:p>
      <w:pPr>
        <w:ind w:firstLine="1559"/>
        <w:spacing w:after="0" w:line="287" w:lineRule="auto"/>
        <w:tabs>
          <w:tab w:leader="none" w:pos="1764" w:val="left"/>
        </w:tabs>
        <w:numPr>
          <w:ilvl w:val="1"/>
          <w:numId w:val="85"/>
        </w:numPr>
        <w:rPr>
          <w:rFonts w:ascii="Arial" w:cs="Arial" w:eastAsia="Arial" w:hAnsi="Arial"/>
          <w:sz w:val="16"/>
          <w:szCs w:val="16"/>
          <w:color w:val="010000"/>
        </w:rPr>
      </w:pPr>
      <w:r>
        <w:rPr>
          <w:rFonts w:ascii="Arial" w:cs="Arial" w:eastAsia="Arial" w:hAnsi="Arial"/>
          <w:sz w:val="16"/>
          <w:szCs w:val="16"/>
          <w:color w:val="010000"/>
        </w:rPr>
        <w:t xml:space="preserve">At any reasonable time, on reasonable notice and from time to time, permit the Agent or any of the Lenders (accompanied by the Agent) or any agents or representatives thereof, to examine and make copies of and abstracts from the records and books of account of, and visit the properties of, the Company and any of its Subsidiaries, and to discuss the affairs, finances and accounts of the Company and any of its Subsidiaries with any of their officers or directors and with their independent certified public accountants,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all such information is subject to the provisions of Section 9.09. At any time prior to the occurrence of a continuing Event of Default, the right of the Agent and any of the Lenders (accompanied by the Agent) to visit the property of the Company and any of its Subsidiaries shall be subject to reasonable rules and restrictions of the Company for such access, and such visit shall not unreasonably interfere with the ongoing conduct of the business of the Company and its Subsidiaries at such properties.</w:t>
      </w:r>
    </w:p>
    <w:p>
      <w:pPr>
        <w:spacing w:after="0" w:line="60" w:lineRule="exact"/>
        <w:rPr>
          <w:rFonts w:ascii="Arial" w:cs="Arial" w:eastAsia="Arial" w:hAnsi="Arial"/>
          <w:sz w:val="16"/>
          <w:szCs w:val="16"/>
          <w:color w:val="010000"/>
        </w:rPr>
      </w:pPr>
    </w:p>
    <w:p>
      <w:pPr>
        <w:ind w:right="20" w:firstLine="1559"/>
        <w:spacing w:after="0" w:line="251" w:lineRule="auto"/>
        <w:tabs>
          <w:tab w:leader="none" w:pos="1814" w:val="left"/>
        </w:tabs>
        <w:numPr>
          <w:ilvl w:val="1"/>
          <w:numId w:val="85"/>
        </w:numPr>
        <w:rPr>
          <w:rFonts w:ascii="Arial" w:cs="Arial" w:eastAsia="Arial" w:hAnsi="Arial"/>
          <w:sz w:val="18"/>
          <w:szCs w:val="18"/>
          <w:color w:val="010000"/>
        </w:rPr>
      </w:pPr>
      <w:r>
        <w:rPr>
          <w:rFonts w:ascii="Arial" w:cs="Arial" w:eastAsia="Arial" w:hAnsi="Arial"/>
          <w:sz w:val="18"/>
          <w:szCs w:val="18"/>
          <w:color w:val="010000"/>
        </w:rPr>
        <w:t>At any reasonable time and from time to time (except as may be limited by subsections (iii) and (iv) below) during regular business hours, upon reasonable notice, permit the Agent or any of the Lenders (accompanied by the Agent) or any agents or representatives thereof (including any consultants, accountants, lawyers and appraisers retained by the Agent) to visit the properties of the Company and its Subsidiaries to conduct evaluations, appraisals, environmental assessments and ongoing maintenance and monitoring in connection with the Company’s computation of the Borrowing Base and the assets included in the Borrowing Base and such other assets and properties of the Company or its Subsidiaries as the Agent may require, and to monitor the Collateral and all related systems.</w:t>
      </w:r>
    </w:p>
    <w:p>
      <w:pPr>
        <w:spacing w:after="0" w:line="88" w:lineRule="exact"/>
        <w:rPr>
          <w:rFonts w:ascii="Arial" w:cs="Arial" w:eastAsia="Arial" w:hAnsi="Arial"/>
          <w:sz w:val="18"/>
          <w:szCs w:val="18"/>
          <w:color w:val="010000"/>
        </w:rPr>
      </w:pPr>
    </w:p>
    <w:p>
      <w:pPr>
        <w:jc w:val="both"/>
        <w:ind w:right="80" w:firstLine="1559"/>
        <w:spacing w:after="0" w:line="257" w:lineRule="auto"/>
        <w:tabs>
          <w:tab w:leader="none" w:pos="1863" w:val="left"/>
        </w:tabs>
        <w:numPr>
          <w:ilvl w:val="1"/>
          <w:numId w:val="85"/>
        </w:numPr>
        <w:rPr>
          <w:rFonts w:ascii="Arial" w:cs="Arial" w:eastAsia="Arial" w:hAnsi="Arial"/>
          <w:sz w:val="18"/>
          <w:szCs w:val="18"/>
          <w:color w:val="010000"/>
        </w:rPr>
      </w:pPr>
      <w:r>
        <w:rPr>
          <w:rFonts w:ascii="Arial" w:cs="Arial" w:eastAsia="Arial" w:hAnsi="Arial"/>
          <w:sz w:val="18"/>
          <w:szCs w:val="18"/>
          <w:color w:val="010000"/>
        </w:rPr>
        <w:t xml:space="preserve">Permit the Agent to conduct, at the sole cost and expense of the Company field examinations,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such examinations may be conducted (a) so long as Excess Availability is greater than or equal to 12.5% of the Revolving Credit Facility, not more than one (1) time per twelve month period, and (b) so long as Excess Availability is less than 12.5%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06" w:name="page107"/>
    <w:bookmarkEnd w:id="106"/>
    <w:p>
      <w:pPr>
        <w:ind w:right="40"/>
        <w:spacing w:after="0" w:line="257" w:lineRule="auto"/>
        <w:rPr>
          <w:sz w:val="20"/>
          <w:szCs w:val="20"/>
          <w:color w:val="auto"/>
        </w:rPr>
      </w:pPr>
      <w:r>
        <w:rPr>
          <w:rFonts w:ascii="Arial" w:cs="Arial" w:eastAsia="Arial" w:hAnsi="Arial"/>
          <w:sz w:val="18"/>
          <w:szCs w:val="18"/>
          <w:color w:val="010000"/>
        </w:rPr>
        <w:t>Revolving Credit Facility, not more than two (2) times per twelve month period. Notwithstanding the foregoing, following the occurrence and during the continuation of an Event of Default such field examinations may be conducted at the Company’s expense as many times as the Agent shall consider reasonably necessary.</w:t>
      </w:r>
    </w:p>
    <w:p>
      <w:pPr>
        <w:spacing w:after="0" w:line="82" w:lineRule="exact"/>
        <w:rPr>
          <w:sz w:val="20"/>
          <w:szCs w:val="20"/>
          <w:color w:val="auto"/>
        </w:rPr>
      </w:pPr>
    </w:p>
    <w:p>
      <w:pPr>
        <w:ind w:right="20" w:firstLine="1559"/>
        <w:spacing w:after="0" w:line="251" w:lineRule="auto"/>
        <w:tabs>
          <w:tab w:leader="none" w:pos="1853" w:val="left"/>
        </w:tabs>
        <w:numPr>
          <w:ilvl w:val="1"/>
          <w:numId w:val="86"/>
        </w:numPr>
        <w:rPr>
          <w:rFonts w:ascii="Arial" w:cs="Arial" w:eastAsia="Arial" w:hAnsi="Arial"/>
          <w:sz w:val="18"/>
          <w:szCs w:val="18"/>
          <w:color w:val="010000"/>
        </w:rPr>
      </w:pPr>
      <w:r>
        <w:rPr>
          <w:rFonts w:ascii="Arial" w:cs="Arial" w:eastAsia="Arial" w:hAnsi="Arial"/>
          <w:sz w:val="18"/>
          <w:szCs w:val="18"/>
          <w:color w:val="010000"/>
        </w:rPr>
        <w:t xml:space="preserve">Permit the Agent, to conduct, at the sole cost and expense of the Loan Company: (a) inventory appraisals,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such appraisals may be conducted (i) so long as Excess Availability is greater than or equal to 12.5% of the Revolving Credit Facility, not more than one (1) time per twelve month period, and (ii) so long as Excess Availability is less than 12.5% of the Revolving Credit Facility, not more than two (2) times per twelve month period and (b) no more than one (1) machinery and equipment appraisal in any consecutive twelve month period. Notwithstanding the foregoing, following the occurrence and during the continuation of an Event of Default such appraisals may be conducted at the Company’s expense as many times as the Agent shall consider reasonably necessary.</w:t>
      </w:r>
    </w:p>
    <w:p>
      <w:pPr>
        <w:spacing w:after="0" w:line="87" w:lineRule="exact"/>
        <w:rPr>
          <w:rFonts w:ascii="Arial" w:cs="Arial" w:eastAsia="Arial" w:hAnsi="Arial"/>
          <w:sz w:val="18"/>
          <w:szCs w:val="18"/>
          <w:color w:val="010000"/>
        </w:rPr>
      </w:pPr>
    </w:p>
    <w:p>
      <w:pPr>
        <w:ind w:right="460" w:firstLine="1041"/>
        <w:spacing w:after="0" w:line="267" w:lineRule="auto"/>
        <w:tabs>
          <w:tab w:leader="none" w:pos="1256" w:val="left"/>
        </w:tabs>
        <w:numPr>
          <w:ilvl w:val="0"/>
          <w:numId w:val="87"/>
        </w:numPr>
        <w:rPr>
          <w:rFonts w:ascii="Arial" w:cs="Arial" w:eastAsia="Arial" w:hAnsi="Arial"/>
          <w:sz w:val="18"/>
          <w:szCs w:val="18"/>
          <w:color w:val="010000"/>
        </w:rPr>
      </w:pPr>
      <w:r>
        <w:rPr>
          <w:rFonts w:ascii="Arial" w:cs="Arial" w:eastAsia="Arial" w:hAnsi="Arial"/>
          <w:sz w:val="18"/>
          <w:szCs w:val="18"/>
          <w:u w:val="single" w:color="auto"/>
          <w:color w:val="010000"/>
        </w:rPr>
        <w:t>Keeping of Books</w:t>
      </w:r>
      <w:r>
        <w:rPr>
          <w:rFonts w:ascii="Arial" w:cs="Arial" w:eastAsia="Arial" w:hAnsi="Arial"/>
          <w:sz w:val="18"/>
          <w:szCs w:val="18"/>
          <w:color w:val="010000"/>
        </w:rPr>
        <w:t>. Keep and maintain proper books of record and account on a Consolidated basis for Company and its Subsidiaries in conformity in all material respects with GAAP in effect from time to time.</w:t>
      </w:r>
    </w:p>
    <w:p>
      <w:pPr>
        <w:spacing w:after="0" w:line="72" w:lineRule="exact"/>
        <w:rPr>
          <w:rFonts w:ascii="Arial" w:cs="Arial" w:eastAsia="Arial" w:hAnsi="Arial"/>
          <w:sz w:val="18"/>
          <w:szCs w:val="18"/>
          <w:color w:val="010000"/>
        </w:rPr>
      </w:pPr>
    </w:p>
    <w:p>
      <w:pPr>
        <w:jc w:val="both"/>
        <w:ind w:right="80" w:firstLine="1041"/>
        <w:spacing w:after="0" w:line="279" w:lineRule="auto"/>
        <w:tabs>
          <w:tab w:leader="none" w:pos="1286" w:val="left"/>
        </w:tabs>
        <w:numPr>
          <w:ilvl w:val="0"/>
          <w:numId w:val="87"/>
        </w:numPr>
        <w:rPr>
          <w:rFonts w:ascii="Arial" w:cs="Arial" w:eastAsia="Arial" w:hAnsi="Arial"/>
          <w:sz w:val="17"/>
          <w:szCs w:val="17"/>
          <w:color w:val="010000"/>
        </w:rPr>
      </w:pPr>
      <w:r>
        <w:rPr>
          <w:rFonts w:ascii="Arial" w:cs="Arial" w:eastAsia="Arial" w:hAnsi="Arial"/>
          <w:sz w:val="17"/>
          <w:szCs w:val="17"/>
          <w:u w:val="single" w:color="auto"/>
          <w:color w:val="010000"/>
        </w:rPr>
        <w:t>Maintenance of Properties, Etc</w:t>
      </w:r>
      <w:r>
        <w:rPr>
          <w:rFonts w:ascii="Arial" w:cs="Arial" w:eastAsia="Arial" w:hAnsi="Arial"/>
          <w:sz w:val="17"/>
          <w:szCs w:val="17"/>
          <w:color w:val="010000"/>
        </w:rPr>
        <w:t>. Maintain and preserve, and cause each of its Restricted Subsidiaries to maintain and preserve in all material respects, all of its properties that are used or useful in the conduct of its business in good working order and condition, ordinary wear and tear excepted, except where the failure to so maintain or preserve is not reasonably expected to have a Material Adverse Effect.</w:t>
      </w:r>
    </w:p>
    <w:p>
      <w:pPr>
        <w:spacing w:after="0" w:line="65" w:lineRule="exact"/>
        <w:rPr>
          <w:rFonts w:ascii="Arial" w:cs="Arial" w:eastAsia="Arial" w:hAnsi="Arial"/>
          <w:sz w:val="17"/>
          <w:szCs w:val="17"/>
          <w:color w:val="010000"/>
        </w:rPr>
      </w:pPr>
    </w:p>
    <w:p>
      <w:pPr>
        <w:ind w:left="1300" w:hanging="259"/>
        <w:spacing w:after="0"/>
        <w:tabs>
          <w:tab w:leader="none" w:pos="1300" w:val="left"/>
        </w:tabs>
        <w:numPr>
          <w:ilvl w:val="0"/>
          <w:numId w:val="87"/>
        </w:numPr>
        <w:rPr>
          <w:rFonts w:ascii="Arial" w:cs="Arial" w:eastAsia="Arial" w:hAnsi="Arial"/>
          <w:sz w:val="18"/>
          <w:szCs w:val="18"/>
          <w:color w:val="010000"/>
        </w:rPr>
      </w:pPr>
      <w:r>
        <w:rPr>
          <w:rFonts w:ascii="Arial" w:cs="Arial" w:eastAsia="Arial" w:hAnsi="Arial"/>
          <w:sz w:val="18"/>
          <w:szCs w:val="18"/>
          <w:u w:val="single" w:color="auto"/>
          <w:color w:val="010000"/>
        </w:rPr>
        <w:t>Reporting Requirements</w:t>
      </w:r>
      <w:r>
        <w:rPr>
          <w:rFonts w:ascii="Arial" w:cs="Arial" w:eastAsia="Arial" w:hAnsi="Arial"/>
          <w:sz w:val="18"/>
          <w:szCs w:val="18"/>
          <w:color w:val="010000"/>
        </w:rPr>
        <w:t>. Furnish to the Agent and Lenders:</w:t>
      </w:r>
    </w:p>
    <w:p>
      <w:pPr>
        <w:spacing w:after="0" w:line="113" w:lineRule="exact"/>
        <w:rPr>
          <w:rFonts w:ascii="Arial" w:cs="Arial" w:eastAsia="Arial" w:hAnsi="Arial"/>
          <w:sz w:val="18"/>
          <w:szCs w:val="18"/>
          <w:color w:val="010000"/>
        </w:rPr>
      </w:pPr>
    </w:p>
    <w:p>
      <w:pPr>
        <w:ind w:right="20" w:firstLine="1559"/>
        <w:spacing w:after="0" w:line="265" w:lineRule="auto"/>
        <w:tabs>
          <w:tab w:leader="none" w:pos="1764" w:val="left"/>
        </w:tabs>
        <w:numPr>
          <w:ilvl w:val="1"/>
          <w:numId w:val="87"/>
        </w:numPr>
        <w:rPr>
          <w:rFonts w:ascii="Arial" w:cs="Arial" w:eastAsia="Arial" w:hAnsi="Arial"/>
          <w:sz w:val="17"/>
          <w:szCs w:val="17"/>
          <w:color w:val="010000"/>
        </w:rPr>
      </w:pPr>
      <w:r>
        <w:rPr>
          <w:rFonts w:ascii="Arial" w:cs="Arial" w:eastAsia="Arial" w:hAnsi="Arial"/>
          <w:sz w:val="17"/>
          <w:szCs w:val="17"/>
          <w:color w:val="010000"/>
        </w:rPr>
        <w:t xml:space="preserve">as soon as available and in any event within 45 days after the end of each of the first three quarters of each fiscal year of the Company, the Consolidated statement of financial position of the Company and its Consolidated Subsidiaries as of the end of such quarter and Consolidated statements of earnings and cash flows of the Company and its Consolidated Subsidiaries for the period commencing at the end of the previous fiscal year and ending with the end of such quarter, duly certified by the chief financial officer of the Company as having been prepared in accordance with GAAP subject to normal year-end audit adjustments and other items, such as footnotes, omitted in interim statements, and concurrently with delivery of financial statements under this clause (i), or more frequently (but no more frequently than monthly) if requested by Agent while a Default or Event of Default exists, a Compliance Certificate executed by the chief financial officer of the Company, which shall include setting forth in reasonable detail the calculations necessary to demonstrate compliance with Section 5.03 (regardless of whether such covenant is then in effect)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to the extent such financial statements include information regarding Unrestricted Subsidiaries, the Company shall include a note and or notes containing reconciliation statements eliminating all financial information pertaining to Unrestricted Subsidiaries;</w:t>
      </w:r>
    </w:p>
    <w:p>
      <w:pPr>
        <w:spacing w:after="0" w:line="81" w:lineRule="exact"/>
        <w:rPr>
          <w:rFonts w:ascii="Arial" w:cs="Arial" w:eastAsia="Arial" w:hAnsi="Arial"/>
          <w:sz w:val="17"/>
          <w:szCs w:val="17"/>
          <w:color w:val="010000"/>
        </w:rPr>
      </w:pPr>
    </w:p>
    <w:p>
      <w:pPr>
        <w:ind w:firstLine="1559"/>
        <w:spacing w:after="0" w:line="265" w:lineRule="auto"/>
        <w:tabs>
          <w:tab w:leader="none" w:pos="1814" w:val="left"/>
        </w:tabs>
        <w:numPr>
          <w:ilvl w:val="1"/>
          <w:numId w:val="87"/>
        </w:numPr>
        <w:rPr>
          <w:rFonts w:ascii="Arial" w:cs="Arial" w:eastAsia="Arial" w:hAnsi="Arial"/>
          <w:sz w:val="17"/>
          <w:szCs w:val="17"/>
          <w:color w:val="010000"/>
        </w:rPr>
      </w:pPr>
      <w:r>
        <w:rPr>
          <w:rFonts w:ascii="Arial" w:cs="Arial" w:eastAsia="Arial" w:hAnsi="Arial"/>
          <w:sz w:val="17"/>
          <w:szCs w:val="17"/>
          <w:color w:val="010000"/>
        </w:rPr>
        <w:t xml:space="preserve">as soon as available and in any event within 90 days after the end of each fiscal year of the Company, a copy of the annual audit report for such year for the Company and its Consolidated Subsidiaries, containing the Consolidated statement of financial position of the Company and its Consolidated Subsidiaries as of the end of such fiscal year and Consolidated statements of earnings and cash flows of the Company and its Consolidated Subsidiaries for such fiscal year, in each case accompanied by an opinion reasonably acceptable to the Agent by PricewaterhouseCoopers LLC or other independent public accountants of recognized national standing (without a “going concern” or like qualification or exception and without any qualification or exception as to the scope of such audit or other material qualification or exception, except for any such qualification or exception with respect to any Debt maturing within 364 days after the date of such financial statements) to the effect that such consolidated financial statements present fairly in all material respects the financial condition and results of operations of the Company and its Consolidated Subsidiaries on a Consolidated basis, and certificates of a Responsible Officer of the Company as to compliance with the terms of this Agreement and setting forth in reasonable detail the calculations necessary to demonstrate compliance with Section 5.03 (regardless of whether such covenant is then in effect);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to the extent such financial statements include information regarding Unrestricted Subsidiaries, the Company shall include a note and or notes containing reconciliation statements eliminating all financial information pertaining to Unrestricted Subsidiaries;</w:t>
      </w:r>
    </w:p>
    <w:p>
      <w:pPr>
        <w:spacing w:after="0" w:line="76" w:lineRule="exact"/>
        <w:rPr>
          <w:rFonts w:ascii="Arial" w:cs="Arial" w:eastAsia="Arial" w:hAnsi="Arial"/>
          <w:sz w:val="17"/>
          <w:szCs w:val="17"/>
          <w:color w:val="010000"/>
        </w:rPr>
      </w:pPr>
    </w:p>
    <w:p>
      <w:pPr>
        <w:ind w:right="60" w:firstLine="1559"/>
        <w:spacing w:after="0" w:line="257" w:lineRule="auto"/>
        <w:tabs>
          <w:tab w:leader="none" w:pos="1863" w:val="left"/>
        </w:tabs>
        <w:numPr>
          <w:ilvl w:val="1"/>
          <w:numId w:val="87"/>
        </w:numPr>
        <w:rPr>
          <w:rFonts w:ascii="Arial" w:cs="Arial" w:eastAsia="Arial" w:hAnsi="Arial"/>
          <w:sz w:val="18"/>
          <w:szCs w:val="18"/>
          <w:color w:val="010000"/>
        </w:rPr>
      </w:pPr>
      <w:r>
        <w:rPr>
          <w:rFonts w:ascii="Arial" w:cs="Arial" w:eastAsia="Arial" w:hAnsi="Arial"/>
          <w:sz w:val="18"/>
          <w:szCs w:val="18"/>
          <w:color w:val="010000"/>
        </w:rPr>
        <w:t>as soon as possible and in any event within five days after the Company has knowledge of the occurrence of each Default continuing on the date of such statement, a statement of a Responsible Officer of the Company setting forth details of such Default and the action that the Company has taken and/or proposes to take with respect thereto;</w:t>
      </w:r>
    </w:p>
    <w:p>
      <w:pPr>
        <w:spacing w:after="0" w:line="81" w:lineRule="exact"/>
        <w:rPr>
          <w:rFonts w:ascii="Arial" w:cs="Arial" w:eastAsia="Arial" w:hAnsi="Arial"/>
          <w:sz w:val="18"/>
          <w:szCs w:val="18"/>
          <w:color w:val="010000"/>
        </w:rPr>
      </w:pPr>
    </w:p>
    <w:p>
      <w:pPr>
        <w:ind w:right="100" w:firstLine="1559"/>
        <w:spacing w:after="0" w:line="257" w:lineRule="auto"/>
        <w:tabs>
          <w:tab w:leader="none" w:pos="1853" w:val="left"/>
        </w:tabs>
        <w:numPr>
          <w:ilvl w:val="1"/>
          <w:numId w:val="87"/>
        </w:numPr>
        <w:rPr>
          <w:rFonts w:ascii="Arial" w:cs="Arial" w:eastAsia="Arial" w:hAnsi="Arial"/>
          <w:sz w:val="18"/>
          <w:szCs w:val="18"/>
          <w:color w:val="010000"/>
        </w:rPr>
      </w:pPr>
      <w:r>
        <w:rPr>
          <w:rFonts w:ascii="Arial" w:cs="Arial" w:eastAsia="Arial" w:hAnsi="Arial"/>
          <w:sz w:val="18"/>
          <w:szCs w:val="18"/>
          <w:color w:val="010000"/>
        </w:rPr>
        <w:t>promptly after the same become publicly available, copies of all reports that the Company sends to any of its stockholders generally, and copies of all reports and registration statements that the Company or any Subsidiary files with the Securities and Exchange Commission or any national securities exchange;</w:t>
      </w:r>
    </w:p>
    <w:p>
      <w:pPr>
        <w:spacing w:after="0" w:line="81" w:lineRule="exact"/>
        <w:rPr>
          <w:rFonts w:ascii="Arial" w:cs="Arial" w:eastAsia="Arial" w:hAnsi="Arial"/>
          <w:sz w:val="18"/>
          <w:szCs w:val="18"/>
          <w:color w:val="010000"/>
        </w:rPr>
      </w:pPr>
    </w:p>
    <w:p>
      <w:pPr>
        <w:ind w:right="580" w:firstLine="1559"/>
        <w:spacing w:after="0" w:line="304" w:lineRule="auto"/>
        <w:tabs>
          <w:tab w:leader="none" w:pos="1804" w:val="left"/>
        </w:tabs>
        <w:numPr>
          <w:ilvl w:val="1"/>
          <w:numId w:val="87"/>
        </w:numPr>
        <w:rPr>
          <w:rFonts w:ascii="Arial" w:cs="Arial" w:eastAsia="Arial" w:hAnsi="Arial"/>
          <w:sz w:val="16"/>
          <w:szCs w:val="16"/>
          <w:color w:val="010000"/>
        </w:rPr>
      </w:pPr>
      <w:r>
        <w:rPr>
          <w:rFonts w:ascii="Arial" w:cs="Arial" w:eastAsia="Arial" w:hAnsi="Arial"/>
          <w:sz w:val="16"/>
          <w:szCs w:val="16"/>
          <w:color w:val="010000"/>
        </w:rPr>
        <w:t>notice of all actions and proceedings before any court, governmental agency or arbitrator affecting the Company or any of its Subsidiaries of the type which would have been required to be disclosed under Section 4.01(f), promptly after the later of the commencement thereof or knowledge that such actions or proceedings are reasonably likely to be of a type which would have been required to be disclosed under Section 4.01(f);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107" w:name="page108"/>
    <w:bookmarkEnd w:id="107"/>
    <w:p>
      <w:pPr>
        <w:ind w:left="-7" w:right="400" w:firstLine="1559"/>
        <w:spacing w:after="0" w:line="257" w:lineRule="auto"/>
        <w:tabs>
          <w:tab w:leader="none" w:pos="1847" w:val="left"/>
        </w:tabs>
        <w:numPr>
          <w:ilvl w:val="1"/>
          <w:numId w:val="88"/>
        </w:numPr>
        <w:rPr>
          <w:rFonts w:ascii="Arial" w:cs="Arial" w:eastAsia="Arial" w:hAnsi="Arial"/>
          <w:sz w:val="18"/>
          <w:szCs w:val="18"/>
          <w:color w:val="010000"/>
        </w:rPr>
      </w:pPr>
      <w:r>
        <w:rPr>
          <w:rFonts w:ascii="Arial" w:cs="Arial" w:eastAsia="Arial" w:hAnsi="Arial"/>
          <w:sz w:val="18"/>
          <w:szCs w:val="18"/>
          <w:color w:val="010000"/>
        </w:rPr>
        <w:t>as soon as available and in any event no later than 90 days after the end of each fiscal year, amended or supplemented Schedules setting forth such information as would be required to make the representations set forth in Section 6(a), (f), (g), (k), (l), (o) and (s)(iii) of the Security Agreement true and correct as if the Schedules referenced therein were delivered on such date;</w:t>
      </w:r>
    </w:p>
    <w:p>
      <w:pPr>
        <w:spacing w:after="0" w:line="81" w:lineRule="exact"/>
        <w:rPr>
          <w:rFonts w:ascii="Arial" w:cs="Arial" w:eastAsia="Arial" w:hAnsi="Arial"/>
          <w:sz w:val="18"/>
          <w:szCs w:val="18"/>
          <w:color w:val="010000"/>
        </w:rPr>
      </w:pPr>
    </w:p>
    <w:p>
      <w:pPr>
        <w:ind w:left="-7" w:right="320" w:firstLine="1559"/>
        <w:spacing w:after="0" w:line="254" w:lineRule="auto"/>
        <w:tabs>
          <w:tab w:leader="none" w:pos="1896" w:val="left"/>
        </w:tabs>
        <w:numPr>
          <w:ilvl w:val="1"/>
          <w:numId w:val="88"/>
        </w:numPr>
        <w:rPr>
          <w:rFonts w:ascii="Arial" w:cs="Arial" w:eastAsia="Arial" w:hAnsi="Arial"/>
          <w:sz w:val="18"/>
          <w:szCs w:val="18"/>
          <w:color w:val="010000"/>
        </w:rPr>
      </w:pPr>
      <w:r>
        <w:rPr>
          <w:rFonts w:ascii="Arial" w:cs="Arial" w:eastAsia="Arial" w:hAnsi="Arial"/>
          <w:sz w:val="18"/>
          <w:szCs w:val="18"/>
          <w:color w:val="010000"/>
        </w:rPr>
        <w:t>as soon as available and in any event no later than twenty-one (21) days after the end of each month, and more frequently as the Agent may reasonably request (to the extent available) during a Cash Control Trigger Event, (A) inventory reports, agings of accounts receivable, agings of accounts payable, and reports with respect to US Cash, a roll-forward of accounts, and (B) such other information with respect to the Company or any of its Restricted Subsidiaries, as the Agent may from time to time reasonably request;</w:t>
      </w:r>
    </w:p>
    <w:p>
      <w:pPr>
        <w:spacing w:after="0" w:line="83" w:lineRule="exact"/>
        <w:rPr>
          <w:rFonts w:ascii="Arial" w:cs="Arial" w:eastAsia="Arial" w:hAnsi="Arial"/>
          <w:sz w:val="18"/>
          <w:szCs w:val="18"/>
          <w:color w:val="010000"/>
        </w:rPr>
      </w:pPr>
    </w:p>
    <w:p>
      <w:pPr>
        <w:ind w:left="-7" w:right="20" w:firstLine="1559"/>
        <w:spacing w:after="0" w:line="283" w:lineRule="auto"/>
        <w:tabs>
          <w:tab w:leader="none" w:pos="1945" w:val="left"/>
        </w:tabs>
        <w:numPr>
          <w:ilvl w:val="1"/>
          <w:numId w:val="88"/>
        </w:numPr>
        <w:rPr>
          <w:rFonts w:ascii="Arial" w:cs="Arial" w:eastAsia="Arial" w:hAnsi="Arial"/>
          <w:sz w:val="16"/>
          <w:szCs w:val="16"/>
          <w:color w:val="010000"/>
        </w:rPr>
      </w:pPr>
      <w:r>
        <w:rPr>
          <w:rFonts w:ascii="Arial" w:cs="Arial" w:eastAsia="Arial" w:hAnsi="Arial"/>
          <w:sz w:val="16"/>
          <w:szCs w:val="16"/>
          <w:color w:val="010000"/>
        </w:rPr>
        <w:t>as soon as available, and in any event no later than 90 days after the end of each fiscal year of the Company, a reasonably detailed consolidated budget of the Company and its Consolidated Subsidiaries for the fiscal year immediately following such fiscal year on a quarterly basis, and for each year thereafter through the Termination Date on an annual basis (including a projected Consolidated balance sheet of the Company and its Consolidated Subsidiaries as of the end of the following fiscal year), the related projected Consolidated statements of cash flow and income for such fiscal year and the projected Excess Availability (detailing the respective Borrowing Bases and the amount of aggregate Revolving Loans) expected as of the end of each month during such fiscal year (collectively, the “</w:t>
      </w:r>
      <w:r>
        <w:rPr>
          <w:rFonts w:ascii="Arial" w:cs="Arial" w:eastAsia="Arial" w:hAnsi="Arial"/>
          <w:sz w:val="16"/>
          <w:szCs w:val="16"/>
          <w:u w:val="single" w:color="auto"/>
          <w:color w:val="010000"/>
        </w:rPr>
        <w:t>Projections</w:t>
      </w:r>
      <w:r>
        <w:rPr>
          <w:rFonts w:ascii="Arial" w:cs="Arial" w:eastAsia="Arial" w:hAnsi="Arial"/>
          <w:sz w:val="16"/>
          <w:szCs w:val="16"/>
          <w:color w:val="010000"/>
        </w:rPr>
        <w:t>”), which Projections shall be accompanied by a certificate of a Responsible Officer of the Company stating that such Projections are based on then reasonable estimates and then available information and assumptions; it being understood that the Projections are made on the basis of the Company’s then current good faith views and assumptions believed to be reasonable when made with respect to future events, and assumptions that the Company believes to be reasonable as of the date thereof and further being understood that projections, including the Projections, are subject to significant uncertainties and contingencies, many of which are beyond the Company’s control, inherently unreliable and that actual performance may differ materially from the Projections and no assurance is given by the delivery of such Projections or otherwise that the Projections will be realized;</w:t>
      </w:r>
    </w:p>
    <w:p>
      <w:pPr>
        <w:spacing w:after="0" w:line="67" w:lineRule="exact"/>
        <w:rPr>
          <w:rFonts w:ascii="Arial" w:cs="Arial" w:eastAsia="Arial" w:hAnsi="Arial"/>
          <w:sz w:val="16"/>
          <w:szCs w:val="16"/>
          <w:color w:val="010000"/>
        </w:rPr>
      </w:pPr>
    </w:p>
    <w:p>
      <w:pPr>
        <w:ind w:left="-7" w:firstLine="1559"/>
        <w:spacing w:after="0" w:line="280" w:lineRule="auto"/>
        <w:tabs>
          <w:tab w:leader="none" w:pos="1847" w:val="left"/>
        </w:tabs>
        <w:numPr>
          <w:ilvl w:val="1"/>
          <w:numId w:val="88"/>
        </w:numPr>
        <w:rPr>
          <w:rFonts w:ascii="Arial" w:cs="Arial" w:eastAsia="Arial" w:hAnsi="Arial"/>
          <w:sz w:val="16"/>
          <w:szCs w:val="16"/>
          <w:color w:val="010000"/>
        </w:rPr>
      </w:pPr>
      <w:r>
        <w:rPr>
          <w:rFonts w:ascii="Arial" w:cs="Arial" w:eastAsia="Arial" w:hAnsi="Arial"/>
          <w:sz w:val="16"/>
          <w:szCs w:val="16"/>
          <w:color w:val="010000"/>
        </w:rPr>
        <w:t xml:space="preserve">a Borrowing Base Certificate substantially in the form of </w:t>
      </w:r>
      <w:r>
        <w:rPr>
          <w:rFonts w:ascii="Arial" w:cs="Arial" w:eastAsia="Arial" w:hAnsi="Arial"/>
          <w:sz w:val="16"/>
          <w:szCs w:val="16"/>
          <w:u w:val="single" w:color="auto"/>
          <w:color w:val="010000"/>
        </w:rPr>
        <w:t>Exhibit F</w:t>
      </w:r>
      <w:r>
        <w:rPr>
          <w:rFonts w:ascii="Arial" w:cs="Arial" w:eastAsia="Arial" w:hAnsi="Arial"/>
          <w:sz w:val="16"/>
          <w:szCs w:val="16"/>
          <w:color w:val="010000"/>
        </w:rPr>
        <w:t xml:space="preserve"> as of the date required to be delivered or so requested, in each case with supporting documentation (including, without limitation, the documentation described in </w:t>
      </w:r>
      <w:r>
        <w:rPr>
          <w:rFonts w:ascii="Arial" w:cs="Arial" w:eastAsia="Arial" w:hAnsi="Arial"/>
          <w:sz w:val="16"/>
          <w:szCs w:val="16"/>
          <w:u w:val="single" w:color="auto"/>
          <w:color w:val="010000"/>
        </w:rPr>
        <w:t>Schedule 1</w:t>
      </w:r>
      <w:r>
        <w:rPr>
          <w:rFonts w:ascii="Arial" w:cs="Arial" w:eastAsia="Arial" w:hAnsi="Arial"/>
          <w:sz w:val="16"/>
          <w:szCs w:val="16"/>
          <w:color w:val="010000"/>
        </w:rPr>
        <w:t xml:space="preserve"> to </w:t>
      </w:r>
      <w:r>
        <w:rPr>
          <w:rFonts w:ascii="Arial" w:cs="Arial" w:eastAsia="Arial" w:hAnsi="Arial"/>
          <w:sz w:val="16"/>
          <w:szCs w:val="16"/>
          <w:u w:val="single" w:color="auto"/>
          <w:color w:val="010000"/>
        </w:rPr>
        <w:t>Exhibit F</w:t>
      </w:r>
      <w:r>
        <w:rPr>
          <w:rFonts w:ascii="Arial" w:cs="Arial" w:eastAsia="Arial" w:hAnsi="Arial"/>
          <w:sz w:val="16"/>
          <w:szCs w:val="16"/>
          <w:color w:val="010000"/>
        </w:rPr>
        <w:t>) shall be furnished to the Agent: (A) on or before the 21st day following the end of each fiscal month, which monthly Borrowing Base Certificate shall reflect the Collateral contained in the Borrowing Base updated as of the end of each such month; (B) in addition to such monthly Borrowing Base Certificates, upon the occurrence and continuance of an Event of Default or if Excess Availability is less than 12.5% of the Revolving Credit Facility, then bi-monthly on or before the 3</w:t>
      </w:r>
      <w:r>
        <w:rPr>
          <w:rFonts w:ascii="Arial" w:cs="Arial" w:eastAsia="Arial" w:hAnsi="Arial"/>
          <w:sz w:val="13"/>
          <w:szCs w:val="13"/>
          <w:color w:val="010000"/>
        </w:rPr>
        <w:t>rd</w:t>
      </w:r>
      <w:r>
        <w:rPr>
          <w:rFonts w:ascii="Arial" w:cs="Arial" w:eastAsia="Arial" w:hAnsi="Arial"/>
          <w:sz w:val="16"/>
          <w:szCs w:val="16"/>
          <w:color w:val="010000"/>
        </w:rPr>
        <w:t xml:space="preserve"> Business Day following the fifteenth day of each month and the 3</w:t>
      </w:r>
      <w:r>
        <w:rPr>
          <w:rFonts w:ascii="Arial" w:cs="Arial" w:eastAsia="Arial" w:hAnsi="Arial"/>
          <w:sz w:val="13"/>
          <w:szCs w:val="13"/>
          <w:color w:val="010000"/>
        </w:rPr>
        <w:t>rd</w:t>
      </w:r>
      <w:r>
        <w:rPr>
          <w:rFonts w:ascii="Arial" w:cs="Arial" w:eastAsia="Arial" w:hAnsi="Arial"/>
          <w:sz w:val="16"/>
          <w:szCs w:val="16"/>
          <w:color w:val="010000"/>
        </w:rPr>
        <w:t xml:space="preserve"> Business Day following the last day of each month, each of which bimonthly Borrowing Base Certificates shall reflect the Collateral included in the Borrowing Base updated as of the immediately preceding 14 days;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if Excess Availability is equal to or greater than 12.5% of the Revolving Credit Facility for thirty (30) consecutive days, such Borrowing Base Certificate shall be delivered pursuant to clause (A) herein; and</w:t>
      </w:r>
    </w:p>
    <w:p>
      <w:pPr>
        <w:jc w:val="both"/>
        <w:ind w:left="-7" w:firstLine="7"/>
        <w:spacing w:after="0" w:line="251" w:lineRule="auto"/>
        <w:tabs>
          <w:tab w:leader="none" w:pos="275" w:val="left"/>
        </w:tabs>
        <w:numPr>
          <w:ilvl w:val="0"/>
          <w:numId w:val="89"/>
        </w:numPr>
        <w:rPr>
          <w:rFonts w:ascii="Arial" w:cs="Arial" w:eastAsia="Arial" w:hAnsi="Arial"/>
          <w:sz w:val="18"/>
          <w:szCs w:val="18"/>
          <w:color w:val="010000"/>
        </w:rPr>
      </w:pPr>
      <w:r>
        <w:rPr>
          <w:rFonts w:ascii="Arial" w:cs="Arial" w:eastAsia="Arial" w:hAnsi="Arial"/>
          <w:sz w:val="18"/>
          <w:szCs w:val="18"/>
          <w:color w:val="010000"/>
        </w:rPr>
        <w:t xml:space="preserve">if requested by the Agent at any other time when the Agent reasonably believes that the then existing Borrowing Base Certificate is materially inaccurate, as soon as reasonably available after such request; in each case with supporting documentation as the Agent may reasonably request (including, without limitation, the documentation described on </w:t>
      </w:r>
      <w:r>
        <w:rPr>
          <w:rFonts w:ascii="Arial" w:cs="Arial" w:eastAsia="Arial" w:hAnsi="Arial"/>
          <w:sz w:val="18"/>
          <w:szCs w:val="18"/>
          <w:u w:val="single" w:color="auto"/>
          <w:color w:val="010000"/>
        </w:rPr>
        <w:t>Schedule 1</w:t>
      </w:r>
      <w:r>
        <w:rPr>
          <w:rFonts w:ascii="Arial" w:cs="Arial" w:eastAsia="Arial" w:hAnsi="Arial"/>
          <w:sz w:val="18"/>
          <w:szCs w:val="18"/>
          <w:color w:val="010000"/>
        </w:rPr>
        <w:t xml:space="preserve"> to </w:t>
      </w:r>
      <w:r>
        <w:rPr>
          <w:rFonts w:ascii="Arial" w:cs="Arial" w:eastAsia="Arial" w:hAnsi="Arial"/>
          <w:sz w:val="18"/>
          <w:szCs w:val="18"/>
          <w:u w:val="single" w:color="auto"/>
          <w:color w:val="010000"/>
        </w:rPr>
        <w:t>Exhibit F</w:t>
      </w:r>
      <w:r>
        <w:rPr>
          <w:rFonts w:ascii="Arial" w:cs="Arial" w:eastAsia="Arial" w:hAnsi="Arial"/>
          <w:sz w:val="18"/>
          <w:szCs w:val="18"/>
          <w:color w:val="010000"/>
        </w:rPr>
        <w:t>).</w:t>
      </w:r>
    </w:p>
    <w:p>
      <w:pPr>
        <w:spacing w:after="0" w:line="86" w:lineRule="exact"/>
        <w:rPr>
          <w:rFonts w:ascii="Arial" w:cs="Arial" w:eastAsia="Arial" w:hAnsi="Arial"/>
          <w:sz w:val="18"/>
          <w:szCs w:val="18"/>
          <w:color w:val="010000"/>
        </w:rPr>
      </w:pPr>
    </w:p>
    <w:p>
      <w:pPr>
        <w:ind w:left="-7" w:right="140" w:firstLine="1559"/>
        <w:spacing w:after="0" w:line="254" w:lineRule="auto"/>
        <w:tabs>
          <w:tab w:leader="none" w:pos="1797" w:val="left"/>
        </w:tabs>
        <w:numPr>
          <w:ilvl w:val="1"/>
          <w:numId w:val="89"/>
        </w:numPr>
        <w:rPr>
          <w:rFonts w:ascii="Arial" w:cs="Arial" w:eastAsia="Arial" w:hAnsi="Arial"/>
          <w:sz w:val="18"/>
          <w:szCs w:val="18"/>
          <w:color w:val="010000"/>
        </w:rPr>
      </w:pPr>
      <w:r>
        <w:rPr>
          <w:rFonts w:ascii="Arial" w:cs="Arial" w:eastAsia="Arial" w:hAnsi="Arial"/>
          <w:sz w:val="18"/>
          <w:szCs w:val="18"/>
          <w:color w:val="010000"/>
        </w:rPr>
        <w:t>Promptly and in any event within 20 days after any Loan Party or any ERISA Affiliate (A) knows or has reason to know that any ERISA Event has occurred, a statement of a Responsible Officer of such Loan Party describing such ERISA Event and the action, if any, that such Loan Party or such ERISA Affiliate has taken and proposes to take with respect thereto and (B) furnishes any records, documents or other information to the PBGC with respect to any Plan pursuant to Section 4010 of ERISA.</w:t>
      </w:r>
    </w:p>
    <w:p>
      <w:pPr>
        <w:spacing w:after="0" w:line="83" w:lineRule="exact"/>
        <w:rPr>
          <w:rFonts w:ascii="Arial" w:cs="Arial" w:eastAsia="Arial" w:hAnsi="Arial"/>
          <w:sz w:val="18"/>
          <w:szCs w:val="18"/>
          <w:color w:val="010000"/>
        </w:rPr>
      </w:pPr>
    </w:p>
    <w:p>
      <w:pPr>
        <w:ind w:left="-7" w:right="120" w:firstLine="1559"/>
        <w:spacing w:after="0" w:line="297" w:lineRule="auto"/>
        <w:tabs>
          <w:tab w:leader="none" w:pos="1847" w:val="left"/>
        </w:tabs>
        <w:numPr>
          <w:ilvl w:val="1"/>
          <w:numId w:val="89"/>
        </w:numPr>
        <w:rPr>
          <w:rFonts w:ascii="Arial" w:cs="Arial" w:eastAsia="Arial" w:hAnsi="Arial"/>
          <w:sz w:val="17"/>
          <w:szCs w:val="17"/>
          <w:color w:val="010000"/>
        </w:rPr>
      </w:pPr>
      <w:r>
        <w:rPr>
          <w:rFonts w:ascii="Arial" w:cs="Arial" w:eastAsia="Arial" w:hAnsi="Arial"/>
          <w:sz w:val="17"/>
          <w:szCs w:val="17"/>
          <w:color w:val="010000"/>
        </w:rPr>
        <w:t>Promptly and in any event within two business days after receipt thereof by any Loan Party, copies of each notice from the PBGC or other governmental or regulatory authority stating its intention to terminate any Plan or to have a trustee appointed to administer any Plan.</w:t>
      </w:r>
    </w:p>
    <w:p>
      <w:pPr>
        <w:spacing w:after="0" w:line="49" w:lineRule="exact"/>
        <w:rPr>
          <w:rFonts w:ascii="Arial" w:cs="Arial" w:eastAsia="Arial" w:hAnsi="Arial"/>
          <w:sz w:val="17"/>
          <w:szCs w:val="17"/>
          <w:color w:val="010000"/>
        </w:rPr>
      </w:pPr>
    </w:p>
    <w:p>
      <w:pPr>
        <w:ind w:left="-7" w:right="60" w:firstLine="1559"/>
        <w:spacing w:after="0" w:line="254" w:lineRule="auto"/>
        <w:tabs>
          <w:tab w:leader="none" w:pos="1896" w:val="left"/>
        </w:tabs>
        <w:numPr>
          <w:ilvl w:val="1"/>
          <w:numId w:val="89"/>
        </w:numPr>
        <w:rPr>
          <w:rFonts w:ascii="Arial" w:cs="Arial" w:eastAsia="Arial" w:hAnsi="Arial"/>
          <w:sz w:val="18"/>
          <w:szCs w:val="18"/>
          <w:color w:val="010000"/>
        </w:rPr>
      </w:pPr>
      <w:r>
        <w:rPr>
          <w:rFonts w:ascii="Arial" w:cs="Arial" w:eastAsia="Arial" w:hAnsi="Arial"/>
          <w:sz w:val="18"/>
          <w:szCs w:val="18"/>
          <w:color w:val="010000"/>
        </w:rPr>
        <w:t>Promptly and in any event within five (5) Business Days after receipt thereof by any Loan Party or any ERISA Affiliate from the sponsor of a Multiemployer Plan, copies of each notice concerning (A) the imposition of Withdrawal Liability by any such Multiemployer Plan, (B) the termination, within the meaning of Title IV of ERISA, of any such Multiemployer Plan or (C) the amount of liability incurred, or that may be incurred, by such Loan Party or any ERISA Affiliate in connection with any event described in clause (A) or (B).</w:t>
      </w:r>
    </w:p>
    <w:p>
      <w:pPr>
        <w:spacing w:after="0" w:line="83" w:lineRule="exact"/>
        <w:rPr>
          <w:rFonts w:ascii="Arial" w:cs="Arial" w:eastAsia="Arial" w:hAnsi="Arial"/>
          <w:sz w:val="18"/>
          <w:szCs w:val="18"/>
          <w:color w:val="010000"/>
        </w:rPr>
      </w:pPr>
    </w:p>
    <w:p>
      <w:pPr>
        <w:jc w:val="both"/>
        <w:ind w:left="-7" w:right="20" w:firstLine="1559"/>
        <w:spacing w:after="0" w:line="288" w:lineRule="auto"/>
        <w:tabs>
          <w:tab w:leader="none" w:pos="1945" w:val="left"/>
        </w:tabs>
        <w:numPr>
          <w:ilvl w:val="1"/>
          <w:numId w:val="89"/>
        </w:numPr>
        <w:rPr>
          <w:rFonts w:ascii="Arial" w:cs="Arial" w:eastAsia="Arial" w:hAnsi="Arial"/>
          <w:sz w:val="16"/>
          <w:szCs w:val="16"/>
          <w:color w:val="010000"/>
        </w:rPr>
      </w:pPr>
      <w:r>
        <w:rPr>
          <w:rFonts w:ascii="Arial" w:cs="Arial" w:eastAsia="Arial" w:hAnsi="Arial"/>
          <w:sz w:val="16"/>
          <w:szCs w:val="16"/>
          <w:color w:val="010000"/>
        </w:rPr>
        <w:t>Except to the extent prohibited by the Pensions Act 2004, promptly and in any event within 3 Business Days after a Responsible Officer of the Borrower or Kodak Limited knows or has reason to know that (A) the UK Pension Scheme has commenced winding up, (B) the UK Pensions Regulator has issued a warning notice that it is considering issuing a financial support direction or contribution notice to the Borrower or any of its Affiliates in relation to the UK Pension Scheme or (C) the Borrower or any of its Affiliates which currently participates in the UK Pension Scheme has ceased to participate and thus triggered a liability on its cessation of participation, a statement of a Responsible Officer of the Borrower (or, if applicable, cause to be furnished to the Lenders a statement of a Responsible Officer of Kodak Limited) noting such event and the action, if any, which is proposed to be taken with respect thereto.</w:t>
      </w:r>
    </w:p>
    <w:p>
      <w:pPr>
        <w:spacing w:after="0" w:line="16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2904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93"/>
          </w:cols>
          <w:pgMar w:left="247" w:top="447" w:right="259" w:bottom="1440" w:gutter="0" w:footer="0" w:header="0"/>
        </w:sectPr>
      </w:pPr>
    </w:p>
    <w:bookmarkStart w:id="108" w:name="page109"/>
    <w:bookmarkEnd w:id="108"/>
    <w:p>
      <w:pPr>
        <w:ind w:right="500" w:firstLine="1559"/>
        <w:spacing w:after="0" w:line="297" w:lineRule="auto"/>
        <w:tabs>
          <w:tab w:leader="none" w:pos="1942" w:val="left"/>
        </w:tabs>
        <w:numPr>
          <w:ilvl w:val="0"/>
          <w:numId w:val="90"/>
        </w:numPr>
        <w:rPr>
          <w:rFonts w:ascii="Arial" w:cs="Arial" w:eastAsia="Arial" w:hAnsi="Arial"/>
          <w:sz w:val="17"/>
          <w:szCs w:val="17"/>
          <w:color w:val="010000"/>
        </w:rPr>
      </w:pPr>
      <w:r>
        <w:rPr>
          <w:rFonts w:ascii="Arial" w:cs="Arial" w:eastAsia="Arial" w:hAnsi="Arial"/>
          <w:sz w:val="17"/>
          <w:szCs w:val="17"/>
          <w:color w:val="010000"/>
        </w:rPr>
        <w:t>Notice of the filing or commencement of any action, suit or proceeding by or before any arbitrator or Governmental Authority against any Loan Party with respect to the Chapter 11 Plan or the Confirmation Order, promptly after the commencement thereof.</w:t>
      </w:r>
    </w:p>
    <w:p>
      <w:pPr>
        <w:spacing w:after="0" w:line="156" w:lineRule="exact"/>
        <w:rPr>
          <w:sz w:val="20"/>
          <w:szCs w:val="20"/>
          <w:color w:val="auto"/>
        </w:rPr>
      </w:pPr>
    </w:p>
    <w:p>
      <w:pPr>
        <w:ind w:right="60" w:firstLine="518"/>
        <w:spacing w:after="0" w:line="265" w:lineRule="auto"/>
        <w:rPr>
          <w:sz w:val="20"/>
          <w:szCs w:val="20"/>
          <w:color w:val="auto"/>
        </w:rPr>
      </w:pPr>
      <w:r>
        <w:rPr>
          <w:rFonts w:ascii="Arial" w:cs="Arial" w:eastAsia="Arial" w:hAnsi="Arial"/>
          <w:sz w:val="17"/>
          <w:szCs w:val="17"/>
          <w:color w:val="auto"/>
        </w:rPr>
        <w:t xml:space="preserve">Documents required to be delivered pursuant to Section 5.01(h)(i), (ii) and (iv) (to the extent any such documents are included in materials otherwise filed with or furnished to the Securities Exchange Commission), shall be deemed to have been delivered on the date (i) on which the Company provides such documents to the Agent, or provides a link thereto on the Company’s website on the Internet at the website address listed on </w:t>
      </w:r>
      <w:r>
        <w:rPr>
          <w:rFonts w:ascii="Arial" w:cs="Arial" w:eastAsia="Arial" w:hAnsi="Arial"/>
          <w:sz w:val="17"/>
          <w:szCs w:val="17"/>
          <w:u w:val="single" w:color="auto"/>
          <w:color w:val="auto"/>
        </w:rPr>
        <w:t>Schedule 9.02</w:t>
      </w:r>
      <w:r>
        <w:rPr>
          <w:rFonts w:ascii="Arial" w:cs="Arial" w:eastAsia="Arial" w:hAnsi="Arial"/>
          <w:sz w:val="17"/>
          <w:szCs w:val="17"/>
          <w:color w:val="auto"/>
        </w:rPr>
        <w:t xml:space="preserve">; or (ii) on which such documents are posted on the Company’s behalf on an Internet or intranet website, if any, to which each Lender and the Agent have access (whether a commercial, third-party website or whether sponsored by the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upon written reasonable request of the Agent, the Company shall deliver paper copies of such documents to the Agent until a written request to cease delivering paper copies is given by the Agent and (B) the Company shall notify the Agent (by telecopier or electronic mail) of the posting of any such documents and provide to the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timely accessing posted documents or requesting delivery of paper copies of such documents from the Agent and maintaining its copies of such documents.</w:t>
      </w:r>
    </w:p>
    <w:p>
      <w:pPr>
        <w:spacing w:after="0" w:line="186" w:lineRule="exact"/>
        <w:rPr>
          <w:sz w:val="20"/>
          <w:szCs w:val="20"/>
          <w:color w:val="auto"/>
        </w:rPr>
      </w:pPr>
    </w:p>
    <w:p>
      <w:pPr>
        <w:ind w:right="80" w:firstLine="518"/>
        <w:spacing w:after="0" w:line="282" w:lineRule="auto"/>
        <w:rPr>
          <w:sz w:val="20"/>
          <w:szCs w:val="20"/>
          <w:color w:val="auto"/>
        </w:rPr>
      </w:pPr>
      <w:r>
        <w:rPr>
          <w:rFonts w:ascii="Arial" w:cs="Arial" w:eastAsia="Arial" w:hAnsi="Arial"/>
          <w:sz w:val="16"/>
          <w:szCs w:val="16"/>
          <w:color w:val="auto"/>
        </w:rPr>
        <w:t>Each Loan Party hereby acknowledges that (a) the Agent and the Arrangers will make available to the Lenders and the Issuing Banks materials and/or information provided by or on behalf of the Borrower hereunder (collectively, “</w:t>
      </w:r>
      <w:r>
        <w:rPr>
          <w:rFonts w:ascii="Arial" w:cs="Arial" w:eastAsia="Arial" w:hAnsi="Arial"/>
          <w:sz w:val="16"/>
          <w:szCs w:val="16"/>
          <w:u w:val="single" w:color="auto"/>
          <w:color w:val="auto"/>
        </w:rPr>
        <w:t>Loan Party Materials</w:t>
      </w:r>
      <w:r>
        <w:rPr>
          <w:rFonts w:ascii="Arial" w:cs="Arial" w:eastAsia="Arial" w:hAnsi="Arial"/>
          <w:sz w:val="16"/>
          <w:szCs w:val="16"/>
          <w:color w:val="auto"/>
        </w:rPr>
        <w:t>”) by posting the Loan Party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Each Loan Party hereby agrees that it will use commercially reasonable efforts to identify that portion of the Loan Party Materials that may be distributed to the Public Lenders and that (w) all such Loan Party Materials shall be clearly and conspicuously marked “PUBLIC” which, at a minimum, shall mean that the word “PUBLIC” shall appear prominently on the first page thereof; (x) by marking Loan Party Materials “PUBLIC”, the Loan Parties shall be deemed to have authorized the Agent, and the Arrangers, the Issuing Banks and the Lenders to treat such Loan Party Materials as not containing any material non-public information (although it may be sensitive and proprietary) with respect to the Company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such Loan Party Materials constitute Borrower Information, they shall be treated as set forth in Section 9.09); (y) all Loan Party Materials marked “PUBLIC” are permitted to be made available through a portion of the Platform designated “Public Side Information”; and (z) the Agent and the Arrangers shall be entitled to treat any Loan Party Materials that are not marked “PUBLIC” as being suitable only for posting on a portion of the Platform not designated “Public Side Information”. Notwithstanding the foregoing, the Loan Parties shall be under no obligation to mark any Loan Party Materials “PUBLIC”.</w:t>
      </w:r>
    </w:p>
    <w:p>
      <w:pPr>
        <w:spacing w:after="0" w:line="67" w:lineRule="exact"/>
        <w:rPr>
          <w:sz w:val="20"/>
          <w:szCs w:val="20"/>
          <w:color w:val="auto"/>
        </w:rPr>
      </w:pPr>
    </w:p>
    <w:p>
      <w:pPr>
        <w:ind w:right="40" w:firstLine="1041"/>
        <w:spacing w:after="0" w:line="252" w:lineRule="auto"/>
        <w:tabs>
          <w:tab w:leader="none" w:pos="1246" w:val="left"/>
        </w:tabs>
        <w:numPr>
          <w:ilvl w:val="1"/>
          <w:numId w:val="91"/>
        </w:numPr>
        <w:rPr>
          <w:rFonts w:ascii="Arial" w:cs="Arial" w:eastAsia="Arial" w:hAnsi="Arial"/>
          <w:sz w:val="18"/>
          <w:szCs w:val="18"/>
          <w:color w:val="010000"/>
        </w:rPr>
      </w:pPr>
      <w:r>
        <w:rPr>
          <w:rFonts w:ascii="Arial" w:cs="Arial" w:eastAsia="Arial" w:hAnsi="Arial"/>
          <w:sz w:val="18"/>
          <w:szCs w:val="18"/>
          <w:u w:val="single" w:color="auto"/>
          <w:color w:val="010000"/>
        </w:rPr>
        <w:t>Covenant to Guarantee Obligations and Give Security</w:t>
      </w:r>
      <w:r>
        <w:rPr>
          <w:rFonts w:ascii="Arial" w:cs="Arial" w:eastAsia="Arial" w:hAnsi="Arial"/>
          <w:sz w:val="18"/>
          <w:szCs w:val="18"/>
          <w:color w:val="010000"/>
        </w:rPr>
        <w:t>. Upon the formation or acquisition after the Closing Date of (1) any Subsidiaries other than Excluded Subsidiaries, or (2) the acquisition of any property by any Loan Party, and such property, in the judgment of the Agent (as to which judgment the Agent has given notice to the Company (such notice, a “</w:t>
      </w:r>
      <w:r>
        <w:rPr>
          <w:rFonts w:ascii="Arial" w:cs="Arial" w:eastAsia="Arial" w:hAnsi="Arial"/>
          <w:sz w:val="18"/>
          <w:szCs w:val="18"/>
          <w:u w:val="single" w:color="auto"/>
          <w:color w:val="010000"/>
        </w:rPr>
        <w:t>Request</w:t>
      </w:r>
      <w:r>
        <w:rPr>
          <w:rFonts w:ascii="Arial" w:cs="Arial" w:eastAsia="Arial" w:hAnsi="Arial"/>
          <w:sz w:val="18"/>
          <w:szCs w:val="18"/>
          <w:color w:val="010000"/>
        </w:rPr>
        <w:t>”)), shall not already be subject (other than in respect of the Specified Collateral) to a perfected first priority (as to ABL Priority Collateral) security interest in favor of the Agent for the benefit of the Secured Parties, then in each case at the Company’s expense:</w:t>
      </w:r>
    </w:p>
    <w:p>
      <w:pPr>
        <w:spacing w:after="0" w:line="86" w:lineRule="exact"/>
        <w:rPr>
          <w:rFonts w:ascii="Arial" w:cs="Arial" w:eastAsia="Arial" w:hAnsi="Arial"/>
          <w:sz w:val="18"/>
          <w:szCs w:val="18"/>
          <w:color w:val="010000"/>
        </w:rPr>
      </w:pPr>
    </w:p>
    <w:p>
      <w:pPr>
        <w:ind w:right="120" w:firstLine="1559"/>
        <w:spacing w:after="0" w:line="257" w:lineRule="auto"/>
        <w:tabs>
          <w:tab w:leader="none" w:pos="1764" w:val="left"/>
        </w:tabs>
        <w:numPr>
          <w:ilvl w:val="2"/>
          <w:numId w:val="91"/>
        </w:numPr>
        <w:rPr>
          <w:rFonts w:ascii="Arial" w:cs="Arial" w:eastAsia="Arial" w:hAnsi="Arial"/>
          <w:sz w:val="18"/>
          <w:szCs w:val="18"/>
          <w:color w:val="010000"/>
        </w:rPr>
      </w:pPr>
      <w:r>
        <w:rPr>
          <w:rFonts w:ascii="Arial" w:cs="Arial" w:eastAsia="Arial" w:hAnsi="Arial"/>
          <w:sz w:val="18"/>
          <w:szCs w:val="18"/>
          <w:color w:val="010000"/>
        </w:rPr>
        <w:t xml:space="preserve">in connection with the formation or acquisition of a Subsidiary other than an Excluded Subsidiary within 30 days after such formation or acquisition, cause each such Subsidiary, to duly execute and deliver to the Agent a guaranty supplement, in the form of </w:t>
      </w:r>
      <w:r>
        <w:rPr>
          <w:rFonts w:ascii="Arial" w:cs="Arial" w:eastAsia="Arial" w:hAnsi="Arial"/>
          <w:sz w:val="18"/>
          <w:szCs w:val="18"/>
          <w:u w:val="single" w:color="auto"/>
          <w:color w:val="010000"/>
        </w:rPr>
        <w:t>Exhibit E</w:t>
      </w:r>
      <w:r>
        <w:rPr>
          <w:rFonts w:ascii="Arial" w:cs="Arial" w:eastAsia="Arial" w:hAnsi="Arial"/>
          <w:sz w:val="18"/>
          <w:szCs w:val="18"/>
          <w:color w:val="010000"/>
        </w:rPr>
        <w:t xml:space="preserve"> hereto, guaranteeing the Guaranteed Obligations,</w:t>
      </w:r>
    </w:p>
    <w:p>
      <w:pPr>
        <w:spacing w:after="0" w:line="81" w:lineRule="exact"/>
        <w:rPr>
          <w:rFonts w:ascii="Arial" w:cs="Arial" w:eastAsia="Arial" w:hAnsi="Arial"/>
          <w:sz w:val="18"/>
          <w:szCs w:val="18"/>
          <w:color w:val="010000"/>
        </w:rPr>
      </w:pPr>
    </w:p>
    <w:p>
      <w:pPr>
        <w:ind w:firstLine="1559"/>
        <w:spacing w:after="0" w:line="280" w:lineRule="auto"/>
        <w:tabs>
          <w:tab w:leader="none" w:pos="1814" w:val="left"/>
        </w:tabs>
        <w:numPr>
          <w:ilvl w:val="2"/>
          <w:numId w:val="91"/>
        </w:numPr>
        <w:rPr>
          <w:rFonts w:ascii="Arial" w:cs="Arial" w:eastAsia="Arial" w:hAnsi="Arial"/>
          <w:sz w:val="16"/>
          <w:szCs w:val="16"/>
          <w:color w:val="010000"/>
        </w:rPr>
      </w:pPr>
      <w:r>
        <w:rPr>
          <w:rFonts w:ascii="Arial" w:cs="Arial" w:eastAsia="Arial" w:hAnsi="Arial"/>
          <w:sz w:val="16"/>
          <w:szCs w:val="16"/>
          <w:color w:val="010000"/>
        </w:rPr>
        <w:t>within 45 days after (A) such Request or acquisition of property by any Loan Party, duly execute and deliver, and cause each Loan Party to duly execute and deliver, to the Agent such additional pledges, assignments (it being understood that, to the extent the applicable Collateral constitutes Term Loan Priority Collateral (as defined in the Term Loan Intercreditor Agreement), physical delivery of control thereof by the Agent shall not be required so long as such Collateral is delivered to, or under the control of, the Exit First Lien Term Loan Agent or the Exit Second Lien Term Loan Agent in accordance with the Term Loan Intercreditor Agreement), security agreement supplements, intellectual property security agreement supplements and other security agreements as specified by, and in form and substance reasonably satisfactory to, the Agent, securing payment of all of the Guaranteed Obligations of such Loan Party and constituting Liens on all such properties and (B) such formation or acquisition of any such Subsidiary other than (x) an Immaterial Subsidiary or</w:t>
      </w:r>
    </w:p>
    <w:p>
      <w:pPr>
        <w:spacing w:after="0" w:line="1" w:lineRule="exact"/>
        <w:rPr>
          <w:rFonts w:ascii="Arial" w:cs="Arial" w:eastAsia="Arial" w:hAnsi="Arial"/>
          <w:sz w:val="16"/>
          <w:szCs w:val="16"/>
          <w:color w:val="010000"/>
        </w:rPr>
      </w:pPr>
    </w:p>
    <w:p>
      <w:pPr>
        <w:ind w:right="80" w:firstLine="7"/>
        <w:spacing w:after="0" w:line="266" w:lineRule="auto"/>
        <w:tabs>
          <w:tab w:leader="none" w:pos="252" w:val="left"/>
        </w:tabs>
        <w:numPr>
          <w:ilvl w:val="0"/>
          <w:numId w:val="92"/>
        </w:numPr>
        <w:rPr>
          <w:rFonts w:ascii="Arial" w:cs="Arial" w:eastAsia="Arial" w:hAnsi="Arial"/>
          <w:sz w:val="17"/>
          <w:szCs w:val="17"/>
          <w:color w:val="010000"/>
        </w:rPr>
      </w:pPr>
      <w:r>
        <w:rPr>
          <w:rFonts w:ascii="Arial" w:cs="Arial" w:eastAsia="Arial" w:hAnsi="Arial"/>
          <w:sz w:val="17"/>
          <w:szCs w:val="17"/>
          <w:color w:val="010000"/>
        </w:rPr>
        <w:t xml:space="preserve">a Foreign Subsidiary that is not a Material First-Tier Foreign Subsidiary of the Company, duly execute and deliver and cause each Loan Party acquiring equity interests in such Subsidiary to duly execute and deliver to the Agent pledges, assignments and security agreement supplements related to such equity interests as specified by, and in form and substance satisfactory to, the Agent, securing payment of all of the Guaranteed Obligations of such Loan Party,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xml:space="preserve">, if such new property is equity interests in a CFC, no more than 65% of the voting equity interests in any such CFC shall be required to be so pledged;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further</w:t>
      </w:r>
      <w:r>
        <w:rPr>
          <w:rFonts w:ascii="Arial" w:cs="Arial" w:eastAsia="Arial" w:hAnsi="Arial"/>
          <w:sz w:val="17"/>
          <w:szCs w:val="17"/>
          <w:color w:val="010000"/>
        </w:rPr>
        <w:t>, that no Foreign Subsidiary will be subject to local pledge perfection if in the applicable foreign jurisdiction such Foreign Subsidiary would have to consult a works council in order to perfect the pledge),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09" w:name="page110"/>
    <w:bookmarkEnd w:id="109"/>
    <w:p>
      <w:pPr>
        <w:ind w:right="160" w:firstLine="1559"/>
        <w:spacing w:after="0" w:line="288" w:lineRule="auto"/>
        <w:tabs>
          <w:tab w:leader="none" w:pos="1863" w:val="left"/>
        </w:tabs>
        <w:numPr>
          <w:ilvl w:val="0"/>
          <w:numId w:val="93"/>
        </w:numPr>
        <w:rPr>
          <w:rFonts w:ascii="Arial" w:cs="Arial" w:eastAsia="Arial" w:hAnsi="Arial"/>
          <w:sz w:val="16"/>
          <w:szCs w:val="16"/>
          <w:color w:val="010000"/>
        </w:rPr>
      </w:pPr>
      <w:r>
        <w:rPr>
          <w:rFonts w:ascii="Arial" w:cs="Arial" w:eastAsia="Arial" w:hAnsi="Arial"/>
          <w:sz w:val="16"/>
          <w:szCs w:val="16"/>
          <w:color w:val="010000"/>
        </w:rPr>
        <w:t>within 60 days after such Request, formation or acquisition, take, and cause each Loan Party to take, whatever action (including, without limitation, the filing of UCC financing statements (or similar registrations or filings), the giving of notices and the endorsement of notices on title documents) may be necessary or advisable in the reasonable opinion of the Agent to vest in the Agent (or in any representative of the Agent designated by it) valid and subsisting Liens on the properties purported to be subject to the pledges, assignments, security agreement supplements, intellectual property security agreement supplements and security agreements delivered pursuant to this Section 5.01(i), enforceable against all third parties in accordance with their terms (other than in respect of the Specified Collateral as set forth in Section 6(m) of the Security Agreement),</w:t>
      </w:r>
    </w:p>
    <w:p>
      <w:pPr>
        <w:spacing w:after="0" w:line="62" w:lineRule="exact"/>
        <w:rPr>
          <w:rFonts w:ascii="Arial" w:cs="Arial" w:eastAsia="Arial" w:hAnsi="Arial"/>
          <w:sz w:val="16"/>
          <w:szCs w:val="16"/>
          <w:color w:val="010000"/>
        </w:rPr>
      </w:pPr>
    </w:p>
    <w:p>
      <w:pPr>
        <w:ind w:firstLine="1559"/>
        <w:spacing w:after="0" w:line="287" w:lineRule="auto"/>
        <w:tabs>
          <w:tab w:leader="none" w:pos="1853" w:val="left"/>
        </w:tabs>
        <w:numPr>
          <w:ilvl w:val="0"/>
          <w:numId w:val="93"/>
        </w:numPr>
        <w:rPr>
          <w:rFonts w:ascii="Arial" w:cs="Arial" w:eastAsia="Arial" w:hAnsi="Arial"/>
          <w:sz w:val="16"/>
          <w:szCs w:val="16"/>
          <w:color w:val="010000"/>
        </w:rPr>
      </w:pPr>
      <w:r>
        <w:rPr>
          <w:rFonts w:ascii="Arial" w:cs="Arial" w:eastAsia="Arial" w:hAnsi="Arial"/>
          <w:sz w:val="16"/>
          <w:szCs w:val="16"/>
          <w:color w:val="010000"/>
        </w:rPr>
        <w:t>within 60 days after such Request, formation or acquisition, deliver to the Agent, upon the request of the Agent in its sole discretion, a signed copy of one or more favorable opinions, addressed to the Agent and the other Secured Parties, of counsel for the Loan Parties reasonably acceptable to the Agent as to (1) such guaranties, guaranty supplements, pledges, assignments, security agreement supplements, intellectual property security agreement supplements and security agreements described in clauses (i), (ii) and (iii) above being legal, valid and binding obligations of each Loan Party thereto enforceable in accordance with their terms and as to the matters contained in clause (iii) above, subject to customary exceptions, (2) such recordings, filings, notices, endorsements and other actions being sufficient to create valid perfected Liens on such assets, and (3) such other matters as the Agent may reasonably request, consistent with the opinions delivered on the Closing Date (to the extent applicable).</w:t>
      </w:r>
    </w:p>
    <w:p>
      <w:pPr>
        <w:spacing w:after="0" w:line="60" w:lineRule="exact"/>
        <w:rPr>
          <w:rFonts w:ascii="Arial" w:cs="Arial" w:eastAsia="Arial" w:hAnsi="Arial"/>
          <w:sz w:val="16"/>
          <w:szCs w:val="16"/>
          <w:color w:val="010000"/>
        </w:rPr>
      </w:pPr>
    </w:p>
    <w:p>
      <w:pPr>
        <w:ind w:right="20" w:firstLine="1559"/>
        <w:spacing w:after="0" w:line="252" w:lineRule="auto"/>
        <w:tabs>
          <w:tab w:leader="none" w:pos="1804" w:val="left"/>
        </w:tabs>
        <w:numPr>
          <w:ilvl w:val="0"/>
          <w:numId w:val="93"/>
        </w:numPr>
        <w:rPr>
          <w:rFonts w:ascii="Arial" w:cs="Arial" w:eastAsia="Arial" w:hAnsi="Arial"/>
          <w:sz w:val="18"/>
          <w:szCs w:val="18"/>
          <w:color w:val="010000"/>
        </w:rPr>
      </w:pPr>
      <w:r>
        <w:rPr>
          <w:rFonts w:ascii="Arial" w:cs="Arial" w:eastAsia="Arial" w:hAnsi="Arial"/>
          <w:sz w:val="18"/>
          <w:szCs w:val="18"/>
          <w:color w:val="010000"/>
        </w:rPr>
        <w:t>at any time and from time to time, promptly execute and deliver, and cause each Loan Party and each Restricted Subsidiary other than an Excluded Subsidiary to execute and deliver, any and all further instruments and documents and take, and cause such Subsidiary to take, all such other action as the Agent may deem reasonably necessary or desirable in obtaining the full benefits of, or in perfecting and preserving the Liens of, such guaranties, pledges, assignments, security agreement supplements, intellectual property security agreement supplements and security agreements to the extent required by this Section 5.01(i) and the applicable Collateral Documents.</w:t>
      </w:r>
    </w:p>
    <w:p>
      <w:pPr>
        <w:spacing w:after="0" w:line="193" w:lineRule="exact"/>
        <w:rPr>
          <w:sz w:val="20"/>
          <w:szCs w:val="20"/>
          <w:color w:val="auto"/>
        </w:rPr>
      </w:pPr>
    </w:p>
    <w:p>
      <w:pPr>
        <w:ind w:right="220" w:firstLine="518"/>
        <w:spacing w:after="0" w:line="267" w:lineRule="auto"/>
        <w:rPr>
          <w:sz w:val="20"/>
          <w:szCs w:val="20"/>
          <w:color w:val="auto"/>
        </w:rPr>
      </w:pPr>
      <w:r>
        <w:rPr>
          <w:rFonts w:ascii="Arial" w:cs="Arial" w:eastAsia="Arial" w:hAnsi="Arial"/>
          <w:sz w:val="18"/>
          <w:szCs w:val="18"/>
          <w:color w:val="auto"/>
        </w:rPr>
        <w:t>Notwithstanding the foregoing, the Borrower shall have no obligation to provide in favor of the Secured Parties perfected security interests in any real property held by the Borrower or its Subsidiaries.</w:t>
      </w:r>
    </w:p>
    <w:p>
      <w:pPr>
        <w:spacing w:after="0" w:line="73" w:lineRule="exact"/>
        <w:rPr>
          <w:sz w:val="20"/>
          <w:szCs w:val="20"/>
          <w:color w:val="auto"/>
        </w:rPr>
      </w:pPr>
    </w:p>
    <w:p>
      <w:pPr>
        <w:ind w:left="1260" w:hanging="219"/>
        <w:spacing w:after="0"/>
        <w:tabs>
          <w:tab w:leader="none" w:pos="1260" w:val="left"/>
        </w:tabs>
        <w:numPr>
          <w:ilvl w:val="0"/>
          <w:numId w:val="94"/>
        </w:numPr>
        <w:rPr>
          <w:rFonts w:ascii="Arial" w:cs="Arial" w:eastAsia="Arial" w:hAnsi="Arial"/>
          <w:sz w:val="18"/>
          <w:szCs w:val="18"/>
          <w:color w:val="010000"/>
        </w:rPr>
      </w:pPr>
      <w:r>
        <w:rPr>
          <w:rFonts w:ascii="Arial" w:cs="Arial" w:eastAsia="Arial" w:hAnsi="Arial"/>
          <w:sz w:val="18"/>
          <w:szCs w:val="18"/>
          <w:u w:val="single" w:color="auto"/>
          <w:color w:val="010000"/>
        </w:rPr>
        <w:t>Further Assurances</w:t>
      </w:r>
      <w:r>
        <w:rPr>
          <w:rFonts w:ascii="Arial" w:cs="Arial" w:eastAsia="Arial" w:hAnsi="Arial"/>
          <w:sz w:val="18"/>
          <w:szCs w:val="18"/>
          <w:color w:val="010000"/>
        </w:rPr>
        <w:t>.</w:t>
      </w:r>
    </w:p>
    <w:p>
      <w:pPr>
        <w:spacing w:after="0" w:line="113" w:lineRule="exact"/>
        <w:rPr>
          <w:rFonts w:ascii="Arial" w:cs="Arial" w:eastAsia="Arial" w:hAnsi="Arial"/>
          <w:sz w:val="18"/>
          <w:szCs w:val="18"/>
          <w:color w:val="010000"/>
        </w:rPr>
      </w:pPr>
    </w:p>
    <w:p>
      <w:pPr>
        <w:ind w:right="40" w:firstLine="1559"/>
        <w:spacing w:after="0" w:line="257" w:lineRule="auto"/>
        <w:tabs>
          <w:tab w:leader="none" w:pos="1764" w:val="left"/>
        </w:tabs>
        <w:numPr>
          <w:ilvl w:val="1"/>
          <w:numId w:val="94"/>
        </w:numPr>
        <w:rPr>
          <w:rFonts w:ascii="Arial" w:cs="Arial" w:eastAsia="Arial" w:hAnsi="Arial"/>
          <w:sz w:val="18"/>
          <w:szCs w:val="18"/>
          <w:color w:val="010000"/>
        </w:rPr>
      </w:pPr>
      <w:r>
        <w:rPr>
          <w:rFonts w:ascii="Arial" w:cs="Arial" w:eastAsia="Arial" w:hAnsi="Arial"/>
          <w:sz w:val="18"/>
          <w:szCs w:val="18"/>
          <w:color w:val="010000"/>
        </w:rPr>
        <w:t>Promptly upon the reasonable request by the Agent, or any Lender through the Agent, correct, and cause each of the other Loan Parties promptly to correct, any material defect or error that may be discovered in any Loan Document or in the execution, acknowledgment, filing or recordation thereof, and</w:t>
      </w:r>
    </w:p>
    <w:p>
      <w:pPr>
        <w:spacing w:after="0" w:line="81" w:lineRule="exact"/>
        <w:rPr>
          <w:rFonts w:ascii="Arial" w:cs="Arial" w:eastAsia="Arial" w:hAnsi="Arial"/>
          <w:sz w:val="18"/>
          <w:szCs w:val="18"/>
          <w:color w:val="010000"/>
        </w:rPr>
      </w:pPr>
    </w:p>
    <w:p>
      <w:pPr>
        <w:ind w:right="20" w:firstLine="1559"/>
        <w:spacing w:after="0" w:line="265" w:lineRule="auto"/>
        <w:tabs>
          <w:tab w:leader="none" w:pos="1814" w:val="left"/>
        </w:tabs>
        <w:numPr>
          <w:ilvl w:val="1"/>
          <w:numId w:val="94"/>
        </w:numPr>
        <w:rPr>
          <w:rFonts w:ascii="Arial" w:cs="Arial" w:eastAsia="Arial" w:hAnsi="Arial"/>
          <w:sz w:val="17"/>
          <w:szCs w:val="17"/>
          <w:color w:val="010000"/>
        </w:rPr>
      </w:pPr>
      <w:r>
        <w:rPr>
          <w:rFonts w:ascii="Arial" w:cs="Arial" w:eastAsia="Arial" w:hAnsi="Arial"/>
          <w:sz w:val="17"/>
          <w:szCs w:val="17"/>
          <w:color w:val="010000"/>
        </w:rPr>
        <w:t>Promptly upon the reasonable request by the Agent, or any Lender through the Agent, do, execute, acknowledge, deliver, record, re-record, file, re-file, register and reregister any and all such further acts, pledge agreements, assignments, financing statements and continuations thereof, termination statements, notices of assignment, transfers, certificates, assurances and other instruments as the Agent, or any Lender through the Agent, may reasonably require from time to time in order to (A) carry out more effectively the purposes of the Loan Documents, (B) to the fullest extent permitted by applicable law and the terms of this Agreement and the Collateral Documents, subject any Loan Party’s properties, assets, rights or interests to the Liens now or hereafter intended to be covered by any of the Collateral Documents, (C) perfect and maintain the validity, effectiveness and priority of any of the Collateral Documents and any of the Liens intended to be created thereunder and (D)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formed or acquired after the Closing Date is or is to be a party, and cause each of its Subsidiaries to do so.</w:t>
      </w:r>
    </w:p>
    <w:p>
      <w:pPr>
        <w:spacing w:after="0" w:line="81" w:lineRule="exact"/>
        <w:rPr>
          <w:rFonts w:ascii="Arial" w:cs="Arial" w:eastAsia="Arial" w:hAnsi="Arial"/>
          <w:sz w:val="17"/>
          <w:szCs w:val="17"/>
          <w:color w:val="010000"/>
        </w:rPr>
      </w:pPr>
    </w:p>
    <w:p>
      <w:pPr>
        <w:ind w:firstLine="1041"/>
        <w:spacing w:after="0" w:line="264" w:lineRule="auto"/>
        <w:tabs>
          <w:tab w:leader="none" w:pos="1286" w:val="left"/>
        </w:tabs>
        <w:numPr>
          <w:ilvl w:val="0"/>
          <w:numId w:val="94"/>
        </w:numPr>
        <w:rPr>
          <w:rFonts w:ascii="Arial" w:cs="Arial" w:eastAsia="Arial" w:hAnsi="Arial"/>
          <w:sz w:val="17"/>
          <w:szCs w:val="17"/>
          <w:color w:val="010000"/>
        </w:rPr>
      </w:pPr>
      <w:r>
        <w:rPr>
          <w:rFonts w:ascii="Arial" w:cs="Arial" w:eastAsia="Arial" w:hAnsi="Arial"/>
          <w:sz w:val="17"/>
          <w:szCs w:val="17"/>
          <w:u w:val="single" w:color="auto"/>
          <w:color w:val="010000"/>
        </w:rPr>
        <w:t>Transactions with Affiliates</w:t>
      </w:r>
      <w:r>
        <w:rPr>
          <w:rFonts w:ascii="Arial" w:cs="Arial" w:eastAsia="Arial" w:hAnsi="Arial"/>
          <w:sz w:val="17"/>
          <w:szCs w:val="17"/>
          <w:color w:val="010000"/>
        </w:rPr>
        <w:t>. Conduct, and cause each of its Restricted Subsidiaries to conduct, all transactions in which the fair market value of the transaction is in excess of $5,000,000 that are otherwise permitted under this Agreement with any of their Affiliates on terms that are fair and reasonable and no less favorable to the Company or such Restricted Subsidiary than it would obtain in a comparable arm’s-length transaction (determined in the reasonable judgment of the Company) with a Person not an Affiliate (it being agreed that such condition may be satisfied by the Company’s or such Restricted Subsidiary’s obtaining a “fairness” opinion from a nationally recognized investment bank or accounting firm or other person reasonably acceptable to the Agent but the Company or such Restricted Subsidiary is not obligated to so obtain a “fairness” opinion), other than, (i) transactions between or among the Company and its Restricted Subsidiaries and not involving any other Affiliate, (ii) transactions, arrangements, fee reimbursements and indemnities specifically and expressly permitted or required under the Chapter 11 Plan or this Agreement, (iii) the consummation of the Initial Closing Date Transactions, the Closing Date Transactions and the Chapter 11 Plan, (iv) Restricted Payments and payments permitted under Section 5.02(h), (v) employment and severance arrangements between the Company and its Restricted Subsidiaries and their respective officers and employees in the ordinary course of business and transactions pursuant to stock option plans and employee benefit plans and arrangements in the ordinary course of business, (vi) the payment of customary fees and reasonable out of pocket costs to, and indemnities provided on behalf of, directors, managers, officers, employees and consultants of the Company and its Restricted Subsidiaries (or any direct or indirect parent of the Company) in the ordinary course of business to the extent attributable to the ownership or operation of the Borrower and its Restricted Subsidiaries, (vii) transactions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10" w:name="page111"/>
    <w:bookmarkEnd w:id="110"/>
    <w:p>
      <w:pPr>
        <w:ind w:right="280"/>
        <w:spacing w:after="0" w:line="295" w:lineRule="auto"/>
        <w:rPr>
          <w:sz w:val="20"/>
          <w:szCs w:val="20"/>
          <w:color w:val="auto"/>
        </w:rPr>
      </w:pPr>
      <w:r>
        <w:rPr>
          <w:rFonts w:ascii="Arial" w:cs="Arial" w:eastAsia="Arial" w:hAnsi="Arial"/>
          <w:sz w:val="16"/>
          <w:szCs w:val="16"/>
          <w:color w:val="010000"/>
        </w:rPr>
        <w:t xml:space="preserve">pursuant to agreements in existence on the Closing Date and set forth on </w:t>
      </w:r>
      <w:r>
        <w:rPr>
          <w:rFonts w:ascii="Arial" w:cs="Arial" w:eastAsia="Arial" w:hAnsi="Arial"/>
          <w:sz w:val="16"/>
          <w:szCs w:val="16"/>
          <w:u w:val="single" w:color="auto"/>
          <w:color w:val="010000"/>
        </w:rPr>
        <w:t>Schedule 5.01(k)</w:t>
      </w:r>
      <w:r>
        <w:rPr>
          <w:rFonts w:ascii="Arial" w:cs="Arial" w:eastAsia="Arial" w:hAnsi="Arial"/>
          <w:sz w:val="16"/>
          <w:szCs w:val="16"/>
          <w:color w:val="010000"/>
        </w:rPr>
        <w:t xml:space="preserve"> or any amendment thereto to the extent such an amendment is not materially adverse to the Lenders, (viii) transactions with a Person who was not an Affiliate immediately before the consummation of such transaction that becomes an Affiliate as a result of such transaction and (ix) transactions entered into in the ordinary course of business, including, but not limited to, transactions with licensors, suppliers or other purchasers or sales of goods or services (including any intellectual property).</w:t>
      </w:r>
    </w:p>
    <w:p>
      <w:pPr>
        <w:spacing w:after="0" w:line="56" w:lineRule="exact"/>
        <w:rPr>
          <w:sz w:val="20"/>
          <w:szCs w:val="20"/>
          <w:color w:val="auto"/>
        </w:rPr>
      </w:pPr>
    </w:p>
    <w:p>
      <w:pPr>
        <w:ind w:left="1260" w:hanging="219"/>
        <w:spacing w:after="0"/>
        <w:tabs>
          <w:tab w:leader="none" w:pos="1260" w:val="left"/>
        </w:tabs>
        <w:numPr>
          <w:ilvl w:val="1"/>
          <w:numId w:val="95"/>
        </w:numPr>
        <w:rPr>
          <w:rFonts w:ascii="Arial" w:cs="Arial" w:eastAsia="Arial" w:hAnsi="Arial"/>
          <w:sz w:val="16"/>
          <w:szCs w:val="16"/>
          <w:color w:val="010000"/>
        </w:rPr>
      </w:pPr>
      <w:r>
        <w:rPr>
          <w:rFonts w:ascii="Arial" w:cs="Arial" w:eastAsia="Arial" w:hAnsi="Arial"/>
          <w:sz w:val="16"/>
          <w:szCs w:val="16"/>
          <w:u w:val="single" w:color="auto"/>
          <w:color w:val="010000"/>
        </w:rPr>
        <w:t>Maintenance of Cash Management System</w:t>
      </w:r>
      <w:r>
        <w:rPr>
          <w:rFonts w:ascii="Arial" w:cs="Arial" w:eastAsia="Arial" w:hAnsi="Arial"/>
          <w:sz w:val="16"/>
          <w:szCs w:val="16"/>
          <w:color w:val="010000"/>
        </w:rPr>
        <w:t>. (i) Establish and maintain a cash management system on the terms set forth in Section 2.18 and</w:t>
      </w:r>
    </w:p>
    <w:p>
      <w:pPr>
        <w:spacing w:after="0" w:line="40" w:lineRule="exact"/>
        <w:rPr>
          <w:rFonts w:ascii="Arial" w:cs="Arial" w:eastAsia="Arial" w:hAnsi="Arial"/>
          <w:sz w:val="16"/>
          <w:szCs w:val="16"/>
          <w:color w:val="010000"/>
        </w:rPr>
      </w:pPr>
    </w:p>
    <w:p>
      <w:pPr>
        <w:ind w:right="760" w:firstLine="7"/>
        <w:spacing w:after="0" w:line="254" w:lineRule="auto"/>
        <w:tabs>
          <w:tab w:leader="none" w:pos="262" w:val="left"/>
        </w:tabs>
        <w:numPr>
          <w:ilvl w:val="0"/>
          <w:numId w:val="96"/>
        </w:numPr>
        <w:rPr>
          <w:rFonts w:ascii="Arial" w:cs="Arial" w:eastAsia="Arial" w:hAnsi="Arial"/>
          <w:sz w:val="18"/>
          <w:szCs w:val="18"/>
          <w:color w:val="010000"/>
        </w:rPr>
      </w:pPr>
      <w:r>
        <w:rPr>
          <w:rFonts w:ascii="Arial" w:cs="Arial" w:eastAsia="Arial" w:hAnsi="Arial"/>
          <w:sz w:val="18"/>
          <w:szCs w:val="18"/>
          <w:color w:val="010000"/>
        </w:rPr>
        <w:t>continue to maintain one or more Concentration Accounts to be used by Borrower as its principal concentration account for day-to-day operations conducted by Borrower.</w:t>
      </w:r>
    </w:p>
    <w:p>
      <w:pPr>
        <w:spacing w:after="0" w:line="84" w:lineRule="exact"/>
        <w:rPr>
          <w:rFonts w:ascii="Arial" w:cs="Arial" w:eastAsia="Arial" w:hAnsi="Arial"/>
          <w:sz w:val="18"/>
          <w:szCs w:val="18"/>
          <w:color w:val="010000"/>
        </w:rPr>
      </w:pPr>
    </w:p>
    <w:p>
      <w:pPr>
        <w:ind w:right="140" w:firstLine="1041"/>
        <w:spacing w:after="0" w:line="288" w:lineRule="auto"/>
        <w:tabs>
          <w:tab w:leader="none" w:pos="1335" w:val="left"/>
        </w:tabs>
        <w:numPr>
          <w:ilvl w:val="1"/>
          <w:numId w:val="96"/>
        </w:numPr>
        <w:rPr>
          <w:rFonts w:ascii="Arial" w:cs="Arial" w:eastAsia="Arial" w:hAnsi="Arial"/>
          <w:sz w:val="16"/>
          <w:szCs w:val="16"/>
          <w:color w:val="010000"/>
        </w:rPr>
      </w:pPr>
      <w:r>
        <w:rPr>
          <w:rFonts w:ascii="Arial" w:cs="Arial" w:eastAsia="Arial" w:hAnsi="Arial"/>
          <w:sz w:val="16"/>
          <w:szCs w:val="16"/>
          <w:u w:val="single" w:color="auto"/>
          <w:color w:val="010000"/>
        </w:rPr>
        <w:t>Foreign Security Interests</w:t>
      </w:r>
      <w:r>
        <w:rPr>
          <w:rFonts w:ascii="Arial" w:cs="Arial" w:eastAsia="Arial" w:hAnsi="Arial"/>
          <w:sz w:val="16"/>
          <w:szCs w:val="16"/>
          <w:color w:val="010000"/>
        </w:rPr>
        <w:t xml:space="preserve">. Within the time periods set forth on </w:t>
      </w:r>
      <w:r>
        <w:rPr>
          <w:rFonts w:ascii="Arial" w:cs="Arial" w:eastAsia="Arial" w:hAnsi="Arial"/>
          <w:sz w:val="16"/>
          <w:szCs w:val="16"/>
          <w:u w:val="single" w:color="auto"/>
          <w:color w:val="010000"/>
        </w:rPr>
        <w:t>Schedule 5.01(m)</w:t>
      </w:r>
      <w:r>
        <w:rPr>
          <w:rFonts w:ascii="Arial" w:cs="Arial" w:eastAsia="Arial" w:hAnsi="Arial"/>
          <w:sz w:val="16"/>
          <w:szCs w:val="16"/>
          <w:color w:val="010000"/>
        </w:rPr>
        <w:t xml:space="preserve"> (or such longer time as may be reasonably agreed by the Agent), the Loan Parties shall have executed and delivered to the Agent all documents and instruments required to create and perfect the Agent’s third priority (to the extent applicable) security interest in the Collateral consisting of the capital stock of those Subsidiaries listed on </w:t>
      </w:r>
      <w:r>
        <w:rPr>
          <w:rFonts w:ascii="Arial" w:cs="Arial" w:eastAsia="Arial" w:hAnsi="Arial"/>
          <w:sz w:val="16"/>
          <w:szCs w:val="16"/>
          <w:u w:val="single" w:color="auto"/>
          <w:color w:val="010000"/>
        </w:rPr>
        <w:t>Schedule 5.01(m)</w:t>
      </w:r>
      <w:r>
        <w:rPr>
          <w:rFonts w:ascii="Arial" w:cs="Arial" w:eastAsia="Arial" w:hAnsi="Arial"/>
          <w:sz w:val="16"/>
          <w:szCs w:val="16"/>
          <w:color w:val="010000"/>
        </w:rPr>
        <w:t xml:space="preserve"> in the applicable foreign jurisdictions, free and clear of all other liens, subject to exceptions permitted hereunder and subject as to priority to the security interests securing the obligations in respect of the Exit Term Loan Debt or any Debt constituting a Permitted Refinancing thereof;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if the burden of obtaining any such pledge outweighs the benefit afforded thereby, the Agent may agree not to require the pledge of such stock by any Loan Party.</w:t>
      </w:r>
    </w:p>
    <w:p>
      <w:pPr>
        <w:spacing w:after="0" w:line="62" w:lineRule="exact"/>
        <w:rPr>
          <w:rFonts w:ascii="Arial" w:cs="Arial" w:eastAsia="Arial" w:hAnsi="Arial"/>
          <w:sz w:val="16"/>
          <w:szCs w:val="16"/>
          <w:color w:val="010000"/>
        </w:rPr>
      </w:pPr>
    </w:p>
    <w:p>
      <w:pPr>
        <w:ind w:right="40" w:firstLine="1041"/>
        <w:spacing w:after="0" w:line="284" w:lineRule="auto"/>
        <w:tabs>
          <w:tab w:leader="none" w:pos="1286" w:val="left"/>
        </w:tabs>
        <w:numPr>
          <w:ilvl w:val="1"/>
          <w:numId w:val="96"/>
        </w:numPr>
        <w:rPr>
          <w:rFonts w:ascii="Arial" w:cs="Arial" w:eastAsia="Arial" w:hAnsi="Arial"/>
          <w:sz w:val="16"/>
          <w:szCs w:val="16"/>
          <w:color w:val="010000"/>
        </w:rPr>
      </w:pPr>
      <w:r>
        <w:rPr>
          <w:rFonts w:ascii="Arial" w:cs="Arial" w:eastAsia="Arial" w:hAnsi="Arial"/>
          <w:sz w:val="16"/>
          <w:szCs w:val="16"/>
          <w:u w:val="single" w:color="auto"/>
          <w:color w:val="010000"/>
        </w:rPr>
        <w:t>Administration of Accounts and Inventory</w:t>
      </w:r>
      <w:r>
        <w:rPr>
          <w:rFonts w:ascii="Arial" w:cs="Arial" w:eastAsia="Arial" w:hAnsi="Arial"/>
          <w:sz w:val="16"/>
          <w:szCs w:val="16"/>
          <w:color w:val="010000"/>
        </w:rPr>
        <w:t>. (i) Each Loan Party shall keep accurate and complete records of its Accounts, including all payments and collections thereon and, subject to any other provision of this Section 5.01 with respect to the obligations of any Loan Party to provide information or reports to the Agent or the Lenders (A) each Loan Party shall submit to the Agent sales, collection, reconciliation and other reports in form reasonably satisfactory to the Agent, on such periodic basis (not more than quarterly) as the Agent may reasonably request and (B) the Company shall provide to the Agent, upon the Agent’s request, a detailed aged trial balance of all Accounts as of the end of the preceding month, specifying each Account’s Account Debtor name and address, amount, invoice date and due date, showing any discount, allowance, credit, authorized return or dispute, and including such proof of delivery, copies of invoices and invoice registers, copies of related documents, repayment histories, status reports and other information as the Agent may reasonably request. If Accounts in an aggregate face amount of $10,000,000 or more cease to be Eligible Receivables, the Company shall notify the Agent of such occurrence promptly (and in any event within three Business Days) after any Loan Party has knowledge thereof).</w:t>
      </w:r>
    </w:p>
    <w:p>
      <w:pPr>
        <w:spacing w:after="0" w:line="67" w:lineRule="exact"/>
        <w:rPr>
          <w:rFonts w:ascii="Arial" w:cs="Arial" w:eastAsia="Arial" w:hAnsi="Arial"/>
          <w:sz w:val="16"/>
          <w:szCs w:val="16"/>
          <w:color w:val="010000"/>
        </w:rPr>
      </w:pPr>
    </w:p>
    <w:p>
      <w:pPr>
        <w:ind w:right="40" w:firstLine="1559"/>
        <w:spacing w:after="0" w:line="304" w:lineRule="auto"/>
        <w:tabs>
          <w:tab w:leader="none" w:pos="1814" w:val="left"/>
        </w:tabs>
        <w:numPr>
          <w:ilvl w:val="2"/>
          <w:numId w:val="96"/>
        </w:numPr>
        <w:rPr>
          <w:rFonts w:ascii="Arial" w:cs="Arial" w:eastAsia="Arial" w:hAnsi="Arial"/>
          <w:sz w:val="16"/>
          <w:szCs w:val="16"/>
          <w:color w:val="010000"/>
        </w:rPr>
      </w:pPr>
      <w:r>
        <w:rPr>
          <w:rFonts w:ascii="Arial" w:cs="Arial" w:eastAsia="Arial" w:hAnsi="Arial"/>
          <w:sz w:val="16"/>
          <w:szCs w:val="16"/>
          <w:color w:val="010000"/>
        </w:rPr>
        <w:t xml:space="preserve">If an Account of any Loan Party includes a charge for any taxes, the Agent is authorized, in its discretion, to pay the amount thereof to the proper taxing authority for the account of such Loan Party if such Loan Party does not do so and to charge the Borrower therefor;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neither the Agent nor the Lenders shall be liable for any taxes that may be due from the Loan Parties or with respect to any Collateral.</w:t>
      </w:r>
    </w:p>
    <w:p>
      <w:pPr>
        <w:spacing w:after="0" w:line="47" w:lineRule="exact"/>
        <w:rPr>
          <w:rFonts w:ascii="Arial" w:cs="Arial" w:eastAsia="Arial" w:hAnsi="Arial"/>
          <w:sz w:val="16"/>
          <w:szCs w:val="16"/>
          <w:color w:val="010000"/>
        </w:rPr>
      </w:pPr>
    </w:p>
    <w:p>
      <w:pPr>
        <w:ind w:right="120" w:firstLine="1559"/>
        <w:spacing w:after="0" w:line="304" w:lineRule="auto"/>
        <w:tabs>
          <w:tab w:leader="none" w:pos="1863" w:val="left"/>
        </w:tabs>
        <w:numPr>
          <w:ilvl w:val="2"/>
          <w:numId w:val="96"/>
        </w:numPr>
        <w:rPr>
          <w:rFonts w:ascii="Arial" w:cs="Arial" w:eastAsia="Arial" w:hAnsi="Arial"/>
          <w:sz w:val="16"/>
          <w:szCs w:val="16"/>
          <w:color w:val="010000"/>
        </w:rPr>
      </w:pPr>
      <w:r>
        <w:rPr>
          <w:rFonts w:ascii="Arial" w:cs="Arial" w:eastAsia="Arial" w:hAnsi="Arial"/>
          <w:sz w:val="16"/>
          <w:szCs w:val="16"/>
          <w:color w:val="010000"/>
        </w:rPr>
        <w:t>Whether or not an Event of Default or a Cash Control Trigger Event exists, the Agent shall have the right at any time, in the name of the Agent, any designee of the Agent or any Loan Party, to verify the validity, amount or any other matter relating to any Accounts of the Loan Party by mail, telephone or otherwise. The Loan Parties shall cooperate fully with the Agent in an effort to facilitate and promptly conclude any such verification process.</w:t>
      </w:r>
    </w:p>
    <w:p>
      <w:pPr>
        <w:spacing w:after="0" w:line="47" w:lineRule="exact"/>
        <w:rPr>
          <w:rFonts w:ascii="Arial" w:cs="Arial" w:eastAsia="Arial" w:hAnsi="Arial"/>
          <w:sz w:val="16"/>
          <w:szCs w:val="16"/>
          <w:color w:val="010000"/>
        </w:rPr>
      </w:pPr>
    </w:p>
    <w:p>
      <w:pPr>
        <w:ind w:right="80" w:firstLine="1559"/>
        <w:spacing w:after="0" w:line="267" w:lineRule="auto"/>
        <w:tabs>
          <w:tab w:leader="none" w:pos="1853" w:val="left"/>
        </w:tabs>
        <w:numPr>
          <w:ilvl w:val="2"/>
          <w:numId w:val="96"/>
        </w:numPr>
        <w:rPr>
          <w:rFonts w:ascii="Arial" w:cs="Arial" w:eastAsia="Arial" w:hAnsi="Arial"/>
          <w:sz w:val="17"/>
          <w:szCs w:val="17"/>
          <w:color w:val="010000"/>
        </w:rPr>
      </w:pPr>
      <w:r>
        <w:rPr>
          <w:rFonts w:ascii="Arial" w:cs="Arial" w:eastAsia="Arial" w:hAnsi="Arial"/>
          <w:sz w:val="17"/>
          <w:szCs w:val="17"/>
          <w:color w:val="010000"/>
        </w:rPr>
        <w:t>Each Loan Party shall keep accurate and complete records of its Inventory, including costs and daily withdrawals and additions, and, subject to any other provision of this Section 5.01 with respect to the obligations of any Loan Party to provide information and reports to the Agent or any Lender (A) shall submit to the Agent inventory and reconciliation reports in form reasonably satisfactory to the Agent, on such periodic basis as the Agent may request and (B) conduct a physical inventory at least once per calendar year (and on a more frequent basis if requested by the Agent when an Event of Default exists and is continuing) or periodic cycle counts consistent with historical practices, and shall provide to the Agent a report based on each such inventory and count promptly upon completion thereof, together with such supporting information as the Agent may reasonably request. Upon request by the Agent, the Agent may participate in and observe any such physical count.</w:t>
      </w:r>
    </w:p>
    <w:p>
      <w:pPr>
        <w:spacing w:after="0" w:line="77" w:lineRule="exact"/>
        <w:rPr>
          <w:rFonts w:ascii="Arial" w:cs="Arial" w:eastAsia="Arial" w:hAnsi="Arial"/>
          <w:sz w:val="17"/>
          <w:szCs w:val="17"/>
          <w:color w:val="010000"/>
        </w:rPr>
      </w:pPr>
    </w:p>
    <w:p>
      <w:pPr>
        <w:jc w:val="both"/>
        <w:ind w:right="120" w:firstLine="1559"/>
        <w:spacing w:after="0" w:line="257" w:lineRule="auto"/>
        <w:tabs>
          <w:tab w:leader="none" w:pos="1804" w:val="left"/>
        </w:tabs>
        <w:numPr>
          <w:ilvl w:val="2"/>
          <w:numId w:val="96"/>
        </w:numPr>
        <w:rPr>
          <w:rFonts w:ascii="Arial" w:cs="Arial" w:eastAsia="Arial" w:hAnsi="Arial"/>
          <w:sz w:val="18"/>
          <w:szCs w:val="18"/>
          <w:color w:val="010000"/>
        </w:rPr>
      </w:pPr>
      <w:r>
        <w:rPr>
          <w:rFonts w:ascii="Arial" w:cs="Arial" w:eastAsia="Arial" w:hAnsi="Arial"/>
          <w:sz w:val="18"/>
          <w:szCs w:val="18"/>
          <w:color w:val="010000"/>
        </w:rPr>
        <w:t>No Loan Party shall return any Inventory to a supplier, vendor or other Person, whether for cash, credit or otherwise, unless (A) such return is in the ordinary course of business; (B) no Default exists or would result therefrom; and (C) the Agent is promptly notified if the aggregate value of all Inventory returned in any month exceeds $10,000,000.</w:t>
      </w:r>
    </w:p>
    <w:p>
      <w:pPr>
        <w:spacing w:after="0" w:line="81" w:lineRule="exact"/>
        <w:rPr>
          <w:rFonts w:ascii="Arial" w:cs="Arial" w:eastAsia="Arial" w:hAnsi="Arial"/>
          <w:sz w:val="18"/>
          <w:szCs w:val="18"/>
          <w:color w:val="010000"/>
        </w:rPr>
      </w:pPr>
    </w:p>
    <w:p>
      <w:pPr>
        <w:jc w:val="both"/>
        <w:ind w:right="380" w:firstLine="1041"/>
        <w:spacing w:after="0" w:line="257" w:lineRule="auto"/>
        <w:tabs>
          <w:tab w:leader="none" w:pos="1286" w:val="left"/>
        </w:tabs>
        <w:numPr>
          <w:ilvl w:val="1"/>
          <w:numId w:val="96"/>
        </w:numPr>
        <w:rPr>
          <w:rFonts w:ascii="Arial" w:cs="Arial" w:eastAsia="Arial" w:hAnsi="Arial"/>
          <w:sz w:val="18"/>
          <w:szCs w:val="18"/>
          <w:color w:val="010000"/>
        </w:rPr>
      </w:pPr>
      <w:r>
        <w:rPr>
          <w:rFonts w:ascii="Arial" w:cs="Arial" w:eastAsia="Arial" w:hAnsi="Arial"/>
          <w:sz w:val="18"/>
          <w:szCs w:val="18"/>
          <w:u w:val="single" w:color="auto"/>
          <w:color w:val="010000"/>
        </w:rPr>
        <w:t>Benefit Plans Payments</w:t>
      </w:r>
      <w:r>
        <w:rPr>
          <w:rFonts w:ascii="Arial" w:cs="Arial" w:eastAsia="Arial" w:hAnsi="Arial"/>
          <w:sz w:val="18"/>
          <w:szCs w:val="18"/>
          <w:color w:val="010000"/>
        </w:rPr>
        <w:t>. The Borrower, the Restricted Subsidiaries and all ERISA Affiliates shall make all required contributions to any Plans, Single Employer Plans or Multiemployer Plans which, if not made, would reasonably be expected to result in a Material Adverse Effect, unless such payment is being contested pursuant to Section 5.01(b).</w:t>
      </w:r>
    </w:p>
    <w:p>
      <w:pPr>
        <w:spacing w:after="0" w:line="81" w:lineRule="exact"/>
        <w:rPr>
          <w:rFonts w:ascii="Arial" w:cs="Arial" w:eastAsia="Arial" w:hAnsi="Arial"/>
          <w:sz w:val="18"/>
          <w:szCs w:val="18"/>
          <w:color w:val="010000"/>
        </w:rPr>
      </w:pPr>
    </w:p>
    <w:p>
      <w:pPr>
        <w:ind w:firstLine="1041"/>
        <w:spacing w:after="0" w:line="251" w:lineRule="auto"/>
        <w:tabs>
          <w:tab w:leader="none" w:pos="1286" w:val="left"/>
        </w:tabs>
        <w:numPr>
          <w:ilvl w:val="1"/>
          <w:numId w:val="96"/>
        </w:numPr>
        <w:rPr>
          <w:rFonts w:ascii="Arial" w:cs="Arial" w:eastAsia="Arial" w:hAnsi="Arial"/>
          <w:sz w:val="18"/>
          <w:szCs w:val="18"/>
          <w:color w:val="010000"/>
        </w:rPr>
      </w:pPr>
      <w:r>
        <w:rPr>
          <w:rFonts w:ascii="Arial" w:cs="Arial" w:eastAsia="Arial" w:hAnsi="Arial"/>
          <w:sz w:val="18"/>
          <w:szCs w:val="18"/>
          <w:u w:val="single" w:color="auto"/>
          <w:color w:val="010000"/>
        </w:rPr>
        <w:t>Lender Meetings</w:t>
      </w:r>
      <w:r>
        <w:rPr>
          <w:rFonts w:ascii="Arial" w:cs="Arial" w:eastAsia="Arial" w:hAnsi="Arial"/>
          <w:sz w:val="18"/>
          <w:szCs w:val="18"/>
          <w:color w:val="010000"/>
        </w:rPr>
        <w:t>. The Borrower will, upon the request of the Agent or the Required Lenders, participate in one teleconference with the Agent and the Lenders during each fiscal quarter (or, for so long as an Event of Default is continuing, more frequent teleconferences as the Agent may reasonably request) during normal business hours at such time as may be mutually agreed to by the Borrower and the Agent (it being understood and agreed that the appropriate Exit First Lien Term Loan Lenders and Exit Second Lien Term Loan Lenders may participate in any such teleconferences and such participation shall satisfy the Borrower’s obligation in respect thereof under the Exit First Lien Term Loan Agreement or Exit Second Lien Term Loan Agreement, as applicable).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11" w:name="page112"/>
    <w:bookmarkEnd w:id="111"/>
    <w:p>
      <w:pPr>
        <w:ind w:left="1300" w:hanging="259"/>
        <w:spacing w:after="0"/>
        <w:tabs>
          <w:tab w:leader="none" w:pos="1300" w:val="left"/>
        </w:tabs>
        <w:numPr>
          <w:ilvl w:val="0"/>
          <w:numId w:val="97"/>
        </w:numPr>
        <w:rPr>
          <w:rFonts w:ascii="Arial" w:cs="Arial" w:eastAsia="Arial" w:hAnsi="Arial"/>
          <w:sz w:val="17"/>
          <w:szCs w:val="17"/>
          <w:color w:val="010000"/>
        </w:rPr>
      </w:pPr>
      <w:r>
        <w:rPr>
          <w:rFonts w:ascii="Arial" w:cs="Arial" w:eastAsia="Arial" w:hAnsi="Arial"/>
          <w:sz w:val="17"/>
          <w:szCs w:val="17"/>
          <w:u w:val="single" w:color="auto"/>
          <w:color w:val="010000"/>
        </w:rPr>
        <w:t>Environmental Matters</w:t>
      </w:r>
      <w:r>
        <w:rPr>
          <w:rFonts w:ascii="Arial" w:cs="Arial" w:eastAsia="Arial" w:hAnsi="Arial"/>
          <w:sz w:val="17"/>
          <w:szCs w:val="17"/>
          <w:color w:val="010000"/>
        </w:rPr>
        <w:t>. Without limitation of any other covenants, rights or other obligations expressed elsewhere in this Agreement:</w:t>
      </w:r>
    </w:p>
    <w:p>
      <w:pPr>
        <w:spacing w:after="0" w:line="124" w:lineRule="exact"/>
        <w:rPr>
          <w:rFonts w:ascii="Arial" w:cs="Arial" w:eastAsia="Arial" w:hAnsi="Arial"/>
          <w:sz w:val="17"/>
          <w:szCs w:val="17"/>
          <w:color w:val="010000"/>
        </w:rPr>
      </w:pPr>
    </w:p>
    <w:p>
      <w:pPr>
        <w:ind w:right="40" w:firstLine="1559"/>
        <w:spacing w:after="0" w:line="265" w:lineRule="auto"/>
        <w:tabs>
          <w:tab w:leader="none" w:pos="1764" w:val="left"/>
        </w:tabs>
        <w:numPr>
          <w:ilvl w:val="1"/>
          <w:numId w:val="97"/>
        </w:numPr>
        <w:rPr>
          <w:rFonts w:ascii="Arial" w:cs="Arial" w:eastAsia="Arial" w:hAnsi="Arial"/>
          <w:sz w:val="17"/>
          <w:szCs w:val="17"/>
          <w:color w:val="010000"/>
        </w:rPr>
      </w:pPr>
      <w:r>
        <w:rPr>
          <w:rFonts w:ascii="Arial" w:cs="Arial" w:eastAsia="Arial" w:hAnsi="Arial"/>
          <w:sz w:val="17"/>
          <w:szCs w:val="17"/>
          <w:color w:val="010000"/>
        </w:rPr>
        <w:t>Each Loan Party will, and will cause each of its Restricted Subsidiaries, to take all reasonable actions required under Environmental Laws to (A) the extent it has knowledge thereof, cure any violation of applicable Environmental Laws by any Loan Party or its Restricted Subsidiaries that would reasonably be expected to have, individually or in the aggregate, a Material Adverse Effect; (B) make an appropriate response to any claim, suit or proceeding against any Loan Party or any of its Restricted Subsidiaries asserting any Environmental Liability (in each case to the extent such Loan Party has knowledge of such claim, suit or proceeding) and discharge any obligations it may have to any Person thereunder, where failure to do so would reasonably be expected to have, individually or in the aggregate, a Material Adverse Effect; (C) implement any and all Remedial Actions required to comply with Environmental Laws or that are legally required by any Governmental Authority acting within its jurisdiction (following final resolution of the Loan Party’s or its Restricted Subsidiaries’ challenges or appeals, if any, of the relevant Governmental Authority’s order or decision) or that are otherwise necessary to maintain the value and marketability of its owned or leased Real Estate for industrial usage, except where failure to perform any such Remedial Action would not reasonably be expected to result in a Material Adverse Effect.</w:t>
      </w:r>
    </w:p>
    <w:p>
      <w:pPr>
        <w:spacing w:after="0" w:line="81" w:lineRule="exact"/>
        <w:rPr>
          <w:rFonts w:ascii="Arial" w:cs="Arial" w:eastAsia="Arial" w:hAnsi="Arial"/>
          <w:sz w:val="17"/>
          <w:szCs w:val="17"/>
          <w:color w:val="010000"/>
        </w:rPr>
      </w:pPr>
    </w:p>
    <w:p>
      <w:pPr>
        <w:ind w:firstLine="1559"/>
        <w:spacing w:after="0" w:line="264" w:lineRule="auto"/>
        <w:tabs>
          <w:tab w:leader="none" w:pos="1814" w:val="left"/>
        </w:tabs>
        <w:numPr>
          <w:ilvl w:val="1"/>
          <w:numId w:val="97"/>
        </w:numPr>
        <w:rPr>
          <w:rFonts w:ascii="Arial" w:cs="Arial" w:eastAsia="Arial" w:hAnsi="Arial"/>
          <w:sz w:val="17"/>
          <w:szCs w:val="17"/>
          <w:color w:val="010000"/>
        </w:rPr>
      </w:pPr>
      <w:r>
        <w:rPr>
          <w:rFonts w:ascii="Arial" w:cs="Arial" w:eastAsia="Arial" w:hAnsi="Arial"/>
          <w:sz w:val="17"/>
          <w:szCs w:val="17"/>
          <w:color w:val="010000"/>
        </w:rPr>
        <w:t>Promptly upon obtaining knowledge of the occurrence thereof, the Borrower shall deliver to the Agent written notice describing in reasonable detail (A) any Release that would reasonably be expected to require a Remedial Action or give rise to Environmental Liability, in each case that would reasonably be expected to result in a Material Adverse Effect, (B) any Remedial Action by any Loan Party, its Restricted Subsidiaries or any other Person in response to the presence or Release of Hazardous Materials that would reasonably be expected to result in Environmental Liability of any Loan Party or its Restricted Subsidiaries that would be reasonably expected to result in a Material Adverse Effect, (C) any claim, demand, suit or proceeding (including any request for information by a Governmental Authority) that would reasonably be expected to result in Environmental Liability of any Loan Party or its Restricted Subsidiaries that would reasonably be expected to result in a Material Adverse Effect, (D) any Loan Party or its Restricted Subsidiaries’ discovery of any occurrence or condition at any of its owned or leased Real Estate, or on any adjoining Real Estate, that would reasonably be expected to cause such owned or leased Real Estate or any part thereof to be subject to any material restrictions on the ownership, occupancy, transferability or use thereof or any lien in favor of any Governmental Authority to secure the satisfaction of any liability under any Environmental Laws that, in each case, would reasonably be expected to result in a Material Adverse Effect, (E) any proposed acquisition of equity interests, assets or property by any Loan Party or any of its Restricted Subsidiaries that would reasonably be expected to expose any Loan Party or any of its Restricted Subsidiaries to, or result in, Environmental Liability that would reasonably be expected to have, individually or in the aggregate, a Material Adverse Effect and (F) any proposed action to be taken by any Loan Party or any of its Restricted Subsidiaries to modify current operations in a manner that would reasonably be expected to subject any Loan Party or any of its Restricted Subsidiaries to additional obligations or requirements under Environmental Laws that would reasonably be expected to have, individually or in the aggregate, a Material Adverse Effect.</w:t>
      </w:r>
    </w:p>
    <w:p>
      <w:pPr>
        <w:spacing w:after="0" w:line="80" w:lineRule="exact"/>
        <w:rPr>
          <w:rFonts w:ascii="Arial" w:cs="Arial" w:eastAsia="Arial" w:hAnsi="Arial"/>
          <w:sz w:val="17"/>
          <w:szCs w:val="17"/>
          <w:color w:val="010000"/>
        </w:rPr>
      </w:pPr>
    </w:p>
    <w:p>
      <w:pPr>
        <w:ind w:left="1260" w:hanging="219"/>
        <w:spacing w:after="0"/>
        <w:tabs>
          <w:tab w:leader="none" w:pos="1260" w:val="left"/>
        </w:tabs>
        <w:numPr>
          <w:ilvl w:val="0"/>
          <w:numId w:val="97"/>
        </w:numPr>
        <w:rPr>
          <w:rFonts w:ascii="Arial" w:cs="Arial" w:eastAsia="Arial" w:hAnsi="Arial"/>
          <w:sz w:val="18"/>
          <w:szCs w:val="18"/>
          <w:color w:val="010000"/>
        </w:rPr>
      </w:pPr>
      <w:r>
        <w:rPr>
          <w:rFonts w:ascii="Arial" w:cs="Arial" w:eastAsia="Arial" w:hAnsi="Arial"/>
          <w:sz w:val="18"/>
          <w:szCs w:val="18"/>
          <w:u w:val="single" w:color="auto"/>
          <w:color w:val="010000"/>
        </w:rPr>
        <w:t>Post Closing Covenants</w:t>
      </w:r>
      <w:r>
        <w:rPr>
          <w:rFonts w:ascii="Arial" w:cs="Arial" w:eastAsia="Arial" w:hAnsi="Arial"/>
          <w:sz w:val="18"/>
          <w:szCs w:val="18"/>
          <w:color w:val="010000"/>
        </w:rPr>
        <w:t xml:space="preserve">. Comply, and cause its Subsidiaries to comply, with the obligations set forth in </w:t>
      </w:r>
      <w:r>
        <w:rPr>
          <w:rFonts w:ascii="Arial" w:cs="Arial" w:eastAsia="Arial" w:hAnsi="Arial"/>
          <w:sz w:val="18"/>
          <w:szCs w:val="18"/>
          <w:u w:val="single" w:color="auto"/>
          <w:color w:val="010000"/>
        </w:rPr>
        <w:t>Schedule 5.01(r)</w:t>
      </w:r>
      <w:r>
        <w:rPr>
          <w:rFonts w:ascii="Arial" w:cs="Arial" w:eastAsia="Arial" w:hAnsi="Arial"/>
          <w:sz w:val="18"/>
          <w:szCs w:val="18"/>
          <w:color w:val="010000"/>
        </w:rPr>
        <w:t>.</w:t>
      </w:r>
    </w:p>
    <w:p>
      <w:pPr>
        <w:spacing w:after="0" w:line="220"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010000"/>
        </w:rPr>
        <w:t xml:space="preserve">SECTION 5.02. </w:t>
      </w:r>
      <w:r>
        <w:rPr>
          <w:rFonts w:ascii="Arial" w:cs="Arial" w:eastAsia="Arial" w:hAnsi="Arial"/>
          <w:sz w:val="17"/>
          <w:szCs w:val="17"/>
          <w:u w:val="single" w:color="auto"/>
          <w:color w:val="010000"/>
        </w:rPr>
        <w:t>Negative Covenants</w:t>
      </w:r>
      <w:r>
        <w:rPr>
          <w:rFonts w:ascii="Arial" w:cs="Arial" w:eastAsia="Arial" w:hAnsi="Arial"/>
          <w:sz w:val="17"/>
          <w:szCs w:val="17"/>
          <w:color w:val="010000"/>
        </w:rPr>
        <w:t>. So long as any Revolving Loan or any other payment Obligation (other than contingent indemnification obligations not yet due and payable of any Loan Party under any Loan Document) shall remain unpaid, any Letter of Credit is outstanding or any Lender shall have any Commitment hereunder, the Company shall not and shall cause each of its Restricted Subsidiaries not to:</w:t>
      </w:r>
    </w:p>
    <w:p>
      <w:pPr>
        <w:spacing w:after="0" w:line="65" w:lineRule="exact"/>
        <w:rPr>
          <w:sz w:val="20"/>
          <w:szCs w:val="20"/>
          <w:color w:val="auto"/>
        </w:rPr>
      </w:pPr>
    </w:p>
    <w:p>
      <w:pPr>
        <w:jc w:val="both"/>
        <w:ind w:right="140" w:firstLine="1041"/>
        <w:spacing w:after="0" w:line="254" w:lineRule="auto"/>
        <w:tabs>
          <w:tab w:leader="none" w:pos="1276" w:val="left"/>
        </w:tabs>
        <w:numPr>
          <w:ilvl w:val="0"/>
          <w:numId w:val="98"/>
        </w:numPr>
        <w:rPr>
          <w:rFonts w:ascii="Arial" w:cs="Arial" w:eastAsia="Arial" w:hAnsi="Arial"/>
          <w:sz w:val="18"/>
          <w:szCs w:val="18"/>
          <w:color w:val="010000"/>
        </w:rPr>
      </w:pPr>
      <w:r>
        <w:rPr>
          <w:rFonts w:ascii="Arial" w:cs="Arial" w:eastAsia="Arial" w:hAnsi="Arial"/>
          <w:sz w:val="18"/>
          <w:szCs w:val="18"/>
          <w:u w:val="single" w:color="auto"/>
          <w:color w:val="010000"/>
        </w:rPr>
        <w:t>Liens</w:t>
      </w:r>
      <w:r>
        <w:rPr>
          <w:rFonts w:ascii="Arial" w:cs="Arial" w:eastAsia="Arial" w:hAnsi="Arial"/>
          <w:sz w:val="18"/>
          <w:szCs w:val="18"/>
          <w:color w:val="010000"/>
        </w:rPr>
        <w:t xml:space="preserve">. Create or suffer to exist, or permit any of its respective Restricted Subsidiaries to create or suffer to exist, any Lien on or with respect to any of its properties, whether now owned or hereafter acquired, or assign, or permit any of its Subsidiaries to assign, any right to receive income, other than the following,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any Lien permitted by any clause below shall be permitted under this Section 5.02(a), notwithstanding that such Lien would not be permitted by any other clause:</w:t>
      </w:r>
    </w:p>
    <w:p>
      <w:pPr>
        <w:spacing w:after="0" w:line="83" w:lineRule="exact"/>
        <w:rPr>
          <w:rFonts w:ascii="Arial" w:cs="Arial" w:eastAsia="Arial" w:hAnsi="Arial"/>
          <w:sz w:val="18"/>
          <w:szCs w:val="18"/>
          <w:color w:val="010000"/>
        </w:rPr>
      </w:pPr>
    </w:p>
    <w:p>
      <w:pPr>
        <w:ind w:left="1780" w:hanging="221"/>
        <w:spacing w:after="0"/>
        <w:tabs>
          <w:tab w:leader="none" w:pos="1780" w:val="left"/>
        </w:tabs>
        <w:numPr>
          <w:ilvl w:val="1"/>
          <w:numId w:val="98"/>
        </w:numPr>
        <w:rPr>
          <w:rFonts w:ascii="Arial" w:cs="Arial" w:eastAsia="Arial" w:hAnsi="Arial"/>
          <w:sz w:val="18"/>
          <w:szCs w:val="18"/>
          <w:color w:val="010000"/>
        </w:rPr>
      </w:pPr>
      <w:r>
        <w:rPr>
          <w:rFonts w:ascii="Arial" w:cs="Arial" w:eastAsia="Arial" w:hAnsi="Arial"/>
          <w:sz w:val="18"/>
          <w:szCs w:val="18"/>
          <w:color w:val="010000"/>
        </w:rPr>
        <w:t>Permitted Liens,</w:t>
      </w:r>
    </w:p>
    <w:p>
      <w:pPr>
        <w:spacing w:after="0" w:line="113" w:lineRule="exact"/>
        <w:rPr>
          <w:rFonts w:ascii="Arial" w:cs="Arial" w:eastAsia="Arial" w:hAnsi="Arial"/>
          <w:sz w:val="18"/>
          <w:szCs w:val="18"/>
          <w:color w:val="010000"/>
        </w:rPr>
      </w:pPr>
    </w:p>
    <w:p>
      <w:pPr>
        <w:ind w:left="1820" w:hanging="261"/>
        <w:spacing w:after="0"/>
        <w:tabs>
          <w:tab w:leader="none" w:pos="1820" w:val="left"/>
        </w:tabs>
        <w:numPr>
          <w:ilvl w:val="1"/>
          <w:numId w:val="98"/>
        </w:numPr>
        <w:rPr>
          <w:rFonts w:ascii="Arial" w:cs="Arial" w:eastAsia="Arial" w:hAnsi="Arial"/>
          <w:sz w:val="18"/>
          <w:szCs w:val="18"/>
          <w:color w:val="010000"/>
        </w:rPr>
      </w:pPr>
      <w:r>
        <w:rPr>
          <w:rFonts w:ascii="Arial" w:cs="Arial" w:eastAsia="Arial" w:hAnsi="Arial"/>
          <w:sz w:val="18"/>
          <w:szCs w:val="18"/>
          <w:color w:val="010000"/>
        </w:rPr>
        <w:t>Liens created under the Loan Documents,</w:t>
      </w:r>
    </w:p>
    <w:p>
      <w:pPr>
        <w:spacing w:after="0" w:line="113" w:lineRule="exact"/>
        <w:rPr>
          <w:rFonts w:ascii="Arial" w:cs="Arial" w:eastAsia="Arial" w:hAnsi="Arial"/>
          <w:sz w:val="18"/>
          <w:szCs w:val="18"/>
          <w:color w:val="010000"/>
        </w:rPr>
      </w:pPr>
    </w:p>
    <w:p>
      <w:pPr>
        <w:ind w:left="1860" w:hanging="301"/>
        <w:spacing w:after="0"/>
        <w:tabs>
          <w:tab w:leader="none" w:pos="1860" w:val="left"/>
        </w:tabs>
        <w:numPr>
          <w:ilvl w:val="1"/>
          <w:numId w:val="98"/>
        </w:numPr>
        <w:rPr>
          <w:rFonts w:ascii="Arial" w:cs="Arial" w:eastAsia="Arial" w:hAnsi="Arial"/>
          <w:sz w:val="16"/>
          <w:szCs w:val="16"/>
          <w:color w:val="010000"/>
        </w:rPr>
      </w:pPr>
      <w:r>
        <w:rPr>
          <w:rFonts w:ascii="Arial" w:cs="Arial" w:eastAsia="Arial" w:hAnsi="Arial"/>
          <w:sz w:val="16"/>
          <w:szCs w:val="16"/>
          <w:color w:val="010000"/>
        </w:rPr>
        <w:t>Liens on assets (other than Accounts and Inventory) to secure Debt permitted to be incurred under Section 5.02(d)(iii), (iv) and (xv)</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hereof,</w:t>
      </w:r>
    </w:p>
    <w:p>
      <w:pPr>
        <w:spacing w:after="0" w:line="102" w:lineRule="exact"/>
        <w:rPr>
          <w:rFonts w:ascii="Arial" w:cs="Arial" w:eastAsia="Arial" w:hAnsi="Arial"/>
          <w:sz w:val="16"/>
          <w:szCs w:val="16"/>
          <w:color w:val="010000"/>
        </w:rPr>
      </w:pPr>
    </w:p>
    <w:p>
      <w:pPr>
        <w:ind w:right="80" w:firstLine="1559"/>
        <w:spacing w:after="0" w:line="269" w:lineRule="auto"/>
        <w:tabs>
          <w:tab w:leader="none" w:pos="1853" w:val="left"/>
        </w:tabs>
        <w:numPr>
          <w:ilvl w:val="1"/>
          <w:numId w:val="98"/>
        </w:numPr>
        <w:rPr>
          <w:rFonts w:ascii="Arial" w:cs="Arial" w:eastAsia="Arial" w:hAnsi="Arial"/>
          <w:sz w:val="17"/>
          <w:szCs w:val="17"/>
          <w:color w:val="010000"/>
        </w:rPr>
      </w:pPr>
      <w:r>
        <w:rPr>
          <w:rFonts w:ascii="Arial" w:cs="Arial" w:eastAsia="Arial" w:hAnsi="Arial"/>
          <w:sz w:val="17"/>
          <w:szCs w:val="17"/>
          <w:color w:val="010000"/>
        </w:rPr>
        <w:t xml:space="preserve">the Liens existing on the Closing Date and described on </w:t>
      </w:r>
      <w:r>
        <w:rPr>
          <w:rFonts w:ascii="Arial" w:cs="Arial" w:eastAsia="Arial" w:hAnsi="Arial"/>
          <w:sz w:val="17"/>
          <w:szCs w:val="17"/>
          <w:u w:val="single" w:color="auto"/>
          <w:color w:val="010000"/>
        </w:rPr>
        <w:t>Schedule 5.02(a)</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(A) such Liens shall not apply to any other property or asset of the Company or any Restricted Subsidiary (other than proceeds thereof and extensions or improvements to any such property) unless otherwise permitted herein and (B) such Lien shall secure only those obligations which it secures on the Closing Date and extensions, refinancings, restructurings, renewals and replacements thereof that do not increase the outstanding principal amount thereof (other than by an amount equal to accrued interest and any fees, costs and expenses incurred in connection therewith), the obligations thereunder or the property or assets securing such obligations, in the case of each of subclauses (A) and (B) above other than to the extent such Lien constitutes a Permitted Lien;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12" w:name="page113"/>
    <w:bookmarkEnd w:id="112"/>
    <w:p>
      <w:pPr>
        <w:ind w:right="180" w:firstLine="1559"/>
        <w:spacing w:after="0" w:line="270" w:lineRule="auto"/>
        <w:tabs>
          <w:tab w:leader="none" w:pos="1804" w:val="left"/>
        </w:tabs>
        <w:numPr>
          <w:ilvl w:val="0"/>
          <w:numId w:val="99"/>
        </w:numPr>
        <w:rPr>
          <w:rFonts w:ascii="Arial" w:cs="Arial" w:eastAsia="Arial" w:hAnsi="Arial"/>
          <w:sz w:val="17"/>
          <w:szCs w:val="17"/>
          <w:color w:val="010000"/>
        </w:rPr>
      </w:pPr>
      <w:r>
        <w:rPr>
          <w:rFonts w:ascii="Arial" w:cs="Arial" w:eastAsia="Arial" w:hAnsi="Arial"/>
          <w:sz w:val="17"/>
          <w:szCs w:val="17"/>
          <w:color w:val="010000"/>
        </w:rPr>
        <w:t xml:space="preserve">Liens on property of a Person existing at the time such Person is acquired by, amalgamated, merged into or consolidated with any Loan Party or any Restricted Subsidiary of a Loan Party or becomes a Restricted Subsidiary of any Loan Party;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such Liens were not created in contemplation of such amalgamation, merger, consolidation or acquisition and do not extend to any assets other than those of the Person so merged or amalgamated into or consolidated with the Company or such Subsidiary or acquired by any Loan Party or such Restricted Subsidiary (or in the case of Permitted Refinancing Debt, any extensions or amounts then outstanding),</w:t>
      </w:r>
    </w:p>
    <w:p>
      <w:pPr>
        <w:spacing w:after="0" w:line="73" w:lineRule="exact"/>
        <w:rPr>
          <w:rFonts w:ascii="Arial" w:cs="Arial" w:eastAsia="Arial" w:hAnsi="Arial"/>
          <w:sz w:val="17"/>
          <w:szCs w:val="17"/>
          <w:color w:val="010000"/>
        </w:rPr>
      </w:pPr>
    </w:p>
    <w:p>
      <w:pPr>
        <w:ind w:right="100" w:firstLine="1559"/>
        <w:spacing w:after="0" w:line="257" w:lineRule="auto"/>
        <w:tabs>
          <w:tab w:leader="none" w:pos="1853"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 xml:space="preserve">Liens on property other than ABL Priority Collateral arising under leases that have been or should be, in accordance with GAAP, recorded as capital leases;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the aggregate principal amount of the Debt secured by the Liens referred to in this clause (vi) are permitted under the terms of this Agreement,</w:t>
      </w:r>
    </w:p>
    <w:p>
      <w:pPr>
        <w:spacing w:after="0" w:line="81" w:lineRule="exact"/>
        <w:rPr>
          <w:rFonts w:ascii="Arial" w:cs="Arial" w:eastAsia="Arial" w:hAnsi="Arial"/>
          <w:sz w:val="18"/>
          <w:szCs w:val="18"/>
          <w:color w:val="010000"/>
        </w:rPr>
      </w:pPr>
    </w:p>
    <w:p>
      <w:pPr>
        <w:ind w:right="420" w:firstLine="1559"/>
        <w:spacing w:after="0" w:line="267" w:lineRule="auto"/>
        <w:tabs>
          <w:tab w:leader="none" w:pos="1903"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Liens on assets of Foreign Subsidiaries which secure Debt permitted under Section 5.02(d)(xvii), in an aggregate amount not to exceed $150,000,000 at any time outstanding,</w:t>
      </w:r>
    </w:p>
    <w:p>
      <w:pPr>
        <w:spacing w:after="0" w:line="72" w:lineRule="exact"/>
        <w:rPr>
          <w:rFonts w:ascii="Arial" w:cs="Arial" w:eastAsia="Arial" w:hAnsi="Arial"/>
          <w:sz w:val="18"/>
          <w:szCs w:val="18"/>
          <w:color w:val="010000"/>
        </w:rPr>
      </w:pPr>
    </w:p>
    <w:p>
      <w:pPr>
        <w:ind w:left="1960" w:hanging="401"/>
        <w:spacing w:after="0"/>
        <w:tabs>
          <w:tab w:leader="none" w:pos="1960"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Liens on property other than ABL Priority Collateral that secure Debt permitted by Section 5.02(d)(xi),</w:t>
      </w:r>
    </w:p>
    <w:p>
      <w:pPr>
        <w:spacing w:after="0" w:line="113" w:lineRule="exact"/>
        <w:rPr>
          <w:rFonts w:ascii="Arial" w:cs="Arial" w:eastAsia="Arial" w:hAnsi="Arial"/>
          <w:sz w:val="18"/>
          <w:szCs w:val="18"/>
          <w:color w:val="010000"/>
        </w:rPr>
      </w:pPr>
    </w:p>
    <w:p>
      <w:pPr>
        <w:ind w:firstLine="1559"/>
        <w:spacing w:after="0" w:line="267" w:lineRule="auto"/>
        <w:tabs>
          <w:tab w:leader="none" w:pos="1853"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Liens on the property of the Loan Parties securing Exit Term Loan Debt permitted under Section 5.02(d)(xxiv), subject to the terms of the Term Loan Intercreditor Agreement,</w:t>
      </w:r>
    </w:p>
    <w:p>
      <w:pPr>
        <w:spacing w:after="0" w:line="72" w:lineRule="exact"/>
        <w:rPr>
          <w:rFonts w:ascii="Arial" w:cs="Arial" w:eastAsia="Arial" w:hAnsi="Arial"/>
          <w:sz w:val="18"/>
          <w:szCs w:val="18"/>
          <w:color w:val="010000"/>
        </w:rPr>
      </w:pPr>
    </w:p>
    <w:p>
      <w:pPr>
        <w:ind w:right="380" w:firstLine="1559"/>
        <w:spacing w:after="0" w:line="254" w:lineRule="auto"/>
        <w:tabs>
          <w:tab w:leader="none" w:pos="1804"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Liens upon real property of the Company and its Restricted Subsidiaries and related assets customary for non-recourse mortgage financings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in no event shall any such Lien extend to or cover any Collateral included in the Borrowing Base) securing Debt incurred solely through the financing of such real property, and the replacement, extension or renewal of any such Lien upon or in the same real property or assets in connection with a Permitted Refinancing of the Debt secured thereby,</w:t>
      </w:r>
    </w:p>
    <w:p>
      <w:pPr>
        <w:spacing w:after="0" w:line="83" w:lineRule="exact"/>
        <w:rPr>
          <w:rFonts w:ascii="Arial" w:cs="Arial" w:eastAsia="Arial" w:hAnsi="Arial"/>
          <w:sz w:val="18"/>
          <w:szCs w:val="18"/>
          <w:color w:val="010000"/>
        </w:rPr>
      </w:pPr>
    </w:p>
    <w:p>
      <w:pPr>
        <w:ind w:left="1860" w:hanging="301"/>
        <w:spacing w:after="0"/>
        <w:tabs>
          <w:tab w:leader="none" w:pos="1860"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Liens in respect of judgments that do not constitute an Event of Default under Section 6.01(f),</w:t>
      </w:r>
    </w:p>
    <w:p>
      <w:pPr>
        <w:spacing w:after="0" w:line="113" w:lineRule="exact"/>
        <w:rPr>
          <w:rFonts w:ascii="Arial" w:cs="Arial" w:eastAsia="Arial" w:hAnsi="Arial"/>
          <w:sz w:val="18"/>
          <w:szCs w:val="18"/>
          <w:color w:val="010000"/>
        </w:rPr>
      </w:pPr>
    </w:p>
    <w:p>
      <w:pPr>
        <w:ind w:left="1900" w:hanging="341"/>
        <w:spacing w:after="0"/>
        <w:tabs>
          <w:tab w:leader="none" w:pos="1900"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[Reserved],</w:t>
      </w:r>
    </w:p>
    <w:p>
      <w:pPr>
        <w:spacing w:after="0" w:line="113" w:lineRule="exact"/>
        <w:rPr>
          <w:rFonts w:ascii="Arial" w:cs="Arial" w:eastAsia="Arial" w:hAnsi="Arial"/>
          <w:sz w:val="18"/>
          <w:szCs w:val="18"/>
          <w:color w:val="010000"/>
        </w:rPr>
      </w:pPr>
    </w:p>
    <w:p>
      <w:pPr>
        <w:ind w:left="1960" w:hanging="401"/>
        <w:spacing w:after="0"/>
        <w:tabs>
          <w:tab w:leader="none" w:pos="1960" w:val="left"/>
        </w:tabs>
        <w:numPr>
          <w:ilvl w:val="0"/>
          <w:numId w:val="99"/>
        </w:numPr>
        <w:rPr>
          <w:rFonts w:ascii="Arial" w:cs="Arial" w:eastAsia="Arial" w:hAnsi="Arial"/>
          <w:sz w:val="16"/>
          <w:szCs w:val="16"/>
          <w:color w:val="010000"/>
        </w:rPr>
      </w:pPr>
      <w:r>
        <w:rPr>
          <w:rFonts w:ascii="Arial" w:cs="Arial" w:eastAsia="Arial" w:hAnsi="Arial"/>
          <w:sz w:val="16"/>
          <w:szCs w:val="16"/>
          <w:color w:val="010000"/>
        </w:rPr>
        <w:t>Liens on assets of the Company and its Subsidiaries not constituting Collateral which secure Debt in an aggregate amount not to</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exceed $150,000,000,</w:t>
      </w:r>
    </w:p>
    <w:p>
      <w:pPr>
        <w:spacing w:after="0" w:line="102" w:lineRule="exact"/>
        <w:rPr>
          <w:rFonts w:ascii="Arial" w:cs="Arial" w:eastAsia="Arial" w:hAnsi="Arial"/>
          <w:sz w:val="16"/>
          <w:szCs w:val="16"/>
          <w:color w:val="010000"/>
        </w:rPr>
      </w:pPr>
    </w:p>
    <w:p>
      <w:pPr>
        <w:ind w:right="500" w:firstLine="1559"/>
        <w:spacing w:after="0" w:line="267" w:lineRule="auto"/>
        <w:tabs>
          <w:tab w:leader="none" w:pos="1942"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Liens in favor of collecting or payor banks having a right of setoff, revocation, refund or chargeback with respect to money or instruments of the Company or any Restricted Subsidiary thereof on cash on deposit with or in possession of such bank,</w:t>
      </w:r>
    </w:p>
    <w:p>
      <w:pPr>
        <w:spacing w:after="0" w:line="72" w:lineRule="exact"/>
        <w:rPr>
          <w:rFonts w:ascii="Arial" w:cs="Arial" w:eastAsia="Arial" w:hAnsi="Arial"/>
          <w:sz w:val="18"/>
          <w:szCs w:val="18"/>
          <w:color w:val="010000"/>
        </w:rPr>
      </w:pPr>
    </w:p>
    <w:p>
      <w:pPr>
        <w:ind w:right="340" w:firstLine="1559"/>
        <w:spacing w:after="0" w:line="267" w:lineRule="auto"/>
        <w:tabs>
          <w:tab w:leader="none" w:pos="1893"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(i) cash deposits in the ordinary course of business to secure liability to insurance carriers and (ii) Liens in insurance policies and proceeds thereof securing the financing of the premiums with respect thereto,</w:t>
      </w:r>
    </w:p>
    <w:p>
      <w:pPr>
        <w:spacing w:after="0" w:line="72" w:lineRule="exact"/>
        <w:rPr>
          <w:rFonts w:ascii="Arial" w:cs="Arial" w:eastAsia="Arial" w:hAnsi="Arial"/>
          <w:sz w:val="18"/>
          <w:szCs w:val="18"/>
          <w:color w:val="010000"/>
        </w:rPr>
      </w:pPr>
    </w:p>
    <w:p>
      <w:pPr>
        <w:ind w:left="1940" w:hanging="381"/>
        <w:spacing w:after="0"/>
        <w:tabs>
          <w:tab w:leader="none" w:pos="1940" w:val="left"/>
        </w:tabs>
        <w:numPr>
          <w:ilvl w:val="0"/>
          <w:numId w:val="99"/>
        </w:numPr>
        <w:rPr>
          <w:rFonts w:ascii="Arial" w:cs="Arial" w:eastAsia="Arial" w:hAnsi="Arial"/>
          <w:sz w:val="16"/>
          <w:szCs w:val="16"/>
          <w:color w:val="010000"/>
        </w:rPr>
      </w:pPr>
      <w:r>
        <w:rPr>
          <w:rFonts w:ascii="Arial" w:cs="Arial" w:eastAsia="Arial" w:hAnsi="Arial"/>
          <w:sz w:val="16"/>
          <w:szCs w:val="16"/>
          <w:color w:val="010000"/>
        </w:rPr>
        <w:t>Liens attaching solely to cash earnest money deposits in connection with any letter of intent or purchase agreement in respect of any</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Permitted Acquisition,</w:t>
      </w:r>
    </w:p>
    <w:p>
      <w:pPr>
        <w:spacing w:after="0" w:line="102" w:lineRule="exact"/>
        <w:rPr>
          <w:rFonts w:ascii="Arial" w:cs="Arial" w:eastAsia="Arial" w:hAnsi="Arial"/>
          <w:sz w:val="16"/>
          <w:szCs w:val="16"/>
          <w:color w:val="010000"/>
        </w:rPr>
      </w:pPr>
    </w:p>
    <w:p>
      <w:pPr>
        <w:ind w:right="60" w:firstLine="1559"/>
        <w:spacing w:after="0" w:line="252" w:lineRule="auto"/>
        <w:tabs>
          <w:tab w:leader="none" w:pos="1992"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Liens in favor of customs and revenue authorities arising as a matter of law to secure payment of customs duties in connection with the importation of goods in the ordinary course of business and securing obligations (i) that are not overdue by more than thirty (30) days, or (ii) (A) that are being contested in good faith by appropriate proceedings, (B) the applicable Loan Party or Restricted Subsidiary has set aside on its books adequate reserves with respect thereto in accordance with GAAP and (C) such contest effectively suspends collection of the contested obligation and enforcement of any Lien securing such obligation,</w:t>
      </w:r>
    </w:p>
    <w:p>
      <w:pPr>
        <w:spacing w:after="0" w:line="86" w:lineRule="exact"/>
        <w:rPr>
          <w:rFonts w:ascii="Arial" w:cs="Arial" w:eastAsia="Arial" w:hAnsi="Arial"/>
          <w:sz w:val="18"/>
          <w:szCs w:val="18"/>
          <w:color w:val="010000"/>
        </w:rPr>
      </w:pPr>
    </w:p>
    <w:p>
      <w:pPr>
        <w:ind w:right="20" w:firstLine="1559"/>
        <w:spacing w:after="0" w:line="251" w:lineRule="auto"/>
        <w:tabs>
          <w:tab w:leader="none" w:pos="2041"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 xml:space="preserve">Liens (i) of a collection bank arising under Section 4-210 of the Uniform Commercial Code (or equivalent statutes) on items in the course of collection, (ii) attaching to commodity trading accounts or other commodity brokerage amounts incurred in the ordinary course of business;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such Liens (A) attach only to such investments and the proceeds therefrom and (B) secure only obligations incurred in the ordinary course and arising in connection with the acquisition or Disposition of such investments and not any obligation in connection with margin financing; and (iii) in favor of banking institutions arising as a matter of law encumbering deposits (including the right of setoff) and which are within the general parameters customary in the banking industry,</w:t>
      </w:r>
    </w:p>
    <w:p>
      <w:pPr>
        <w:spacing w:after="0" w:line="87" w:lineRule="exact"/>
        <w:rPr>
          <w:rFonts w:ascii="Arial" w:cs="Arial" w:eastAsia="Arial" w:hAnsi="Arial"/>
          <w:sz w:val="18"/>
          <w:szCs w:val="18"/>
          <w:color w:val="010000"/>
        </w:rPr>
      </w:pPr>
    </w:p>
    <w:p>
      <w:pPr>
        <w:ind w:right="20" w:firstLine="1559"/>
        <w:spacing w:after="0" w:line="257" w:lineRule="auto"/>
        <w:tabs>
          <w:tab w:leader="none" w:pos="1942"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Liens (i) on cash advances in favor of the seller of any property to be acquired in an Investment permitted hereunder, and (ii) consisting of an agreement to Dispose of any property in a Disposition permitted hereunder, in each case, solely to the extent such Investment or Disposition, as the case may be, would have been permitted on the date of the creation of such Lien,</w:t>
      </w:r>
    </w:p>
    <w:p>
      <w:pPr>
        <w:spacing w:after="0" w:line="81" w:lineRule="exact"/>
        <w:rPr>
          <w:rFonts w:ascii="Arial" w:cs="Arial" w:eastAsia="Arial" w:hAnsi="Arial"/>
          <w:sz w:val="18"/>
          <w:szCs w:val="18"/>
          <w:color w:val="010000"/>
        </w:rPr>
      </w:pPr>
    </w:p>
    <w:p>
      <w:pPr>
        <w:ind w:right="80" w:firstLine="1559"/>
        <w:spacing w:after="0" w:line="257" w:lineRule="auto"/>
        <w:tabs>
          <w:tab w:leader="none" w:pos="1893" w:val="left"/>
        </w:tabs>
        <w:numPr>
          <w:ilvl w:val="0"/>
          <w:numId w:val="99"/>
        </w:numPr>
        <w:rPr>
          <w:rFonts w:ascii="Arial" w:cs="Arial" w:eastAsia="Arial" w:hAnsi="Arial"/>
          <w:sz w:val="18"/>
          <w:szCs w:val="18"/>
          <w:color w:val="010000"/>
        </w:rPr>
      </w:pPr>
      <w:r>
        <w:rPr>
          <w:rFonts w:ascii="Arial" w:cs="Arial" w:eastAsia="Arial" w:hAnsi="Arial"/>
          <w:sz w:val="18"/>
          <w:szCs w:val="18"/>
          <w:color w:val="010000"/>
        </w:rPr>
        <w:t>with respect to the equity interests of any non-wholly owned Restricted Subsidiary, non-wholly owned Unrestricted Subsidiary or joint venture, any put and call arrangements or restrictions on disposition related to such equity interests set forth in the applicable organizational documents or any related joint venture or similar agreement,</w:t>
      </w:r>
    </w:p>
    <w:p>
      <w:pPr>
        <w:spacing w:after="0" w:line="81" w:lineRule="exact"/>
        <w:rPr>
          <w:rFonts w:ascii="Arial" w:cs="Arial" w:eastAsia="Arial" w:hAnsi="Arial"/>
          <w:sz w:val="18"/>
          <w:szCs w:val="18"/>
          <w:color w:val="010000"/>
        </w:rPr>
      </w:pPr>
    </w:p>
    <w:p>
      <w:pPr>
        <w:ind w:left="1940" w:hanging="381"/>
        <w:spacing w:after="0"/>
        <w:tabs>
          <w:tab w:leader="none" w:pos="1940" w:val="left"/>
        </w:tabs>
        <w:numPr>
          <w:ilvl w:val="0"/>
          <w:numId w:val="99"/>
        </w:numPr>
        <w:rPr>
          <w:rFonts w:ascii="Arial" w:cs="Arial" w:eastAsia="Arial" w:hAnsi="Arial"/>
          <w:sz w:val="17"/>
          <w:szCs w:val="17"/>
          <w:color w:val="010000"/>
        </w:rPr>
      </w:pPr>
      <w:r>
        <w:rPr>
          <w:rFonts w:ascii="Arial" w:cs="Arial" w:eastAsia="Arial" w:hAnsi="Arial"/>
          <w:sz w:val="17"/>
          <w:szCs w:val="17"/>
          <w:color w:val="010000"/>
        </w:rPr>
        <w:t>rights of setoff in favor of counterparties to contractual obligations with the Loan Parties in the ordinary course of business,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113" w:name="page114"/>
    <w:bookmarkEnd w:id="113"/>
    <w:p>
      <w:pPr>
        <w:ind w:right="60" w:firstLine="1559"/>
        <w:spacing w:after="0" w:line="267" w:lineRule="auto"/>
        <w:tabs>
          <w:tab w:leader="none" w:pos="1992" w:val="left"/>
        </w:tabs>
        <w:numPr>
          <w:ilvl w:val="1"/>
          <w:numId w:val="100"/>
        </w:numPr>
        <w:rPr>
          <w:rFonts w:ascii="Arial" w:cs="Arial" w:eastAsia="Arial" w:hAnsi="Arial"/>
          <w:sz w:val="18"/>
          <w:szCs w:val="18"/>
          <w:color w:val="010000"/>
        </w:rPr>
      </w:pPr>
      <w:r>
        <w:rPr>
          <w:rFonts w:ascii="Arial" w:cs="Arial" w:eastAsia="Arial" w:hAnsi="Arial"/>
          <w:sz w:val="18"/>
          <w:szCs w:val="18"/>
          <w:color w:val="010000"/>
        </w:rPr>
        <w:t>Liens arising out of conditional sale, title retention, consignment or other similar arrangements for the sale of goods entered into by any Loan Party or any of its Restricted Subsidiaries in the ordinary course of business;</w:t>
      </w:r>
    </w:p>
    <w:p>
      <w:pPr>
        <w:spacing w:after="0" w:line="72" w:lineRule="exact"/>
        <w:rPr>
          <w:rFonts w:ascii="Arial" w:cs="Arial" w:eastAsia="Arial" w:hAnsi="Arial"/>
          <w:sz w:val="18"/>
          <w:szCs w:val="18"/>
          <w:color w:val="010000"/>
        </w:rPr>
      </w:pPr>
    </w:p>
    <w:p>
      <w:pPr>
        <w:ind w:firstLine="1559"/>
        <w:spacing w:after="0" w:line="279" w:lineRule="auto"/>
        <w:tabs>
          <w:tab w:leader="none" w:pos="2041" w:val="left"/>
        </w:tabs>
        <w:numPr>
          <w:ilvl w:val="1"/>
          <w:numId w:val="100"/>
        </w:numPr>
        <w:rPr>
          <w:rFonts w:ascii="Arial" w:cs="Arial" w:eastAsia="Arial" w:hAnsi="Arial"/>
          <w:sz w:val="17"/>
          <w:szCs w:val="17"/>
          <w:color w:val="010000"/>
        </w:rPr>
      </w:pPr>
      <w:r>
        <w:rPr>
          <w:rFonts w:ascii="Arial" w:cs="Arial" w:eastAsia="Arial" w:hAnsi="Arial"/>
          <w:sz w:val="17"/>
          <w:szCs w:val="17"/>
          <w:color w:val="010000"/>
        </w:rPr>
        <w:t>Liens upon specified items of inventory or other goods and proceeds of the Company or any of its Restricted Subsidiaries securing such Persons’ obligations in respect of related documentary letters of credit or bankers’ acceptances issued or created for the account of such Person to facilitate the purchase, shipment or storage of such inventory or other goods in the ordinary course of business;</w:t>
      </w:r>
    </w:p>
    <w:p>
      <w:pPr>
        <w:spacing w:after="0" w:line="65" w:lineRule="exact"/>
        <w:rPr>
          <w:rFonts w:ascii="Arial" w:cs="Arial" w:eastAsia="Arial" w:hAnsi="Arial"/>
          <w:sz w:val="17"/>
          <w:szCs w:val="17"/>
          <w:color w:val="010000"/>
        </w:rPr>
      </w:pPr>
    </w:p>
    <w:p>
      <w:pPr>
        <w:ind w:right="440" w:firstLine="1559"/>
        <w:spacing w:after="0" w:line="257" w:lineRule="auto"/>
        <w:tabs>
          <w:tab w:leader="none" w:pos="2031" w:val="left"/>
        </w:tabs>
        <w:numPr>
          <w:ilvl w:val="1"/>
          <w:numId w:val="100"/>
        </w:numPr>
        <w:rPr>
          <w:rFonts w:ascii="Arial" w:cs="Arial" w:eastAsia="Arial" w:hAnsi="Arial"/>
          <w:sz w:val="18"/>
          <w:szCs w:val="18"/>
          <w:color w:val="010000"/>
        </w:rPr>
      </w:pPr>
      <w:r>
        <w:rPr>
          <w:rFonts w:ascii="Arial" w:cs="Arial" w:eastAsia="Arial" w:hAnsi="Arial"/>
          <w:sz w:val="18"/>
          <w:szCs w:val="18"/>
          <w:color w:val="010000"/>
        </w:rPr>
        <w:t>Liens over any assets of any Subsidiary that is not a Loan Party or a Restricted Subsidiary to the extent required to provide collateral in respect of any appeal of any tax litigation in an aggregate amount not to exceed the amount required to be paid under local law to permit such appeal,</w:t>
      </w:r>
    </w:p>
    <w:p>
      <w:pPr>
        <w:spacing w:after="0" w:line="81" w:lineRule="exact"/>
        <w:rPr>
          <w:rFonts w:ascii="Arial" w:cs="Arial" w:eastAsia="Arial" w:hAnsi="Arial"/>
          <w:sz w:val="18"/>
          <w:szCs w:val="18"/>
          <w:color w:val="010000"/>
        </w:rPr>
      </w:pPr>
    </w:p>
    <w:p>
      <w:pPr>
        <w:ind w:right="260" w:firstLine="1559"/>
        <w:spacing w:after="0" w:line="267" w:lineRule="auto"/>
        <w:tabs>
          <w:tab w:leader="none" w:pos="1982" w:val="left"/>
        </w:tabs>
        <w:numPr>
          <w:ilvl w:val="1"/>
          <w:numId w:val="100"/>
        </w:numPr>
        <w:rPr>
          <w:rFonts w:ascii="Arial" w:cs="Arial" w:eastAsia="Arial" w:hAnsi="Arial"/>
          <w:sz w:val="18"/>
          <w:szCs w:val="18"/>
          <w:color w:val="010000"/>
        </w:rPr>
      </w:pPr>
      <w:r>
        <w:rPr>
          <w:rFonts w:ascii="Arial" w:cs="Arial" w:eastAsia="Arial" w:hAnsi="Arial"/>
          <w:sz w:val="18"/>
          <w:szCs w:val="18"/>
          <w:color w:val="010000"/>
        </w:rPr>
        <w:t>Liens on assets other than ABL Priority Collateral to secure obligations under treasury services agreements or to implement cash pooling arrangements in the ordinary course of business,</w:t>
      </w:r>
    </w:p>
    <w:p>
      <w:pPr>
        <w:spacing w:after="0" w:line="72" w:lineRule="exact"/>
        <w:rPr>
          <w:rFonts w:ascii="Arial" w:cs="Arial" w:eastAsia="Arial" w:hAnsi="Arial"/>
          <w:sz w:val="18"/>
          <w:szCs w:val="18"/>
          <w:color w:val="010000"/>
        </w:rPr>
      </w:pPr>
    </w:p>
    <w:p>
      <w:pPr>
        <w:ind w:right="140" w:firstLine="1559"/>
        <w:spacing w:after="0" w:line="267" w:lineRule="auto"/>
        <w:tabs>
          <w:tab w:leader="none" w:pos="2031" w:val="left"/>
        </w:tabs>
        <w:numPr>
          <w:ilvl w:val="1"/>
          <w:numId w:val="100"/>
        </w:numPr>
        <w:rPr>
          <w:rFonts w:ascii="Arial" w:cs="Arial" w:eastAsia="Arial" w:hAnsi="Arial"/>
          <w:sz w:val="18"/>
          <w:szCs w:val="18"/>
          <w:color w:val="010000"/>
        </w:rPr>
      </w:pPr>
      <w:r>
        <w:rPr>
          <w:rFonts w:ascii="Arial" w:cs="Arial" w:eastAsia="Arial" w:hAnsi="Arial"/>
          <w:sz w:val="18"/>
          <w:szCs w:val="18"/>
          <w:color w:val="010000"/>
        </w:rPr>
        <w:t>Liens on cash and Cash Equivalents or other property arising in connection with the defeasance, discharge or redemption of Debt, to the extent such defeasance, discharge or redemption is otherwise permitted hereunder,</w:t>
      </w:r>
    </w:p>
    <w:p>
      <w:pPr>
        <w:spacing w:after="0" w:line="72" w:lineRule="exact"/>
        <w:rPr>
          <w:rFonts w:ascii="Arial" w:cs="Arial" w:eastAsia="Arial" w:hAnsi="Arial"/>
          <w:sz w:val="18"/>
          <w:szCs w:val="18"/>
          <w:color w:val="010000"/>
        </w:rPr>
      </w:pPr>
    </w:p>
    <w:p>
      <w:pPr>
        <w:ind w:left="2080" w:hanging="521"/>
        <w:spacing w:after="0"/>
        <w:tabs>
          <w:tab w:leader="none" w:pos="2080" w:val="left"/>
        </w:tabs>
        <w:numPr>
          <w:ilvl w:val="1"/>
          <w:numId w:val="100"/>
        </w:numPr>
        <w:rPr>
          <w:rFonts w:ascii="Arial" w:cs="Arial" w:eastAsia="Arial" w:hAnsi="Arial"/>
          <w:sz w:val="17"/>
          <w:szCs w:val="17"/>
          <w:color w:val="010000"/>
        </w:rPr>
      </w:pPr>
      <w:r>
        <w:rPr>
          <w:rFonts w:ascii="Arial" w:cs="Arial" w:eastAsia="Arial" w:hAnsi="Arial"/>
          <w:sz w:val="17"/>
          <w:szCs w:val="17"/>
          <w:color w:val="010000"/>
        </w:rPr>
        <w:t>Liens on assets of the Company or any Restricted Subsidiary in favor of a Loan Party, subject to the terms of the Security</w:t>
      </w:r>
    </w:p>
    <w:p>
      <w:pPr>
        <w:spacing w:after="0" w:line="28"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010000"/>
        </w:rPr>
        <w:t>Agreement,</w:t>
      </w:r>
    </w:p>
    <w:p>
      <w:pPr>
        <w:spacing w:after="0" w:line="102" w:lineRule="exact"/>
        <w:rPr>
          <w:rFonts w:ascii="Arial" w:cs="Arial" w:eastAsia="Arial" w:hAnsi="Arial"/>
          <w:sz w:val="17"/>
          <w:szCs w:val="17"/>
          <w:color w:val="010000"/>
        </w:rPr>
      </w:pPr>
    </w:p>
    <w:p>
      <w:pPr>
        <w:ind w:left="2140" w:hanging="581"/>
        <w:spacing w:after="0"/>
        <w:tabs>
          <w:tab w:leader="none" w:pos="2140" w:val="left"/>
        </w:tabs>
        <w:numPr>
          <w:ilvl w:val="1"/>
          <w:numId w:val="100"/>
        </w:numPr>
        <w:rPr>
          <w:rFonts w:ascii="Arial" w:cs="Arial" w:eastAsia="Arial" w:hAnsi="Arial"/>
          <w:sz w:val="18"/>
          <w:szCs w:val="18"/>
          <w:color w:val="010000"/>
        </w:rPr>
      </w:pPr>
      <w:r>
        <w:rPr>
          <w:rFonts w:ascii="Arial" w:cs="Arial" w:eastAsia="Arial" w:hAnsi="Arial"/>
          <w:sz w:val="18"/>
          <w:szCs w:val="18"/>
          <w:color w:val="010000"/>
        </w:rPr>
        <w:t>[Reserved],</w:t>
      </w:r>
    </w:p>
    <w:p>
      <w:pPr>
        <w:spacing w:after="0" w:line="113" w:lineRule="exact"/>
        <w:rPr>
          <w:rFonts w:ascii="Arial" w:cs="Arial" w:eastAsia="Arial" w:hAnsi="Arial"/>
          <w:sz w:val="18"/>
          <w:szCs w:val="18"/>
          <w:color w:val="010000"/>
        </w:rPr>
      </w:pPr>
    </w:p>
    <w:p>
      <w:pPr>
        <w:ind w:right="160" w:firstLine="1559"/>
        <w:spacing w:after="0" w:line="267" w:lineRule="auto"/>
        <w:tabs>
          <w:tab w:leader="none" w:pos="2031" w:val="left"/>
        </w:tabs>
        <w:numPr>
          <w:ilvl w:val="1"/>
          <w:numId w:val="100"/>
        </w:numPr>
        <w:rPr>
          <w:rFonts w:ascii="Arial" w:cs="Arial" w:eastAsia="Arial" w:hAnsi="Arial"/>
          <w:sz w:val="18"/>
          <w:szCs w:val="18"/>
          <w:color w:val="010000"/>
        </w:rPr>
      </w:pPr>
      <w:r>
        <w:rPr>
          <w:rFonts w:ascii="Arial" w:cs="Arial" w:eastAsia="Arial" w:hAnsi="Arial"/>
          <w:sz w:val="18"/>
          <w:szCs w:val="18"/>
          <w:color w:val="010000"/>
        </w:rPr>
        <w:t>Reservation of title by sellers of goods to any Loan Party arising under the provisions of applicable law similar to Article 2 of the UCC in the ordinary course of business, covering only those goods,</w:t>
      </w:r>
    </w:p>
    <w:p>
      <w:pPr>
        <w:spacing w:after="0" w:line="72" w:lineRule="exact"/>
        <w:rPr>
          <w:rFonts w:ascii="Arial" w:cs="Arial" w:eastAsia="Arial" w:hAnsi="Arial"/>
          <w:sz w:val="18"/>
          <w:szCs w:val="18"/>
          <w:color w:val="010000"/>
        </w:rPr>
      </w:pPr>
    </w:p>
    <w:p>
      <w:pPr>
        <w:ind w:right="60" w:firstLine="1559"/>
        <w:spacing w:after="0" w:line="257" w:lineRule="auto"/>
        <w:tabs>
          <w:tab w:leader="none" w:pos="1982" w:val="left"/>
        </w:tabs>
        <w:numPr>
          <w:ilvl w:val="1"/>
          <w:numId w:val="100"/>
        </w:numPr>
        <w:rPr>
          <w:rFonts w:ascii="Arial" w:cs="Arial" w:eastAsia="Arial" w:hAnsi="Arial"/>
          <w:sz w:val="18"/>
          <w:szCs w:val="18"/>
          <w:color w:val="010000"/>
        </w:rPr>
      </w:pPr>
      <w:r>
        <w:rPr>
          <w:rFonts w:ascii="Arial" w:cs="Arial" w:eastAsia="Arial" w:hAnsi="Arial"/>
          <w:sz w:val="18"/>
          <w:szCs w:val="18"/>
          <w:color w:val="010000"/>
        </w:rPr>
        <w:t>Liens on Accounts, agreements governing receivables, rights under any such agreements and the proceeds thereof, in each case, of Foreign Subsidiaries to secure Debt in respect of Permitted Receivables Financings of Foreign Subsidiaries but only to the extent such Accounts are the subject of those financings; and</w:t>
      </w:r>
    </w:p>
    <w:p>
      <w:pPr>
        <w:spacing w:after="0" w:line="81" w:lineRule="exact"/>
        <w:rPr>
          <w:rFonts w:ascii="Arial" w:cs="Arial" w:eastAsia="Arial" w:hAnsi="Arial"/>
          <w:sz w:val="18"/>
          <w:szCs w:val="18"/>
          <w:color w:val="010000"/>
        </w:rPr>
      </w:pPr>
    </w:p>
    <w:p>
      <w:pPr>
        <w:ind w:right="80" w:firstLine="1559"/>
        <w:spacing w:after="0" w:line="267" w:lineRule="auto"/>
        <w:tabs>
          <w:tab w:leader="none" w:pos="2031" w:val="left"/>
        </w:tabs>
        <w:numPr>
          <w:ilvl w:val="1"/>
          <w:numId w:val="100"/>
        </w:numPr>
        <w:rPr>
          <w:rFonts w:ascii="Arial" w:cs="Arial" w:eastAsia="Arial" w:hAnsi="Arial"/>
          <w:sz w:val="18"/>
          <w:szCs w:val="18"/>
          <w:color w:val="010000"/>
        </w:rPr>
      </w:pPr>
      <w:r>
        <w:rPr>
          <w:rFonts w:ascii="Arial" w:cs="Arial" w:eastAsia="Arial" w:hAnsi="Arial"/>
          <w:sz w:val="18"/>
          <w:szCs w:val="18"/>
          <w:color w:val="010000"/>
        </w:rPr>
        <w:t>other Liens on assets of the Company or any Restricted Subsidiary (other than ABL Priority Collateral) securing obligations of the Company or any Restricted Subsidiary in an aggregate amount not to exceed $35,000,000.</w:t>
      </w:r>
    </w:p>
    <w:p>
      <w:pPr>
        <w:spacing w:after="0" w:line="179" w:lineRule="exact"/>
        <w:rPr>
          <w:rFonts w:ascii="Arial" w:cs="Arial" w:eastAsia="Arial" w:hAnsi="Arial"/>
          <w:sz w:val="18"/>
          <w:szCs w:val="18"/>
          <w:color w:val="010000"/>
        </w:rPr>
      </w:pPr>
    </w:p>
    <w:p>
      <w:pPr>
        <w:ind w:right="40" w:firstLine="1041"/>
        <w:spacing w:after="0" w:line="265" w:lineRule="auto"/>
        <w:tabs>
          <w:tab w:leader="none" w:pos="1286" w:val="left"/>
        </w:tabs>
        <w:numPr>
          <w:ilvl w:val="0"/>
          <w:numId w:val="101"/>
        </w:numPr>
        <w:rPr>
          <w:rFonts w:ascii="Arial" w:cs="Arial" w:eastAsia="Arial" w:hAnsi="Arial"/>
          <w:sz w:val="17"/>
          <w:szCs w:val="17"/>
          <w:color w:val="010000"/>
        </w:rPr>
      </w:pPr>
      <w:r>
        <w:rPr>
          <w:rFonts w:ascii="Arial" w:cs="Arial" w:eastAsia="Arial" w:hAnsi="Arial"/>
          <w:sz w:val="17"/>
          <w:szCs w:val="17"/>
          <w:u w:val="single" w:color="auto"/>
          <w:color w:val="010000"/>
        </w:rPr>
        <w:t>Mergers</w:t>
      </w:r>
      <w:r>
        <w:rPr>
          <w:rFonts w:ascii="Arial" w:cs="Arial" w:eastAsia="Arial" w:hAnsi="Arial"/>
          <w:sz w:val="17"/>
          <w:szCs w:val="17"/>
          <w:color w:val="010000"/>
        </w:rPr>
        <w:t xml:space="preserve">. Merge, amalgamate or consolidate with or into any Person, or permit any of its Restricted Subsidiaries (other than Immaterial Subsidiaries) to do so,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notwithstanding the foregoing (i) any Restricted Subsidiary of the Company that is a Loan Party may merge, amalgamate or consolidate with or into the Company (subject to clause (iv) below) or any other Loan Party, (ii) any Restricted Subsidiary of the Company that is not a Loan Party may merge, amalgamate or consolidate with or into the Company or any other Subsidiary of the Company, (iii) any Restricted Subsidiary may merge, amalgamate or consolidate with any other Person so long as such Restricted Subsidiary is the surviving or continuing corporation or a Person which shall become a Restricted Subsidiary substantially contemporaneously with such merger, amalgamation or consolidation is the surviving person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xml:space="preserve">, if any such Person is a Loan Party, the surviving or continuing entity shall be a Loan Party or a Person which shall become a Loan Party substantially contemporaneously with such merger, amalgamation or consolidation), (iv) the Company may merge, amalgamate or consolidate with any other Person so long as the Company is the surviving corporation; </w:t>
      </w:r>
      <w:r>
        <w:rPr>
          <w:rFonts w:ascii="Arial" w:cs="Arial" w:eastAsia="Arial" w:hAnsi="Arial"/>
          <w:sz w:val="17"/>
          <w:szCs w:val="17"/>
          <w:u w:val="single" w:color="auto"/>
          <w:color w:val="010000"/>
        </w:rPr>
        <w:t>provided</w:t>
      </w:r>
      <w:r>
        <w:rPr>
          <w:rFonts w:ascii="Arial" w:cs="Arial" w:eastAsia="Arial" w:hAnsi="Arial"/>
          <w:sz w:val="17"/>
          <w:szCs w:val="17"/>
          <w:color w:val="010000"/>
        </w:rPr>
        <w:t>, in each case, that no Event of Default shall have occurred and be continuing at the time of such proposed transaction or would result therefrom.</w:t>
      </w:r>
    </w:p>
    <w:p>
      <w:pPr>
        <w:spacing w:after="0" w:line="81" w:lineRule="exact"/>
        <w:rPr>
          <w:rFonts w:ascii="Arial" w:cs="Arial" w:eastAsia="Arial" w:hAnsi="Arial"/>
          <w:sz w:val="17"/>
          <w:szCs w:val="17"/>
          <w:color w:val="010000"/>
        </w:rPr>
      </w:pPr>
    </w:p>
    <w:p>
      <w:pPr>
        <w:ind w:right="260" w:firstLine="1041"/>
        <w:spacing w:after="0" w:line="267" w:lineRule="auto"/>
        <w:tabs>
          <w:tab w:leader="none" w:pos="1276" w:val="left"/>
        </w:tabs>
        <w:numPr>
          <w:ilvl w:val="0"/>
          <w:numId w:val="101"/>
        </w:numPr>
        <w:rPr>
          <w:rFonts w:ascii="Arial" w:cs="Arial" w:eastAsia="Arial" w:hAnsi="Arial"/>
          <w:sz w:val="18"/>
          <w:szCs w:val="18"/>
          <w:color w:val="010000"/>
        </w:rPr>
      </w:pPr>
      <w:r>
        <w:rPr>
          <w:rFonts w:ascii="Arial" w:cs="Arial" w:eastAsia="Arial" w:hAnsi="Arial"/>
          <w:sz w:val="18"/>
          <w:szCs w:val="18"/>
          <w:u w:val="single" w:color="auto"/>
          <w:color w:val="010000"/>
        </w:rPr>
        <w:t>Accounting Changes</w:t>
      </w:r>
      <w:r>
        <w:rPr>
          <w:rFonts w:ascii="Arial" w:cs="Arial" w:eastAsia="Arial" w:hAnsi="Arial"/>
          <w:sz w:val="18"/>
          <w:szCs w:val="18"/>
          <w:color w:val="010000"/>
        </w:rPr>
        <w:t>. Make or permit, or permit any of its Restricted Subsidiaries to make or permit, any change in accounting policies or reporting practices, except as required or permitted by GAAP.</w:t>
      </w:r>
    </w:p>
    <w:p>
      <w:pPr>
        <w:spacing w:after="0" w:line="72" w:lineRule="exact"/>
        <w:rPr>
          <w:rFonts w:ascii="Arial" w:cs="Arial" w:eastAsia="Arial" w:hAnsi="Arial"/>
          <w:sz w:val="18"/>
          <w:szCs w:val="18"/>
          <w:color w:val="010000"/>
        </w:rPr>
      </w:pPr>
    </w:p>
    <w:p>
      <w:pPr>
        <w:ind w:right="20" w:firstLine="1041"/>
        <w:spacing w:after="0" w:line="257" w:lineRule="auto"/>
        <w:tabs>
          <w:tab w:leader="none" w:pos="1286" w:val="left"/>
        </w:tabs>
        <w:numPr>
          <w:ilvl w:val="0"/>
          <w:numId w:val="101"/>
        </w:numPr>
        <w:rPr>
          <w:rFonts w:ascii="Arial" w:cs="Arial" w:eastAsia="Arial" w:hAnsi="Arial"/>
          <w:sz w:val="18"/>
          <w:szCs w:val="18"/>
          <w:color w:val="010000"/>
        </w:rPr>
      </w:pPr>
      <w:r>
        <w:rPr>
          <w:rFonts w:ascii="Arial" w:cs="Arial" w:eastAsia="Arial" w:hAnsi="Arial"/>
          <w:sz w:val="18"/>
          <w:szCs w:val="18"/>
          <w:u w:val="single" w:color="auto"/>
          <w:color w:val="010000"/>
        </w:rPr>
        <w:t>Debt</w:t>
      </w:r>
      <w:r>
        <w:rPr>
          <w:rFonts w:ascii="Arial" w:cs="Arial" w:eastAsia="Arial" w:hAnsi="Arial"/>
          <w:sz w:val="18"/>
          <w:szCs w:val="18"/>
          <w:color w:val="010000"/>
        </w:rPr>
        <w:t xml:space="preserve">. Create or suffer to exist, or permit any of its Restricted Subsidiaries to create or suffer to exist, any Debt other than the following,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any Debt permitted by any clause below shall be permitted under this Section 5.02(d), notwithstanding that such Debt would not be permitted by any other clause:</w:t>
      </w:r>
    </w:p>
    <w:p>
      <w:pPr>
        <w:spacing w:after="0" w:line="81" w:lineRule="exact"/>
        <w:rPr>
          <w:rFonts w:ascii="Arial" w:cs="Arial" w:eastAsia="Arial" w:hAnsi="Arial"/>
          <w:sz w:val="18"/>
          <w:szCs w:val="18"/>
          <w:color w:val="010000"/>
        </w:rPr>
      </w:pPr>
    </w:p>
    <w:p>
      <w:pPr>
        <w:ind w:firstLine="1559"/>
        <w:spacing w:after="0" w:line="254" w:lineRule="auto"/>
        <w:tabs>
          <w:tab w:leader="none" w:pos="1764" w:val="left"/>
        </w:tabs>
        <w:numPr>
          <w:ilvl w:val="1"/>
          <w:numId w:val="101"/>
        </w:numPr>
        <w:rPr>
          <w:rFonts w:ascii="Arial" w:cs="Arial" w:eastAsia="Arial" w:hAnsi="Arial"/>
          <w:sz w:val="18"/>
          <w:szCs w:val="18"/>
          <w:color w:val="010000"/>
        </w:rPr>
      </w:pPr>
      <w:r>
        <w:rPr>
          <w:rFonts w:ascii="Arial" w:cs="Arial" w:eastAsia="Arial" w:hAnsi="Arial"/>
          <w:sz w:val="18"/>
          <w:szCs w:val="18"/>
          <w:color w:val="010000"/>
        </w:rPr>
        <w:t xml:space="preserve">Debt of the Borrower to any Restricted Subsidiary and of any Restricted Subsidiary to the Borrower or any other Restricted Subsidiary; </w:t>
      </w:r>
      <w:r>
        <w:rPr>
          <w:rFonts w:ascii="Arial" w:cs="Arial" w:eastAsia="Arial" w:hAnsi="Arial"/>
          <w:sz w:val="18"/>
          <w:szCs w:val="18"/>
          <w:u w:val="single" w:color="auto"/>
          <w:color w:val="010000"/>
        </w:rPr>
        <w:t>provided, that</w:t>
      </w:r>
      <w:r>
        <w:rPr>
          <w:rFonts w:ascii="Arial" w:cs="Arial" w:eastAsia="Arial" w:hAnsi="Arial"/>
          <w:sz w:val="18"/>
          <w:szCs w:val="18"/>
          <w:color w:val="010000"/>
        </w:rPr>
        <w:t>, (A) Debt of any Loan Party owing to any Subsidiary that is not a Loan Party shall be subordinated in right of payment to the Obligations on subordination terms reasonably satisfactory to the Agent and (B) Debt of any Subsidiary that is not a Loan Party owing to any Loan Party shall be subject to Section 5.02(i)(ix),</w:t>
      </w:r>
    </w:p>
    <w:p>
      <w:pPr>
        <w:spacing w:after="0" w:line="83" w:lineRule="exact"/>
        <w:rPr>
          <w:rFonts w:ascii="Arial" w:cs="Arial" w:eastAsia="Arial" w:hAnsi="Arial"/>
          <w:sz w:val="18"/>
          <w:szCs w:val="18"/>
          <w:color w:val="010000"/>
        </w:rPr>
      </w:pPr>
    </w:p>
    <w:p>
      <w:pPr>
        <w:ind w:left="1820" w:hanging="261"/>
        <w:spacing w:after="0"/>
        <w:tabs>
          <w:tab w:leader="none" w:pos="1820" w:val="left"/>
        </w:tabs>
        <w:numPr>
          <w:ilvl w:val="1"/>
          <w:numId w:val="101"/>
        </w:numPr>
        <w:rPr>
          <w:rFonts w:ascii="Arial" w:cs="Arial" w:eastAsia="Arial" w:hAnsi="Arial"/>
          <w:sz w:val="16"/>
          <w:szCs w:val="16"/>
          <w:color w:val="010000"/>
        </w:rPr>
      </w:pPr>
      <w:r>
        <w:rPr>
          <w:rFonts w:ascii="Arial" w:cs="Arial" w:eastAsia="Arial" w:hAnsi="Arial"/>
          <w:sz w:val="16"/>
          <w:szCs w:val="16"/>
          <w:color w:val="010000"/>
        </w:rPr>
        <w:t xml:space="preserve">Debt existing on the Closing Date and described on </w:t>
      </w:r>
      <w:r>
        <w:rPr>
          <w:rFonts w:ascii="Arial" w:cs="Arial" w:eastAsia="Arial" w:hAnsi="Arial"/>
          <w:sz w:val="16"/>
          <w:szCs w:val="16"/>
          <w:u w:val="single" w:color="auto"/>
          <w:color w:val="010000"/>
        </w:rPr>
        <w:t>Schedule 5.02(d)</w:t>
      </w:r>
      <w:r>
        <w:rPr>
          <w:rFonts w:ascii="Arial" w:cs="Arial" w:eastAsia="Arial" w:hAnsi="Arial"/>
          <w:sz w:val="16"/>
          <w:szCs w:val="16"/>
          <w:color w:val="010000"/>
        </w:rPr>
        <w:t xml:space="preserve"> hereto (the “</w:t>
      </w:r>
      <w:r>
        <w:rPr>
          <w:rFonts w:ascii="Arial" w:cs="Arial" w:eastAsia="Arial" w:hAnsi="Arial"/>
          <w:sz w:val="16"/>
          <w:szCs w:val="16"/>
          <w:u w:val="single" w:color="auto"/>
          <w:color w:val="010000"/>
        </w:rPr>
        <w:t>Existing Debt</w:t>
      </w:r>
      <w:r>
        <w:rPr>
          <w:rFonts w:ascii="Arial" w:cs="Arial" w:eastAsia="Arial" w:hAnsi="Arial"/>
          <w:sz w:val="16"/>
          <w:szCs w:val="16"/>
          <w:color w:val="010000"/>
        </w:rPr>
        <w:t>”), and any Permitted Refinancing</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thereof,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114" w:name="page115"/>
    <w:bookmarkEnd w:id="114"/>
    <w:p>
      <w:pPr>
        <w:ind w:right="80" w:firstLine="1559"/>
        <w:spacing w:after="0" w:line="267" w:lineRule="auto"/>
        <w:tabs>
          <w:tab w:leader="none" w:pos="1863" w:val="left"/>
        </w:tabs>
        <w:numPr>
          <w:ilvl w:val="1"/>
          <w:numId w:val="102"/>
        </w:numPr>
        <w:rPr>
          <w:rFonts w:ascii="Arial" w:cs="Arial" w:eastAsia="Arial" w:hAnsi="Arial"/>
          <w:sz w:val="17"/>
          <w:szCs w:val="17"/>
          <w:color w:val="010000"/>
        </w:rPr>
      </w:pPr>
      <w:r>
        <w:rPr>
          <w:rFonts w:ascii="Arial" w:cs="Arial" w:eastAsia="Arial" w:hAnsi="Arial"/>
          <w:sz w:val="17"/>
          <w:szCs w:val="17"/>
          <w:color w:val="010000"/>
        </w:rPr>
        <w:t xml:space="preserve">Debt of the Company or any Restricted Subsidiary incurred to finance the acquisition by the Company or any Restricted Subsidiary after the Closing Date of real property and improvements thereto (but not inventory or other personal property located therein) and Permitted Refinancings thereof and any Permitted Refinancings of such refinanced Debt;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(A) before and after giving effect to the incurrence of such Debt no Default (to the knowledge of any Loan Party) or Event of Default shall have occurred and be continuing, (B) the secured recourse to the Company or any Restricted Subsidiary of such Debt shall be limited to the value of the real property and improvements financed by such Debt, and (C) the aggregate principal amount of Debt incurred on or after the Closing Date and permitted by clauses (iii), (iv) and (xv) of this Section 5.02(d) at any time outstanding shall not exceed the greater of (1) $60,000,000 or (2) 1.95% of Total Assets,</w:t>
      </w:r>
    </w:p>
    <w:p>
      <w:pPr>
        <w:spacing w:after="0" w:line="77" w:lineRule="exact"/>
        <w:rPr>
          <w:rFonts w:ascii="Arial" w:cs="Arial" w:eastAsia="Arial" w:hAnsi="Arial"/>
          <w:sz w:val="17"/>
          <w:szCs w:val="17"/>
          <w:color w:val="010000"/>
        </w:rPr>
      </w:pPr>
    </w:p>
    <w:p>
      <w:pPr>
        <w:ind w:right="40" w:firstLine="1559"/>
        <w:spacing w:after="0" w:line="281" w:lineRule="auto"/>
        <w:tabs>
          <w:tab w:leader="none" w:pos="1853" w:val="left"/>
        </w:tabs>
        <w:numPr>
          <w:ilvl w:val="1"/>
          <w:numId w:val="102"/>
        </w:numPr>
        <w:rPr>
          <w:rFonts w:ascii="Arial" w:cs="Arial" w:eastAsia="Arial" w:hAnsi="Arial"/>
          <w:sz w:val="16"/>
          <w:szCs w:val="16"/>
          <w:color w:val="010000"/>
        </w:rPr>
      </w:pPr>
      <w:r>
        <w:rPr>
          <w:rFonts w:ascii="Arial" w:cs="Arial" w:eastAsia="Arial" w:hAnsi="Arial"/>
          <w:sz w:val="16"/>
          <w:szCs w:val="16"/>
          <w:color w:val="010000"/>
        </w:rPr>
        <w:t xml:space="preserve">Debt of the Borrower or any Restricted Subsidiary relating to purchase money security interests (as defined in the New York Uniform Commercial Code, as amended) and Permitted Refinancings thereof and any Permitted Refinancings of such refinanced Debt;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(A) before and after giving effect to the incurrence of such Debt no Default or Event of Default shall have occurred and be continuing, (B) such Debt (other than any Permitted Refinancings thereof or Permitted Refinancings of any such refinanced Debt) is incurred prior to or within 270 days after such acquisition or the completion of such construction or improvement and (C) the aggregate principal amount of Debt incurred on or after the Closing Date and permitted by clauses (iii), (iv) and</w:t>
      </w:r>
    </w:p>
    <w:p>
      <w:pPr>
        <w:ind w:left="340" w:hanging="333"/>
        <w:spacing w:after="0"/>
        <w:tabs>
          <w:tab w:leader="none" w:pos="340" w:val="left"/>
        </w:tabs>
        <w:numPr>
          <w:ilvl w:val="0"/>
          <w:numId w:val="103"/>
        </w:numPr>
        <w:rPr>
          <w:rFonts w:ascii="Arial" w:cs="Arial" w:eastAsia="Arial" w:hAnsi="Arial"/>
          <w:sz w:val="18"/>
          <w:szCs w:val="18"/>
          <w:color w:val="010000"/>
        </w:rPr>
      </w:pPr>
      <w:r>
        <w:rPr>
          <w:rFonts w:ascii="Arial" w:cs="Arial" w:eastAsia="Arial" w:hAnsi="Arial"/>
          <w:sz w:val="18"/>
          <w:szCs w:val="18"/>
          <w:color w:val="010000"/>
        </w:rPr>
        <w:t>of this 5.02(d) at any time outstanding shall not exceed the greater of (1) $60,000,000 or (2) 1.95% of Total Assets,</w:t>
      </w:r>
    </w:p>
    <w:p>
      <w:pPr>
        <w:spacing w:after="0" w:line="102" w:lineRule="exact"/>
        <w:rPr>
          <w:rFonts w:ascii="Arial" w:cs="Arial" w:eastAsia="Arial" w:hAnsi="Arial"/>
          <w:sz w:val="18"/>
          <w:szCs w:val="18"/>
          <w:color w:val="010000"/>
        </w:rPr>
      </w:pPr>
    </w:p>
    <w:p>
      <w:pPr>
        <w:ind w:left="1820" w:hanging="261"/>
        <w:spacing w:after="0"/>
        <w:tabs>
          <w:tab w:leader="none" w:pos="1820" w:val="left"/>
        </w:tabs>
        <w:numPr>
          <w:ilvl w:val="1"/>
          <w:numId w:val="103"/>
        </w:numPr>
        <w:rPr>
          <w:rFonts w:ascii="Arial" w:cs="Arial" w:eastAsia="Arial" w:hAnsi="Arial"/>
          <w:sz w:val="16"/>
          <w:szCs w:val="16"/>
          <w:color w:val="010000"/>
        </w:rPr>
      </w:pPr>
      <w:r>
        <w:rPr>
          <w:rFonts w:ascii="Arial" w:cs="Arial" w:eastAsia="Arial" w:hAnsi="Arial"/>
          <w:sz w:val="16"/>
          <w:szCs w:val="16"/>
          <w:color w:val="010000"/>
        </w:rPr>
        <w:t>without duplication of any other Debt permitted hereunder, liabilities for leases of real property characterized as Debt for purposes of</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GAAP,</w:t>
      </w:r>
    </w:p>
    <w:p>
      <w:pPr>
        <w:spacing w:after="0" w:line="102" w:lineRule="exact"/>
        <w:rPr>
          <w:rFonts w:ascii="Arial" w:cs="Arial" w:eastAsia="Arial" w:hAnsi="Arial"/>
          <w:sz w:val="16"/>
          <w:szCs w:val="16"/>
          <w:color w:val="010000"/>
        </w:rPr>
      </w:pPr>
    </w:p>
    <w:p>
      <w:pPr>
        <w:ind w:right="140" w:firstLine="1559"/>
        <w:spacing w:after="0" w:line="267" w:lineRule="auto"/>
        <w:tabs>
          <w:tab w:leader="none" w:pos="1853" w:val="left"/>
        </w:tabs>
        <w:numPr>
          <w:ilvl w:val="1"/>
          <w:numId w:val="103"/>
        </w:numPr>
        <w:rPr>
          <w:rFonts w:ascii="Arial" w:cs="Arial" w:eastAsia="Arial" w:hAnsi="Arial"/>
          <w:sz w:val="18"/>
          <w:szCs w:val="18"/>
          <w:color w:val="010000"/>
        </w:rPr>
      </w:pPr>
      <w:r>
        <w:rPr>
          <w:rFonts w:ascii="Arial" w:cs="Arial" w:eastAsia="Arial" w:hAnsi="Arial"/>
          <w:sz w:val="18"/>
          <w:szCs w:val="18"/>
          <w:color w:val="010000"/>
        </w:rPr>
        <w:t>Debt of the Company or any of its Restricted Subsidiaries consisting of take-or-pay obligations contained in supply arrangements, in each case incurred in the ordinary course of business,</w:t>
      </w:r>
    </w:p>
    <w:p>
      <w:pPr>
        <w:spacing w:after="0" w:line="72" w:lineRule="exact"/>
        <w:rPr>
          <w:rFonts w:ascii="Arial" w:cs="Arial" w:eastAsia="Arial" w:hAnsi="Arial"/>
          <w:sz w:val="18"/>
          <w:szCs w:val="18"/>
          <w:color w:val="010000"/>
        </w:rPr>
      </w:pPr>
    </w:p>
    <w:p>
      <w:pPr>
        <w:ind w:right="80" w:firstLine="1559"/>
        <w:spacing w:after="0" w:line="287" w:lineRule="auto"/>
        <w:tabs>
          <w:tab w:leader="none" w:pos="1903" w:val="left"/>
        </w:tabs>
        <w:numPr>
          <w:ilvl w:val="1"/>
          <w:numId w:val="103"/>
        </w:numPr>
        <w:rPr>
          <w:rFonts w:ascii="Arial" w:cs="Arial" w:eastAsia="Arial" w:hAnsi="Arial"/>
          <w:sz w:val="16"/>
          <w:szCs w:val="16"/>
          <w:color w:val="010000"/>
        </w:rPr>
      </w:pPr>
      <w:r>
        <w:rPr>
          <w:rFonts w:ascii="Arial" w:cs="Arial" w:eastAsia="Arial" w:hAnsi="Arial"/>
          <w:sz w:val="16"/>
          <w:szCs w:val="16"/>
          <w:color w:val="010000"/>
        </w:rPr>
        <w:t>Debt arising pursuant to agreements in connection with any Dispositions of any business, assets or equity interests of any Restricted Subsidiary permitted under Section 5.02(e), any Permitted Acquisition or any other permitted Investment hereof consisting of indemnification, earn-out obligations, adjustment of purchase price or similar obligations, or guarantees or letters of credit, bankers’ acceptances, accommodation guarantees, surety bonds or performance bonds securing any obligations of the Company or any of its Restricted Subsidiaries pursuant to such agreements, in any case incurred in connection with such permitted Disposition, Permitted Acquisition or other permitted Investment (other than guarantees of Debt incurred by any Person acquiring all or any portion of such business, assets or capital stock of such Restricted Subsidiary for the purpose of financing such acquisition) and any Permitted Refinancing thereof and any Permitted Refinancings of any such refinanced Debt,</w:t>
      </w:r>
    </w:p>
    <w:p>
      <w:pPr>
        <w:spacing w:after="0" w:line="60" w:lineRule="exact"/>
        <w:rPr>
          <w:rFonts w:ascii="Arial" w:cs="Arial" w:eastAsia="Arial" w:hAnsi="Arial"/>
          <w:sz w:val="16"/>
          <w:szCs w:val="16"/>
          <w:color w:val="010000"/>
        </w:rPr>
      </w:pPr>
    </w:p>
    <w:p>
      <w:pPr>
        <w:ind w:left="1960" w:hanging="401"/>
        <w:spacing w:after="0"/>
        <w:tabs>
          <w:tab w:leader="none" w:pos="1960" w:val="left"/>
        </w:tabs>
        <w:numPr>
          <w:ilvl w:val="1"/>
          <w:numId w:val="103"/>
        </w:numPr>
        <w:rPr>
          <w:rFonts w:ascii="Arial" w:cs="Arial" w:eastAsia="Arial" w:hAnsi="Arial"/>
          <w:sz w:val="18"/>
          <w:szCs w:val="18"/>
          <w:color w:val="010000"/>
        </w:rPr>
      </w:pPr>
      <w:r>
        <w:rPr>
          <w:rFonts w:ascii="Arial" w:cs="Arial" w:eastAsia="Arial" w:hAnsi="Arial"/>
          <w:sz w:val="18"/>
          <w:szCs w:val="18"/>
          <w:color w:val="010000"/>
        </w:rPr>
        <w:t>Debt consisting of the financing of insurance premiums in the ordinary course of business,</w:t>
      </w:r>
    </w:p>
    <w:p>
      <w:pPr>
        <w:spacing w:after="0" w:line="113" w:lineRule="exact"/>
        <w:rPr>
          <w:rFonts w:ascii="Arial" w:cs="Arial" w:eastAsia="Arial" w:hAnsi="Arial"/>
          <w:sz w:val="18"/>
          <w:szCs w:val="18"/>
          <w:color w:val="010000"/>
        </w:rPr>
      </w:pPr>
    </w:p>
    <w:p>
      <w:pPr>
        <w:ind w:right="120" w:firstLine="1559"/>
        <w:spacing w:after="0" w:line="297" w:lineRule="auto"/>
        <w:tabs>
          <w:tab w:leader="none" w:pos="1853" w:val="left"/>
        </w:tabs>
        <w:numPr>
          <w:ilvl w:val="1"/>
          <w:numId w:val="103"/>
        </w:numPr>
        <w:rPr>
          <w:rFonts w:ascii="Arial" w:cs="Arial" w:eastAsia="Arial" w:hAnsi="Arial"/>
          <w:sz w:val="17"/>
          <w:szCs w:val="17"/>
          <w:color w:val="010000"/>
        </w:rPr>
      </w:pPr>
      <w:r>
        <w:rPr>
          <w:rFonts w:ascii="Arial" w:cs="Arial" w:eastAsia="Arial" w:hAnsi="Arial"/>
          <w:sz w:val="17"/>
          <w:szCs w:val="17"/>
          <w:color w:val="010000"/>
        </w:rPr>
        <w:t>Debt in respect of Hedging Agreements designed to hedge against the Borrower’s or any Restricted Subsidiary’s exposure to interest rates, foreign exchange rates or commodities pricing risks incurred in the ordinary course of business and not for speculative purposes,</w:t>
      </w:r>
    </w:p>
    <w:p>
      <w:pPr>
        <w:spacing w:after="0" w:line="49" w:lineRule="exact"/>
        <w:rPr>
          <w:rFonts w:ascii="Arial" w:cs="Arial" w:eastAsia="Arial" w:hAnsi="Arial"/>
          <w:sz w:val="17"/>
          <w:szCs w:val="17"/>
          <w:color w:val="010000"/>
        </w:rPr>
      </w:pPr>
    </w:p>
    <w:p>
      <w:pPr>
        <w:ind w:firstLine="1559"/>
        <w:spacing w:after="0" w:line="295" w:lineRule="auto"/>
        <w:tabs>
          <w:tab w:leader="none" w:pos="1804" w:val="left"/>
        </w:tabs>
        <w:numPr>
          <w:ilvl w:val="1"/>
          <w:numId w:val="103"/>
        </w:numPr>
        <w:rPr>
          <w:rFonts w:ascii="Arial" w:cs="Arial" w:eastAsia="Arial" w:hAnsi="Arial"/>
          <w:sz w:val="16"/>
          <w:szCs w:val="16"/>
          <w:color w:val="010000"/>
        </w:rPr>
      </w:pPr>
      <w:r>
        <w:rPr>
          <w:rFonts w:ascii="Arial" w:cs="Arial" w:eastAsia="Arial" w:hAnsi="Arial"/>
          <w:sz w:val="16"/>
          <w:szCs w:val="16"/>
          <w:color w:val="010000"/>
        </w:rPr>
        <w:t>Debt arising from the honoring by a bank or other financial institution of a check, draft or similar instrument drawn against insufficient funds in the ordinary course of business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such Debt is extinguished within ten (10) Business Days of the Company or the applicable Restricted Subsidiary becoming aware of such Debt) or other cash management obligations and other Debt in respect of netting services, automatic clearinghouse arrangements, credit card processing, overdraft protections and similar arrangements in the ordinary course of business,</w:t>
      </w:r>
    </w:p>
    <w:p>
      <w:pPr>
        <w:spacing w:after="0" w:line="55" w:lineRule="exact"/>
        <w:rPr>
          <w:rFonts w:ascii="Arial" w:cs="Arial" w:eastAsia="Arial" w:hAnsi="Arial"/>
          <w:sz w:val="16"/>
          <w:szCs w:val="16"/>
          <w:color w:val="010000"/>
        </w:rPr>
      </w:pPr>
    </w:p>
    <w:p>
      <w:pPr>
        <w:ind w:right="160" w:firstLine="1559"/>
        <w:spacing w:after="0" w:line="254" w:lineRule="auto"/>
        <w:tabs>
          <w:tab w:leader="none" w:pos="1853" w:val="left"/>
        </w:tabs>
        <w:numPr>
          <w:ilvl w:val="1"/>
          <w:numId w:val="103"/>
        </w:numPr>
        <w:rPr>
          <w:rFonts w:ascii="Arial" w:cs="Arial" w:eastAsia="Arial" w:hAnsi="Arial"/>
          <w:sz w:val="18"/>
          <w:szCs w:val="18"/>
          <w:color w:val="010000"/>
        </w:rPr>
      </w:pPr>
      <w:r>
        <w:rPr>
          <w:rFonts w:ascii="Arial" w:cs="Arial" w:eastAsia="Arial" w:hAnsi="Arial"/>
          <w:sz w:val="18"/>
          <w:szCs w:val="18"/>
          <w:color w:val="010000"/>
        </w:rPr>
        <w:t xml:space="preserve">other Debt so long as, immediately after giving effect to the issuance, incurrence or assumption of such Debt, (a) the Total Leverage Ratio on a pro forma basis is no greater than 4.50 to 1.00 and (b) the Secured Leverage Ratio on a pro forma basis is no greater than 2.50 to 1.00, and any Permitted Refinancing thereof;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for the purposes of calculating the Secured Leverage Ratio for this Section 5.02(d)(xi), any Debt incurred pursuant to this Section 5.02(d)(xi) shall be deemed Secured Debt,</w:t>
      </w:r>
    </w:p>
    <w:p>
      <w:pPr>
        <w:spacing w:after="0" w:line="83" w:lineRule="exact"/>
        <w:rPr>
          <w:rFonts w:ascii="Arial" w:cs="Arial" w:eastAsia="Arial" w:hAnsi="Arial"/>
          <w:sz w:val="18"/>
          <w:szCs w:val="18"/>
          <w:color w:val="010000"/>
        </w:rPr>
      </w:pPr>
    </w:p>
    <w:p>
      <w:pPr>
        <w:ind w:left="1900" w:hanging="341"/>
        <w:spacing w:after="0"/>
        <w:tabs>
          <w:tab w:leader="none" w:pos="1900" w:val="left"/>
        </w:tabs>
        <w:numPr>
          <w:ilvl w:val="1"/>
          <w:numId w:val="103"/>
        </w:numPr>
        <w:rPr>
          <w:rFonts w:ascii="Arial" w:cs="Arial" w:eastAsia="Arial" w:hAnsi="Arial"/>
          <w:sz w:val="18"/>
          <w:szCs w:val="18"/>
          <w:color w:val="010000"/>
        </w:rPr>
      </w:pPr>
      <w:r>
        <w:rPr>
          <w:rFonts w:ascii="Arial" w:cs="Arial" w:eastAsia="Arial" w:hAnsi="Arial"/>
          <w:sz w:val="18"/>
          <w:szCs w:val="18"/>
          <w:color w:val="010000"/>
        </w:rPr>
        <w:t>Investments permitted under Section 5.02(i)(iv) and (vii) that constitute Debt,</w:t>
      </w:r>
    </w:p>
    <w:p>
      <w:pPr>
        <w:spacing w:after="0" w:line="113" w:lineRule="exact"/>
        <w:rPr>
          <w:rFonts w:ascii="Arial" w:cs="Arial" w:eastAsia="Arial" w:hAnsi="Arial"/>
          <w:sz w:val="18"/>
          <w:szCs w:val="18"/>
          <w:color w:val="010000"/>
        </w:rPr>
      </w:pPr>
    </w:p>
    <w:p>
      <w:pPr>
        <w:ind w:right="100" w:firstLine="1559"/>
        <w:spacing w:after="0" w:line="257" w:lineRule="auto"/>
        <w:tabs>
          <w:tab w:leader="none" w:pos="1952" w:val="left"/>
        </w:tabs>
        <w:numPr>
          <w:ilvl w:val="1"/>
          <w:numId w:val="103"/>
        </w:numPr>
        <w:rPr>
          <w:rFonts w:ascii="Arial" w:cs="Arial" w:eastAsia="Arial" w:hAnsi="Arial"/>
          <w:sz w:val="18"/>
          <w:szCs w:val="18"/>
          <w:color w:val="010000"/>
        </w:rPr>
      </w:pPr>
      <w:r>
        <w:rPr>
          <w:rFonts w:ascii="Arial" w:cs="Arial" w:eastAsia="Arial" w:hAnsi="Arial"/>
          <w:sz w:val="18"/>
          <w:szCs w:val="18"/>
          <w:color w:val="010000"/>
        </w:rPr>
        <w:t xml:space="preserve">Debt of a Person existing at the time such Person is merged into or consolidated with the Company or any Subsidiary of the Company or becomes a Subsidiary of the Company and any Permitted Refinancing thereof;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such Debt was not created in contemplation of such merger, consolidation or acquisition,</w:t>
      </w:r>
    </w:p>
    <w:p>
      <w:pPr>
        <w:spacing w:after="0" w:line="81" w:lineRule="exact"/>
        <w:rPr>
          <w:rFonts w:ascii="Arial" w:cs="Arial" w:eastAsia="Arial" w:hAnsi="Arial"/>
          <w:sz w:val="18"/>
          <w:szCs w:val="18"/>
          <w:color w:val="010000"/>
        </w:rPr>
      </w:pPr>
    </w:p>
    <w:p>
      <w:pPr>
        <w:ind w:left="1940" w:hanging="381"/>
        <w:spacing w:after="0"/>
        <w:tabs>
          <w:tab w:leader="none" w:pos="1940" w:val="left"/>
        </w:tabs>
        <w:numPr>
          <w:ilvl w:val="1"/>
          <w:numId w:val="103"/>
        </w:numPr>
        <w:rPr>
          <w:rFonts w:ascii="Arial" w:cs="Arial" w:eastAsia="Arial" w:hAnsi="Arial"/>
          <w:sz w:val="18"/>
          <w:szCs w:val="18"/>
          <w:color w:val="010000"/>
        </w:rPr>
      </w:pPr>
      <w:r>
        <w:rPr>
          <w:rFonts w:ascii="Arial" w:cs="Arial" w:eastAsia="Arial" w:hAnsi="Arial"/>
          <w:sz w:val="18"/>
          <w:szCs w:val="18"/>
          <w:color w:val="010000"/>
        </w:rPr>
        <w:t>Obligations arising under the Loan Documents,</w:t>
      </w:r>
    </w:p>
    <w:p>
      <w:pPr>
        <w:spacing w:after="0" w:line="113" w:lineRule="exact"/>
        <w:rPr>
          <w:rFonts w:ascii="Arial" w:cs="Arial" w:eastAsia="Arial" w:hAnsi="Arial"/>
          <w:sz w:val="18"/>
          <w:szCs w:val="18"/>
          <w:color w:val="010000"/>
        </w:rPr>
      </w:pPr>
    </w:p>
    <w:p>
      <w:pPr>
        <w:ind w:right="20" w:firstLine="1559"/>
        <w:spacing w:after="0" w:line="280" w:lineRule="auto"/>
        <w:tabs>
          <w:tab w:leader="none" w:pos="1893" w:val="left"/>
        </w:tabs>
        <w:numPr>
          <w:ilvl w:val="1"/>
          <w:numId w:val="103"/>
        </w:numPr>
        <w:rPr>
          <w:rFonts w:ascii="Arial" w:cs="Arial" w:eastAsia="Arial" w:hAnsi="Arial"/>
          <w:sz w:val="16"/>
          <w:szCs w:val="16"/>
          <w:color w:val="010000"/>
        </w:rPr>
      </w:pPr>
      <w:r>
        <w:rPr>
          <w:rFonts w:ascii="Arial" w:cs="Arial" w:eastAsia="Arial" w:hAnsi="Arial"/>
          <w:sz w:val="16"/>
          <w:szCs w:val="16"/>
          <w:color w:val="010000"/>
        </w:rPr>
        <w:t xml:space="preserve">Debt of the Company or any Restricted Subsidiary incurred to finance the acquisition, construction or improvement of any fixed or capital assets, including Capital Lease Obligations and any Debt assumed in connection with the acquisition of any such assets or secured by a Lien on any such assets prior to the acquisition thereof, and Permitted Refinancings thereof and any Permitted Refinancings of such refinanced Debt;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(A) before and after giving effect to the incurrence of such Debt, no Default (to the knowledge of any Loan Party) or Event of Default shall have occurred and be continuing, (B) such Debt (other than any Permitted Refinancings thereof or Permitted Refinancings of any such refinanced Debt) is incurred prior to or within 270 days after such acquisition or the completion of such construction or improvement and (C) the aggregate principal amount of Debt incurred on or after the Closing Date and permitted by clauses (iii), (iv) and (xv) of this Section 5.02(d) at any time outstanding shall not exceed the greater of (1) $60,000,000 or (2)</w:t>
      </w:r>
    </w:p>
    <w:p>
      <w:pPr>
        <w:spacing w:after="0" w:line="1"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1.95% of Total Assets,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15" w:name="page116"/>
    <w:bookmarkEnd w:id="115"/>
    <w:p>
      <w:pPr>
        <w:ind w:right="100" w:firstLine="1559"/>
        <w:spacing w:after="0" w:line="267" w:lineRule="auto"/>
        <w:tabs>
          <w:tab w:leader="none" w:pos="1942" w:val="left"/>
        </w:tabs>
        <w:numPr>
          <w:ilvl w:val="0"/>
          <w:numId w:val="104"/>
        </w:numPr>
        <w:rPr>
          <w:rFonts w:ascii="Arial" w:cs="Arial" w:eastAsia="Arial" w:hAnsi="Arial"/>
          <w:sz w:val="18"/>
          <w:szCs w:val="18"/>
          <w:color w:val="010000"/>
        </w:rPr>
      </w:pPr>
      <w:r>
        <w:rPr>
          <w:rFonts w:ascii="Arial" w:cs="Arial" w:eastAsia="Arial" w:hAnsi="Arial"/>
          <w:sz w:val="18"/>
          <w:szCs w:val="18"/>
          <w:color w:val="010000"/>
        </w:rPr>
        <w:t>Debt incurred by Kodak International Finance Limited, a company organized and existing under the laws of England, in connection with short term working capital needs in an aggregate amount not to exceed $25,000,000 at any time outstanding,</w:t>
      </w:r>
    </w:p>
    <w:p>
      <w:pPr>
        <w:spacing w:after="0" w:line="72" w:lineRule="exact"/>
        <w:rPr>
          <w:rFonts w:ascii="Arial" w:cs="Arial" w:eastAsia="Arial" w:hAnsi="Arial"/>
          <w:sz w:val="18"/>
          <w:szCs w:val="18"/>
          <w:color w:val="010000"/>
        </w:rPr>
      </w:pPr>
    </w:p>
    <w:p>
      <w:pPr>
        <w:ind w:right="220" w:firstLine="1559"/>
        <w:spacing w:after="0" w:line="267" w:lineRule="auto"/>
        <w:tabs>
          <w:tab w:leader="none" w:pos="1992" w:val="left"/>
        </w:tabs>
        <w:numPr>
          <w:ilvl w:val="0"/>
          <w:numId w:val="104"/>
        </w:numPr>
        <w:rPr>
          <w:rFonts w:ascii="Arial" w:cs="Arial" w:eastAsia="Arial" w:hAnsi="Arial"/>
          <w:sz w:val="18"/>
          <w:szCs w:val="18"/>
          <w:color w:val="010000"/>
        </w:rPr>
      </w:pPr>
      <w:r>
        <w:rPr>
          <w:rFonts w:ascii="Arial" w:cs="Arial" w:eastAsia="Arial" w:hAnsi="Arial"/>
          <w:sz w:val="18"/>
          <w:szCs w:val="18"/>
          <w:color w:val="010000"/>
        </w:rPr>
        <w:t>Debt incurred by Restricted Subsidiaries organized under the laws of any jurisdiction outside of the United States in an aggregate amount not to exceed $150,000,000 at any time outstanding,</w:t>
      </w:r>
    </w:p>
    <w:p>
      <w:pPr>
        <w:spacing w:after="0" w:line="72" w:lineRule="exact"/>
        <w:rPr>
          <w:rFonts w:ascii="Arial" w:cs="Arial" w:eastAsia="Arial" w:hAnsi="Arial"/>
          <w:sz w:val="18"/>
          <w:szCs w:val="18"/>
          <w:color w:val="010000"/>
        </w:rPr>
      </w:pPr>
    </w:p>
    <w:p>
      <w:pPr>
        <w:ind w:left="2040" w:hanging="481"/>
        <w:spacing w:after="0"/>
        <w:tabs>
          <w:tab w:leader="none" w:pos="2040" w:val="left"/>
        </w:tabs>
        <w:numPr>
          <w:ilvl w:val="0"/>
          <w:numId w:val="104"/>
        </w:numPr>
        <w:rPr>
          <w:rFonts w:ascii="Arial" w:cs="Arial" w:eastAsia="Arial" w:hAnsi="Arial"/>
          <w:sz w:val="18"/>
          <w:szCs w:val="18"/>
          <w:color w:val="010000"/>
        </w:rPr>
      </w:pPr>
      <w:r>
        <w:rPr>
          <w:rFonts w:ascii="Arial" w:cs="Arial" w:eastAsia="Arial" w:hAnsi="Arial"/>
          <w:sz w:val="18"/>
          <w:szCs w:val="18"/>
          <w:color w:val="010000"/>
        </w:rPr>
        <w:t>[Reserved],</w:t>
      </w:r>
    </w:p>
    <w:p>
      <w:pPr>
        <w:spacing w:after="0" w:line="113" w:lineRule="exact"/>
        <w:rPr>
          <w:rFonts w:ascii="Arial" w:cs="Arial" w:eastAsia="Arial" w:hAnsi="Arial"/>
          <w:sz w:val="18"/>
          <w:szCs w:val="18"/>
          <w:color w:val="010000"/>
        </w:rPr>
      </w:pPr>
    </w:p>
    <w:p>
      <w:pPr>
        <w:ind w:left="1940" w:hanging="381"/>
        <w:spacing w:after="0"/>
        <w:tabs>
          <w:tab w:leader="none" w:pos="1940" w:val="left"/>
        </w:tabs>
        <w:numPr>
          <w:ilvl w:val="0"/>
          <w:numId w:val="104"/>
        </w:numPr>
        <w:rPr>
          <w:rFonts w:ascii="Arial" w:cs="Arial" w:eastAsia="Arial" w:hAnsi="Arial"/>
          <w:sz w:val="16"/>
          <w:szCs w:val="16"/>
          <w:color w:val="010000"/>
        </w:rPr>
      </w:pPr>
      <w:r>
        <w:rPr>
          <w:rFonts w:ascii="Arial" w:cs="Arial" w:eastAsia="Arial" w:hAnsi="Arial"/>
          <w:sz w:val="16"/>
          <w:szCs w:val="16"/>
          <w:color w:val="010000"/>
        </w:rPr>
        <w:t>Debt arising from the endorsement of negotiable instruments for deposit or collection or similar transactions in the ordinary course</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of business,</w:t>
      </w:r>
    </w:p>
    <w:p>
      <w:pPr>
        <w:spacing w:after="0" w:line="102" w:lineRule="exact"/>
        <w:rPr>
          <w:rFonts w:ascii="Arial" w:cs="Arial" w:eastAsia="Arial" w:hAnsi="Arial"/>
          <w:sz w:val="16"/>
          <w:szCs w:val="16"/>
          <w:color w:val="010000"/>
        </w:rPr>
      </w:pPr>
    </w:p>
    <w:p>
      <w:pPr>
        <w:ind w:left="1900" w:hanging="341"/>
        <w:spacing w:after="0"/>
        <w:tabs>
          <w:tab w:leader="none" w:pos="1900" w:val="left"/>
        </w:tabs>
        <w:numPr>
          <w:ilvl w:val="0"/>
          <w:numId w:val="104"/>
        </w:numPr>
        <w:rPr>
          <w:rFonts w:ascii="Arial" w:cs="Arial" w:eastAsia="Arial" w:hAnsi="Arial"/>
          <w:sz w:val="16"/>
          <w:szCs w:val="16"/>
          <w:color w:val="010000"/>
        </w:rPr>
      </w:pPr>
      <w:r>
        <w:rPr>
          <w:rFonts w:ascii="Arial" w:cs="Arial" w:eastAsia="Arial" w:hAnsi="Arial"/>
          <w:sz w:val="16"/>
          <w:szCs w:val="16"/>
          <w:color w:val="010000"/>
        </w:rPr>
        <w:t>Debt consisting of (A) Bank Product Obligations, and (B) Specified Secured Obligations, in each case existing from time to time,</w:t>
      </w:r>
    </w:p>
    <w:p>
      <w:pPr>
        <w:spacing w:after="0" w:line="136" w:lineRule="exact"/>
        <w:rPr>
          <w:rFonts w:ascii="Arial" w:cs="Arial" w:eastAsia="Arial" w:hAnsi="Arial"/>
          <w:sz w:val="16"/>
          <w:szCs w:val="16"/>
          <w:color w:val="010000"/>
        </w:rPr>
      </w:pPr>
    </w:p>
    <w:p>
      <w:pPr>
        <w:ind w:right="160" w:firstLine="1559"/>
        <w:spacing w:after="0" w:line="283" w:lineRule="auto"/>
        <w:tabs>
          <w:tab w:leader="none" w:pos="1942" w:val="left"/>
        </w:tabs>
        <w:numPr>
          <w:ilvl w:val="0"/>
          <w:numId w:val="104"/>
        </w:numPr>
        <w:rPr>
          <w:rFonts w:ascii="Arial" w:cs="Arial" w:eastAsia="Arial" w:hAnsi="Arial"/>
          <w:sz w:val="16"/>
          <w:szCs w:val="16"/>
          <w:color w:val="010000"/>
        </w:rPr>
      </w:pPr>
      <w:r>
        <w:rPr>
          <w:rFonts w:ascii="Arial" w:cs="Arial" w:eastAsia="Arial" w:hAnsi="Arial"/>
          <w:sz w:val="16"/>
          <w:szCs w:val="16"/>
          <w:color w:val="010000"/>
        </w:rPr>
        <w:t xml:space="preserve">Debt that is subordinated to the obligations of the Company under the Loan Documents on terms that are reasonably satisfactory to the Agent and the Required Lenders and any Permitted Refinancing thereof,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(i) the aggregate principal amount of such Debt shall not exceed $50,000,000 at any time outstanding, (ii) after giving effect thereto, the Company shall be in pro forma compliance with a Fixed Charge Coverage Ratio of</w:t>
      </w:r>
    </w:p>
    <w:p>
      <w:pPr>
        <w:ind w:right="20"/>
        <w:spacing w:after="0" w:line="254" w:lineRule="auto"/>
        <w:rPr>
          <w:rFonts w:ascii="Arial" w:cs="Arial" w:eastAsia="Arial" w:hAnsi="Arial"/>
          <w:sz w:val="16"/>
          <w:szCs w:val="16"/>
          <w:color w:val="010000"/>
        </w:rPr>
      </w:pPr>
      <w:r>
        <w:rPr>
          <w:rFonts w:ascii="Arial" w:cs="Arial" w:eastAsia="Arial" w:hAnsi="Arial"/>
          <w:sz w:val="18"/>
          <w:szCs w:val="18"/>
          <w:color w:val="010000"/>
        </w:rPr>
        <w:t>1.1:1.0, and (iii) Excess Availability shall equal or exceed 17.5% of the Revolving Credit Facility on a pro forma basis after giving effect to the issuance of such Debt,</w:t>
      </w:r>
    </w:p>
    <w:p>
      <w:pPr>
        <w:spacing w:after="0" w:line="84" w:lineRule="exact"/>
        <w:rPr>
          <w:rFonts w:ascii="Arial" w:cs="Arial" w:eastAsia="Arial" w:hAnsi="Arial"/>
          <w:sz w:val="16"/>
          <w:szCs w:val="16"/>
          <w:color w:val="010000"/>
        </w:rPr>
      </w:pPr>
    </w:p>
    <w:p>
      <w:pPr>
        <w:ind w:right="280" w:firstLine="1559"/>
        <w:spacing w:after="0" w:line="270" w:lineRule="auto"/>
        <w:tabs>
          <w:tab w:leader="none" w:pos="1992" w:val="left"/>
        </w:tabs>
        <w:numPr>
          <w:ilvl w:val="0"/>
          <w:numId w:val="104"/>
        </w:numPr>
        <w:rPr>
          <w:rFonts w:ascii="Arial" w:cs="Arial" w:eastAsia="Arial" w:hAnsi="Arial"/>
          <w:sz w:val="17"/>
          <w:szCs w:val="17"/>
          <w:color w:val="010000"/>
        </w:rPr>
      </w:pPr>
      <w:r>
        <w:rPr>
          <w:rFonts w:ascii="Arial" w:cs="Arial" w:eastAsia="Arial" w:hAnsi="Arial"/>
          <w:sz w:val="17"/>
          <w:szCs w:val="17"/>
          <w:color w:val="010000"/>
        </w:rPr>
        <w:t xml:space="preserve">Debt incurred by the Company or any of its Restricted Subsidiaries in respect of letters of credit, bank guarantees, supporting obligations, bankers’ acceptances, performance bonds, surety bonds, statutory bonds, export or import indemnities, customs and appeal bonds, warehouse receipts or similar instruments issued or created in the ordinary course of business, including in respect of workers compensation claims, health, disability or other employee benefits or property, casualty or liability insurance or self-insurance or other Debt with respect to reimbursement-type obligations regarding workers compensation claims;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no such Debt is Debt for Borrowed Money,</w:t>
      </w:r>
    </w:p>
    <w:p>
      <w:pPr>
        <w:spacing w:after="0" w:line="73" w:lineRule="exact"/>
        <w:rPr>
          <w:rFonts w:ascii="Arial" w:cs="Arial" w:eastAsia="Arial" w:hAnsi="Arial"/>
          <w:sz w:val="17"/>
          <w:szCs w:val="17"/>
          <w:color w:val="010000"/>
        </w:rPr>
      </w:pPr>
    </w:p>
    <w:p>
      <w:pPr>
        <w:ind w:right="240" w:firstLine="1559"/>
        <w:spacing w:after="0" w:line="257" w:lineRule="auto"/>
        <w:tabs>
          <w:tab w:leader="none" w:pos="2041" w:val="left"/>
        </w:tabs>
        <w:numPr>
          <w:ilvl w:val="0"/>
          <w:numId w:val="104"/>
        </w:numPr>
        <w:rPr>
          <w:rFonts w:ascii="Arial" w:cs="Arial" w:eastAsia="Arial" w:hAnsi="Arial"/>
          <w:sz w:val="18"/>
          <w:szCs w:val="18"/>
          <w:color w:val="010000"/>
        </w:rPr>
      </w:pPr>
      <w:r>
        <w:rPr>
          <w:rFonts w:ascii="Arial" w:cs="Arial" w:eastAsia="Arial" w:hAnsi="Arial"/>
          <w:sz w:val="18"/>
          <w:szCs w:val="18"/>
          <w:color w:val="010000"/>
        </w:rPr>
        <w:t>obligations in respect of performance, bid, appeal and surety bonds and performance and completion guarantees and similar obligations provided by the Company or any of its Restricted Subsidiaries or obligations in respect of letters of credit, bank guarantees or similar instruments related thereto, in each case in the ordinary course of business,</w:t>
      </w:r>
    </w:p>
    <w:p>
      <w:pPr>
        <w:spacing w:after="0" w:line="81" w:lineRule="exact"/>
        <w:rPr>
          <w:rFonts w:ascii="Arial" w:cs="Arial" w:eastAsia="Arial" w:hAnsi="Arial"/>
          <w:sz w:val="18"/>
          <w:szCs w:val="18"/>
          <w:color w:val="010000"/>
        </w:rPr>
      </w:pPr>
    </w:p>
    <w:p>
      <w:pPr>
        <w:ind w:right="20" w:firstLine="1559"/>
        <w:spacing w:after="0" w:line="279" w:lineRule="auto"/>
        <w:tabs>
          <w:tab w:leader="none" w:pos="2031" w:val="left"/>
        </w:tabs>
        <w:numPr>
          <w:ilvl w:val="0"/>
          <w:numId w:val="104"/>
        </w:numPr>
        <w:rPr>
          <w:rFonts w:ascii="Arial" w:cs="Arial" w:eastAsia="Arial" w:hAnsi="Arial"/>
          <w:sz w:val="17"/>
          <w:szCs w:val="17"/>
          <w:color w:val="010000"/>
        </w:rPr>
      </w:pPr>
      <w:r>
        <w:rPr>
          <w:rFonts w:ascii="Arial" w:cs="Arial" w:eastAsia="Arial" w:hAnsi="Arial"/>
          <w:sz w:val="17"/>
          <w:szCs w:val="17"/>
          <w:color w:val="010000"/>
        </w:rPr>
        <w:t>Exit Term Loan Debt in an aggregate principal and not to exceed $695,000,000 at any time outstanding plus any “Incremental Term Loans”, “Incremental Second Lien Term Loans”, “Incremental Equivalent Debt” and “Incremental Equivalent Second Lien Debt” (each as defined in the Exit First Lien Term Loan Agreement, as in effect on the Initial Closing Date) and any Permitted Refinancing thereof,</w:t>
      </w:r>
    </w:p>
    <w:p>
      <w:pPr>
        <w:spacing w:after="0" w:line="65" w:lineRule="exact"/>
        <w:rPr>
          <w:rFonts w:ascii="Arial" w:cs="Arial" w:eastAsia="Arial" w:hAnsi="Arial"/>
          <w:sz w:val="17"/>
          <w:szCs w:val="17"/>
          <w:color w:val="010000"/>
        </w:rPr>
      </w:pPr>
    </w:p>
    <w:p>
      <w:pPr>
        <w:ind w:firstLine="1559"/>
        <w:spacing w:after="0" w:line="254" w:lineRule="auto"/>
        <w:tabs>
          <w:tab w:leader="none" w:pos="1982" w:val="left"/>
        </w:tabs>
        <w:numPr>
          <w:ilvl w:val="0"/>
          <w:numId w:val="104"/>
        </w:numPr>
        <w:rPr>
          <w:rFonts w:ascii="Arial" w:cs="Arial" w:eastAsia="Arial" w:hAnsi="Arial"/>
          <w:sz w:val="18"/>
          <w:szCs w:val="18"/>
          <w:color w:val="010000"/>
        </w:rPr>
      </w:pPr>
      <w:r>
        <w:rPr>
          <w:rFonts w:ascii="Arial" w:cs="Arial" w:eastAsia="Arial" w:hAnsi="Arial"/>
          <w:sz w:val="18"/>
          <w:szCs w:val="18"/>
          <w:color w:val="010000"/>
        </w:rPr>
        <w:t>unsecured Debt consisting of guarantees of amounts owing by customers of the Company under equipment and vendor financing programs in an aggregate amount, when combined with Investments pursuant to Section 5.02(e)(xv), not to exceed at any time outstanding (A) the greater of (1) $75,000,000 and (2) 2.43% of Total Assets prior to the third anniversary of the Initial Closing Date, and (B) the greater of (1) $80,000,000 or (2) 2.59% of Total Assets thereafter,</w:t>
      </w:r>
    </w:p>
    <w:p>
      <w:pPr>
        <w:spacing w:after="0" w:line="83" w:lineRule="exact"/>
        <w:rPr>
          <w:rFonts w:ascii="Arial" w:cs="Arial" w:eastAsia="Arial" w:hAnsi="Arial"/>
          <w:sz w:val="18"/>
          <w:szCs w:val="18"/>
          <w:color w:val="010000"/>
        </w:rPr>
      </w:pPr>
    </w:p>
    <w:p>
      <w:pPr>
        <w:ind w:right="60" w:firstLine="1559"/>
        <w:spacing w:after="0" w:line="331" w:lineRule="auto"/>
        <w:tabs>
          <w:tab w:leader="none" w:pos="2031" w:val="left"/>
        </w:tabs>
        <w:numPr>
          <w:ilvl w:val="0"/>
          <w:numId w:val="104"/>
        </w:numPr>
        <w:rPr>
          <w:rFonts w:ascii="Arial" w:cs="Arial" w:eastAsia="Arial" w:hAnsi="Arial"/>
          <w:sz w:val="16"/>
          <w:szCs w:val="16"/>
          <w:color w:val="010000"/>
        </w:rPr>
      </w:pPr>
      <w:r>
        <w:rPr>
          <w:rFonts w:ascii="Arial" w:cs="Arial" w:eastAsia="Arial" w:hAnsi="Arial"/>
          <w:sz w:val="16"/>
          <w:szCs w:val="16"/>
          <w:color w:val="010000"/>
        </w:rPr>
        <w:t xml:space="preserve">Guarantees by the Company of Debt of any Restricted Subsidiary and by any Restricted Subsidiary of Debt of the Company or any other Restricted Subsidiary;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guarantees by any Loan Party of Debt of any Subsidiary that is not a Loan Party shall be subject to Section 5.02(i),</w:t>
      </w:r>
    </w:p>
    <w:p>
      <w:pPr>
        <w:spacing w:after="0" w:line="25" w:lineRule="exact"/>
        <w:rPr>
          <w:rFonts w:ascii="Arial" w:cs="Arial" w:eastAsia="Arial" w:hAnsi="Arial"/>
          <w:sz w:val="16"/>
          <w:szCs w:val="16"/>
          <w:color w:val="010000"/>
        </w:rPr>
      </w:pPr>
    </w:p>
    <w:p>
      <w:pPr>
        <w:ind w:left="2080" w:hanging="521"/>
        <w:spacing w:after="0"/>
        <w:tabs>
          <w:tab w:leader="none" w:pos="2080" w:val="left"/>
        </w:tabs>
        <w:numPr>
          <w:ilvl w:val="0"/>
          <w:numId w:val="104"/>
        </w:numPr>
        <w:rPr>
          <w:rFonts w:ascii="Arial" w:cs="Arial" w:eastAsia="Arial" w:hAnsi="Arial"/>
          <w:sz w:val="18"/>
          <w:szCs w:val="18"/>
          <w:color w:val="010000"/>
        </w:rPr>
      </w:pPr>
      <w:r>
        <w:rPr>
          <w:rFonts w:ascii="Arial" w:cs="Arial" w:eastAsia="Arial" w:hAnsi="Arial"/>
          <w:sz w:val="18"/>
          <w:szCs w:val="18"/>
          <w:color w:val="010000"/>
        </w:rPr>
        <w:t>[Reserved],</w:t>
      </w:r>
    </w:p>
    <w:p>
      <w:pPr>
        <w:spacing w:after="0" w:line="113" w:lineRule="exact"/>
        <w:rPr>
          <w:rFonts w:ascii="Arial" w:cs="Arial" w:eastAsia="Arial" w:hAnsi="Arial"/>
          <w:sz w:val="18"/>
          <w:szCs w:val="18"/>
          <w:color w:val="010000"/>
        </w:rPr>
      </w:pPr>
    </w:p>
    <w:p>
      <w:pPr>
        <w:ind w:left="2140" w:hanging="581"/>
        <w:spacing w:after="0"/>
        <w:tabs>
          <w:tab w:leader="none" w:pos="2140" w:val="left"/>
        </w:tabs>
        <w:numPr>
          <w:ilvl w:val="0"/>
          <w:numId w:val="104"/>
        </w:numPr>
        <w:rPr>
          <w:rFonts w:ascii="Arial" w:cs="Arial" w:eastAsia="Arial" w:hAnsi="Arial"/>
          <w:sz w:val="18"/>
          <w:szCs w:val="18"/>
          <w:color w:val="010000"/>
        </w:rPr>
      </w:pPr>
      <w:r>
        <w:rPr>
          <w:rFonts w:ascii="Arial" w:cs="Arial" w:eastAsia="Arial" w:hAnsi="Arial"/>
          <w:sz w:val="18"/>
          <w:szCs w:val="18"/>
          <w:color w:val="010000"/>
        </w:rPr>
        <w:t>[Reserved],</w:t>
      </w:r>
    </w:p>
    <w:p>
      <w:pPr>
        <w:spacing w:after="0" w:line="113" w:lineRule="exact"/>
        <w:rPr>
          <w:rFonts w:ascii="Arial" w:cs="Arial" w:eastAsia="Arial" w:hAnsi="Arial"/>
          <w:sz w:val="18"/>
          <w:szCs w:val="18"/>
          <w:color w:val="010000"/>
        </w:rPr>
      </w:pPr>
    </w:p>
    <w:p>
      <w:pPr>
        <w:ind w:right="180" w:firstLine="1559"/>
        <w:spacing w:after="0" w:line="267" w:lineRule="auto"/>
        <w:tabs>
          <w:tab w:leader="none" w:pos="2031" w:val="left"/>
        </w:tabs>
        <w:numPr>
          <w:ilvl w:val="0"/>
          <w:numId w:val="104"/>
        </w:numPr>
        <w:rPr>
          <w:rFonts w:ascii="Arial" w:cs="Arial" w:eastAsia="Arial" w:hAnsi="Arial"/>
          <w:sz w:val="18"/>
          <w:szCs w:val="18"/>
          <w:color w:val="010000"/>
        </w:rPr>
      </w:pPr>
      <w:r>
        <w:rPr>
          <w:rFonts w:ascii="Arial" w:cs="Arial" w:eastAsia="Arial" w:hAnsi="Arial"/>
          <w:sz w:val="18"/>
          <w:szCs w:val="18"/>
          <w:color w:val="010000"/>
        </w:rPr>
        <w:t>Debt representing deferred compensation or similar obligations to employees or directors of the Company or any of its Restricted Subsidiaries incurred in the ordinary course of business,</w:t>
      </w:r>
    </w:p>
    <w:p>
      <w:pPr>
        <w:spacing w:after="0" w:line="72" w:lineRule="exact"/>
        <w:rPr>
          <w:rFonts w:ascii="Arial" w:cs="Arial" w:eastAsia="Arial" w:hAnsi="Arial"/>
          <w:sz w:val="18"/>
          <w:szCs w:val="18"/>
          <w:color w:val="010000"/>
        </w:rPr>
      </w:pPr>
    </w:p>
    <w:p>
      <w:pPr>
        <w:ind w:right="240" w:firstLine="1559"/>
        <w:spacing w:after="0" w:line="254" w:lineRule="auto"/>
        <w:tabs>
          <w:tab w:leader="none" w:pos="1982" w:val="left"/>
        </w:tabs>
        <w:numPr>
          <w:ilvl w:val="0"/>
          <w:numId w:val="104"/>
        </w:numPr>
        <w:rPr>
          <w:rFonts w:ascii="Arial" w:cs="Arial" w:eastAsia="Arial" w:hAnsi="Arial"/>
          <w:sz w:val="18"/>
          <w:szCs w:val="18"/>
          <w:color w:val="010000"/>
        </w:rPr>
      </w:pPr>
      <w:r>
        <w:rPr>
          <w:rFonts w:ascii="Arial" w:cs="Arial" w:eastAsia="Arial" w:hAnsi="Arial"/>
          <w:sz w:val="18"/>
          <w:szCs w:val="18"/>
          <w:color w:val="010000"/>
        </w:rPr>
        <w:t xml:space="preserve">Debt consisting of promissory notes issued by the Company or any Restricted Subsidiary to current or former officers, managers, consultants, directors and employees, their respective estates, spouses or former spouses to finance the purchase or redemption of equity interests of the Company or any direct or indirect parent of the Company permitted hereunder;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the aggregate principal amount of such Debt shall not exceed $10,000,000 at any time outstanding,</w:t>
      </w:r>
    </w:p>
    <w:p>
      <w:pPr>
        <w:spacing w:after="0" w:line="83" w:lineRule="exact"/>
        <w:rPr>
          <w:rFonts w:ascii="Arial" w:cs="Arial" w:eastAsia="Arial" w:hAnsi="Arial"/>
          <w:sz w:val="18"/>
          <w:szCs w:val="18"/>
          <w:color w:val="010000"/>
        </w:rPr>
      </w:pPr>
    </w:p>
    <w:p>
      <w:pPr>
        <w:ind w:left="2040" w:hanging="481"/>
        <w:spacing w:after="0"/>
        <w:tabs>
          <w:tab w:leader="none" w:pos="2040" w:val="left"/>
        </w:tabs>
        <w:numPr>
          <w:ilvl w:val="0"/>
          <w:numId w:val="104"/>
        </w:numPr>
        <w:rPr>
          <w:rFonts w:ascii="Arial" w:cs="Arial" w:eastAsia="Arial" w:hAnsi="Arial"/>
          <w:sz w:val="17"/>
          <w:szCs w:val="17"/>
          <w:color w:val="010000"/>
        </w:rPr>
      </w:pPr>
      <w:r>
        <w:rPr>
          <w:rFonts w:ascii="Arial" w:cs="Arial" w:eastAsia="Arial" w:hAnsi="Arial"/>
          <w:sz w:val="17"/>
          <w:szCs w:val="17"/>
          <w:color w:val="010000"/>
        </w:rPr>
        <w:t>Debt of Foreign Subsidiaries in connection with Permitted Receivables Financing in an aggregate amount not to exceed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010000"/>
        </w:rPr>
        <w:t>$25,000,000 outstanding at any one time,</w:t>
      </w:r>
    </w:p>
    <w:p>
      <w:pPr>
        <w:spacing w:after="0" w:line="102" w:lineRule="exact"/>
        <w:rPr>
          <w:sz w:val="20"/>
          <w:szCs w:val="20"/>
          <w:color w:val="auto"/>
        </w:rPr>
      </w:pPr>
    </w:p>
    <w:p>
      <w:pPr>
        <w:ind w:left="2080" w:hanging="521"/>
        <w:spacing w:after="0"/>
        <w:tabs>
          <w:tab w:leader="none" w:pos="2080" w:val="left"/>
        </w:tabs>
        <w:numPr>
          <w:ilvl w:val="0"/>
          <w:numId w:val="105"/>
        </w:numPr>
        <w:rPr>
          <w:rFonts w:ascii="Arial" w:cs="Arial" w:eastAsia="Arial" w:hAnsi="Arial"/>
          <w:sz w:val="17"/>
          <w:szCs w:val="17"/>
          <w:color w:val="010000"/>
        </w:rPr>
      </w:pPr>
      <w:r>
        <w:rPr>
          <w:rFonts w:ascii="Arial" w:cs="Arial" w:eastAsia="Arial" w:hAnsi="Arial"/>
          <w:sz w:val="17"/>
          <w:szCs w:val="17"/>
          <w:color w:val="010000"/>
        </w:rPr>
        <w:t>additional Debt of Loan Parties and any Restricted Subsidiaries not to exceed $100,000,000 at any time outstanding and</w:t>
      </w:r>
    </w:p>
    <w:p>
      <w:pPr>
        <w:spacing w:after="0" w:line="124" w:lineRule="exact"/>
        <w:rPr>
          <w:rFonts w:ascii="Arial" w:cs="Arial" w:eastAsia="Arial" w:hAnsi="Arial"/>
          <w:sz w:val="17"/>
          <w:szCs w:val="17"/>
          <w:color w:val="010000"/>
        </w:rPr>
      </w:pPr>
    </w:p>
    <w:p>
      <w:pPr>
        <w:ind w:left="2140" w:hanging="581"/>
        <w:spacing w:after="0"/>
        <w:tabs>
          <w:tab w:leader="none" w:pos="2140" w:val="left"/>
        </w:tabs>
        <w:numPr>
          <w:ilvl w:val="0"/>
          <w:numId w:val="105"/>
        </w:numPr>
        <w:rPr>
          <w:rFonts w:ascii="Arial" w:cs="Arial" w:eastAsia="Arial" w:hAnsi="Arial"/>
          <w:sz w:val="18"/>
          <w:szCs w:val="18"/>
          <w:color w:val="010000"/>
        </w:rPr>
      </w:pPr>
      <w:r>
        <w:rPr>
          <w:rFonts w:ascii="Arial" w:cs="Arial" w:eastAsia="Arial" w:hAnsi="Arial"/>
          <w:sz w:val="18"/>
          <w:szCs w:val="18"/>
          <w:color w:val="010000"/>
        </w:rPr>
        <w:t>issuance of Disqualified Stock.</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16" w:name="page117"/>
    <w:bookmarkEnd w:id="116"/>
    <w:p>
      <w:pPr>
        <w:ind w:left="-20" w:right="20" w:firstLine="1041"/>
        <w:spacing w:after="0" w:line="257" w:lineRule="auto"/>
        <w:tabs>
          <w:tab w:leader="none" w:pos="1256"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010000"/>
        </w:rPr>
        <w:t>Sales and Other Transactions</w:t>
      </w:r>
      <w:r>
        <w:rPr>
          <w:rFonts w:ascii="Arial" w:cs="Arial" w:eastAsia="Arial" w:hAnsi="Arial"/>
          <w:sz w:val="18"/>
          <w:szCs w:val="18"/>
          <w:color w:val="010000"/>
        </w:rPr>
        <w:t xml:space="preserve">. Dispose of, or permit any of its Restricted Subsidiaries to Dispose of any assets, other than the following,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such action permitted by any clause below shall be permitted under this Section 5.02(e), notwithstanding that such action would not be permitted by any other clause:</w:t>
      </w:r>
    </w:p>
    <w:p>
      <w:pPr>
        <w:spacing w:after="0" w:line="81" w:lineRule="exact"/>
        <w:rPr>
          <w:rFonts w:ascii="Arial" w:cs="Arial" w:eastAsia="Arial" w:hAnsi="Arial"/>
          <w:sz w:val="18"/>
          <w:szCs w:val="18"/>
          <w:color w:val="010000"/>
        </w:rPr>
      </w:pPr>
    </w:p>
    <w:p>
      <w:pPr>
        <w:ind w:left="-20" w:right="520" w:firstLine="1559"/>
        <w:spacing w:after="0" w:line="267" w:lineRule="auto"/>
        <w:tabs>
          <w:tab w:leader="none" w:pos="1744" w:val="left"/>
        </w:tabs>
        <w:numPr>
          <w:ilvl w:val="1"/>
          <w:numId w:val="106"/>
        </w:numPr>
        <w:rPr>
          <w:rFonts w:ascii="Arial" w:cs="Arial" w:eastAsia="Arial" w:hAnsi="Arial"/>
          <w:sz w:val="18"/>
          <w:szCs w:val="18"/>
          <w:color w:val="010000"/>
        </w:rPr>
      </w:pPr>
      <w:r>
        <w:rPr>
          <w:rFonts w:ascii="Arial" w:cs="Arial" w:eastAsia="Arial" w:hAnsi="Arial"/>
          <w:sz w:val="18"/>
          <w:szCs w:val="18"/>
          <w:color w:val="010000"/>
        </w:rPr>
        <w:t>Dispositions of Inventory in the ordinary course of its business and the granting of any option or other right to purchase, lease or otherwise acquire the Inventory in the ordinary course of business,</w:t>
      </w:r>
    </w:p>
    <w:p>
      <w:pPr>
        <w:spacing w:after="0" w:line="72" w:lineRule="exact"/>
        <w:rPr>
          <w:rFonts w:ascii="Arial" w:cs="Arial" w:eastAsia="Arial" w:hAnsi="Arial"/>
          <w:sz w:val="18"/>
          <w:szCs w:val="18"/>
          <w:color w:val="010000"/>
        </w:rPr>
      </w:pPr>
    </w:p>
    <w:p>
      <w:pPr>
        <w:ind w:left="1800" w:hanging="261"/>
        <w:spacing w:after="0"/>
        <w:tabs>
          <w:tab w:leader="none" w:pos="1800" w:val="left"/>
        </w:tabs>
        <w:numPr>
          <w:ilvl w:val="1"/>
          <w:numId w:val="106"/>
        </w:numPr>
        <w:rPr>
          <w:rFonts w:ascii="Arial" w:cs="Arial" w:eastAsia="Arial" w:hAnsi="Arial"/>
          <w:sz w:val="18"/>
          <w:szCs w:val="18"/>
          <w:color w:val="010000"/>
        </w:rPr>
      </w:pPr>
      <w:r>
        <w:rPr>
          <w:rFonts w:ascii="Arial" w:cs="Arial" w:eastAsia="Arial" w:hAnsi="Arial"/>
          <w:sz w:val="18"/>
          <w:szCs w:val="18"/>
          <w:color w:val="010000"/>
        </w:rPr>
        <w:t>Dispositions of cash and Cash Equivalents in the ordinary course of business,</w:t>
      </w:r>
    </w:p>
    <w:p>
      <w:pPr>
        <w:spacing w:after="0" w:line="113" w:lineRule="exact"/>
        <w:rPr>
          <w:rFonts w:ascii="Arial" w:cs="Arial" w:eastAsia="Arial" w:hAnsi="Arial"/>
          <w:sz w:val="18"/>
          <w:szCs w:val="18"/>
          <w:color w:val="010000"/>
        </w:rPr>
      </w:pPr>
    </w:p>
    <w:p>
      <w:pPr>
        <w:ind w:left="1840" w:hanging="301"/>
        <w:spacing w:after="0"/>
        <w:tabs>
          <w:tab w:leader="none" w:pos="1840" w:val="left"/>
        </w:tabs>
        <w:numPr>
          <w:ilvl w:val="1"/>
          <w:numId w:val="106"/>
        </w:numPr>
        <w:rPr>
          <w:rFonts w:ascii="Arial" w:cs="Arial" w:eastAsia="Arial" w:hAnsi="Arial"/>
          <w:sz w:val="18"/>
          <w:szCs w:val="18"/>
          <w:color w:val="010000"/>
        </w:rPr>
      </w:pPr>
      <w:r>
        <w:rPr>
          <w:rFonts w:ascii="Arial" w:cs="Arial" w:eastAsia="Arial" w:hAnsi="Arial"/>
          <w:sz w:val="18"/>
          <w:szCs w:val="18"/>
          <w:color w:val="010000"/>
        </w:rPr>
        <w:t>Dispositions in a transaction authorized by Section 5.02(b),</w:t>
      </w:r>
    </w:p>
    <w:p>
      <w:pPr>
        <w:spacing w:after="0" w:line="113" w:lineRule="exact"/>
        <w:rPr>
          <w:rFonts w:ascii="Arial" w:cs="Arial" w:eastAsia="Arial" w:hAnsi="Arial"/>
          <w:sz w:val="18"/>
          <w:szCs w:val="18"/>
          <w:color w:val="010000"/>
        </w:rPr>
      </w:pPr>
    </w:p>
    <w:p>
      <w:pPr>
        <w:ind w:left="1840" w:hanging="301"/>
        <w:spacing w:after="0"/>
        <w:tabs>
          <w:tab w:leader="none" w:pos="1840" w:val="left"/>
        </w:tabs>
        <w:numPr>
          <w:ilvl w:val="1"/>
          <w:numId w:val="106"/>
        </w:numPr>
        <w:rPr>
          <w:rFonts w:ascii="Arial" w:cs="Arial" w:eastAsia="Arial" w:hAnsi="Arial"/>
          <w:sz w:val="18"/>
          <w:szCs w:val="18"/>
          <w:color w:val="010000"/>
        </w:rPr>
      </w:pPr>
      <w:r>
        <w:rPr>
          <w:rFonts w:ascii="Arial" w:cs="Arial" w:eastAsia="Arial" w:hAnsi="Arial"/>
          <w:sz w:val="18"/>
          <w:szCs w:val="18"/>
          <w:color w:val="010000"/>
        </w:rPr>
        <w:t>Dispositions of obsolete or worn out property or property no longer used or useful other than Eligible Equipment,</w:t>
      </w:r>
    </w:p>
    <w:p>
      <w:pPr>
        <w:spacing w:after="0" w:line="113" w:lineRule="exact"/>
        <w:rPr>
          <w:rFonts w:ascii="Arial" w:cs="Arial" w:eastAsia="Arial" w:hAnsi="Arial"/>
          <w:sz w:val="18"/>
          <w:szCs w:val="18"/>
          <w:color w:val="010000"/>
        </w:rPr>
      </w:pPr>
    </w:p>
    <w:p>
      <w:pPr>
        <w:ind w:left="1800" w:hanging="261"/>
        <w:spacing w:after="0"/>
        <w:tabs>
          <w:tab w:leader="none" w:pos="1800" w:val="left"/>
        </w:tabs>
        <w:numPr>
          <w:ilvl w:val="1"/>
          <w:numId w:val="106"/>
        </w:numPr>
        <w:rPr>
          <w:rFonts w:ascii="Arial" w:cs="Arial" w:eastAsia="Arial" w:hAnsi="Arial"/>
          <w:sz w:val="18"/>
          <w:szCs w:val="18"/>
          <w:color w:val="010000"/>
        </w:rPr>
      </w:pPr>
      <w:r>
        <w:rPr>
          <w:rFonts w:ascii="Arial" w:cs="Arial" w:eastAsia="Arial" w:hAnsi="Arial"/>
          <w:sz w:val="18"/>
          <w:szCs w:val="18"/>
          <w:color w:val="010000"/>
        </w:rPr>
        <w:t xml:space="preserve">Dispositions set forth on </w:t>
      </w:r>
      <w:r>
        <w:rPr>
          <w:rFonts w:ascii="Arial" w:cs="Arial" w:eastAsia="Arial" w:hAnsi="Arial"/>
          <w:sz w:val="18"/>
          <w:szCs w:val="18"/>
          <w:u w:val="single" w:color="auto"/>
          <w:color w:val="010000"/>
        </w:rPr>
        <w:t>Schedule 5.02(e</w:t>
      </w:r>
      <w:r>
        <w:rPr>
          <w:rFonts w:ascii="Arial" w:cs="Arial" w:eastAsia="Arial" w:hAnsi="Arial"/>
          <w:sz w:val="18"/>
          <w:szCs w:val="18"/>
          <w:color w:val="010000"/>
        </w:rPr>
        <w:t>),</w:t>
      </w:r>
    </w:p>
    <w:p>
      <w:pPr>
        <w:spacing w:after="0" w:line="113" w:lineRule="exact"/>
        <w:rPr>
          <w:rFonts w:ascii="Arial" w:cs="Arial" w:eastAsia="Arial" w:hAnsi="Arial"/>
          <w:sz w:val="18"/>
          <w:szCs w:val="18"/>
          <w:color w:val="010000"/>
        </w:rPr>
      </w:pPr>
    </w:p>
    <w:p>
      <w:pPr>
        <w:ind w:left="-20" w:right="20" w:firstLine="1559"/>
        <w:spacing w:after="0" w:line="267" w:lineRule="auto"/>
        <w:tabs>
          <w:tab w:leader="none" w:pos="1833" w:val="left"/>
        </w:tabs>
        <w:numPr>
          <w:ilvl w:val="1"/>
          <w:numId w:val="106"/>
        </w:numPr>
        <w:rPr>
          <w:rFonts w:ascii="Arial" w:cs="Arial" w:eastAsia="Arial" w:hAnsi="Arial"/>
          <w:sz w:val="18"/>
          <w:szCs w:val="18"/>
          <w:color w:val="010000"/>
        </w:rPr>
      </w:pPr>
      <w:r>
        <w:rPr>
          <w:rFonts w:ascii="Arial" w:cs="Arial" w:eastAsia="Arial" w:hAnsi="Arial"/>
          <w:sz w:val="18"/>
          <w:szCs w:val="18"/>
          <w:color w:val="010000"/>
        </w:rPr>
        <w:t xml:space="preserve">Dispositions of assets among the Company and its Subsidiaries,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any such sales, transfers or Dispositions of assets shall be made in compliance with Section 5.01(k),</w:t>
      </w:r>
    </w:p>
    <w:p>
      <w:pPr>
        <w:spacing w:after="0" w:line="72" w:lineRule="exact"/>
        <w:rPr>
          <w:rFonts w:ascii="Arial" w:cs="Arial" w:eastAsia="Arial" w:hAnsi="Arial"/>
          <w:sz w:val="18"/>
          <w:szCs w:val="18"/>
          <w:color w:val="010000"/>
        </w:rPr>
      </w:pPr>
    </w:p>
    <w:p>
      <w:pPr>
        <w:ind w:left="-20" w:right="220" w:firstLine="1559"/>
        <w:spacing w:after="0" w:line="269" w:lineRule="auto"/>
        <w:tabs>
          <w:tab w:leader="none" w:pos="1883" w:val="left"/>
        </w:tabs>
        <w:numPr>
          <w:ilvl w:val="1"/>
          <w:numId w:val="106"/>
        </w:numPr>
        <w:rPr>
          <w:rFonts w:ascii="Arial" w:cs="Arial" w:eastAsia="Arial" w:hAnsi="Arial"/>
          <w:sz w:val="17"/>
          <w:szCs w:val="17"/>
          <w:color w:val="010000"/>
        </w:rPr>
      </w:pPr>
      <w:r>
        <w:rPr>
          <w:rFonts w:ascii="Arial" w:cs="Arial" w:eastAsia="Arial" w:hAnsi="Arial"/>
          <w:sz w:val="17"/>
          <w:szCs w:val="17"/>
          <w:color w:val="010000"/>
        </w:rPr>
        <w:t xml:space="preserve">other Dispositions of assets,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(x) if such assets (other than machinery or equipment) constitute Collateral that is included in the Borrowing Base, the Company shall provide a Borrowing Base Certificate to the Agent reflecting the revised Borrowing Base giving effect to such sale, conveyance, transfer, lease or other Disposition or (y) if any such property or assets are comprised of machinery and equipment which is Eligible Equipment, then the Company shall deliver to the Agent a pro forma Borrowing Base Certificate giving effect to any such Dispositions prior to such occurrence, and evidencing that no Overadvance shall exist after giving effect to any such Disposition, and a certificate to the Agent indicating which assets constituting Eligible Equipment and other Collateral are being Disposed, and</w:t>
      </w:r>
    </w:p>
    <w:p>
      <w:pPr>
        <w:spacing w:after="0" w:line="72" w:lineRule="exact"/>
        <w:rPr>
          <w:rFonts w:ascii="Arial" w:cs="Arial" w:eastAsia="Arial" w:hAnsi="Arial"/>
          <w:sz w:val="17"/>
          <w:szCs w:val="17"/>
          <w:color w:val="010000"/>
        </w:rPr>
      </w:pPr>
    </w:p>
    <w:p>
      <w:pPr>
        <w:ind w:left="1940" w:hanging="401"/>
        <w:spacing w:after="0"/>
        <w:tabs>
          <w:tab w:leader="none" w:pos="1940" w:val="left"/>
        </w:tabs>
        <w:numPr>
          <w:ilvl w:val="1"/>
          <w:numId w:val="106"/>
        </w:numPr>
        <w:rPr>
          <w:rFonts w:ascii="Arial" w:cs="Arial" w:eastAsia="Arial" w:hAnsi="Arial"/>
          <w:sz w:val="17"/>
          <w:szCs w:val="17"/>
          <w:color w:val="010000"/>
        </w:rPr>
      </w:pPr>
      <w:r>
        <w:rPr>
          <w:rFonts w:ascii="Arial" w:cs="Arial" w:eastAsia="Arial" w:hAnsi="Arial"/>
          <w:sz w:val="17"/>
          <w:szCs w:val="17"/>
          <w:color w:val="010000"/>
        </w:rPr>
        <w:t>Dispositions (including transfers contemplated under the KPP Settlement Agreement) authorized under the Chapter 11 Plan.</w:t>
      </w:r>
    </w:p>
    <w:p>
      <w:pPr>
        <w:spacing w:after="0" w:line="124" w:lineRule="exact"/>
        <w:rPr>
          <w:rFonts w:ascii="Arial" w:cs="Arial" w:eastAsia="Arial" w:hAnsi="Arial"/>
          <w:sz w:val="17"/>
          <w:szCs w:val="17"/>
          <w:color w:val="010000"/>
        </w:rPr>
      </w:pPr>
    </w:p>
    <w:p>
      <w:pPr>
        <w:ind w:left="-20" w:firstLine="1041"/>
        <w:spacing w:after="0" w:line="282" w:lineRule="auto"/>
        <w:tabs>
          <w:tab w:leader="none" w:pos="1236" w:val="left"/>
        </w:tabs>
        <w:numPr>
          <w:ilvl w:val="0"/>
          <w:numId w:val="106"/>
        </w:numPr>
        <w:rPr>
          <w:rFonts w:ascii="Arial" w:cs="Arial" w:eastAsia="Arial" w:hAnsi="Arial"/>
          <w:sz w:val="16"/>
          <w:szCs w:val="16"/>
          <w:color w:val="010000"/>
        </w:rPr>
      </w:pPr>
      <w:r>
        <w:rPr>
          <w:rFonts w:ascii="Arial" w:cs="Arial" w:eastAsia="Arial" w:hAnsi="Arial"/>
          <w:sz w:val="16"/>
          <w:szCs w:val="16"/>
          <w:u w:val="single" w:color="auto"/>
          <w:color w:val="010000"/>
        </w:rPr>
        <w:t>Payment Restrictions Affecting Subsidiaries</w:t>
      </w:r>
      <w:r>
        <w:rPr>
          <w:rFonts w:ascii="Arial" w:cs="Arial" w:eastAsia="Arial" w:hAnsi="Arial"/>
          <w:sz w:val="16"/>
          <w:szCs w:val="16"/>
          <w:color w:val="010000"/>
        </w:rPr>
        <w:t xml:space="preserve">. Directly or indirectly enter or permit a Restricted Subsidiary to enter into any agreement or arrangement limiting the ability of any of its Restricted Subsidiaries to declare or pay dividends or other distributions in respect of its equity interests or repay or prepay any Debt owed to, make loans or advances to, or otherwise transfer assets to or make Investments in, the Company or any Restricted Subsidiary of the Company (whether through a covenant restricting dividends, loans, asset transfers or investments, a financial covenant or otherwise), except (i) as provided in this Agreement, (ii) any agreement or instrument evidencing Debt existing on the Closing Date (as amended, modified, supplemented or replaced, or subject to a Permitted Refinancing, in each case to the extent such restrictions are not expanded in scope in any material respect), (iii) any agreement in effect at the time a Person first became a Restricted Subsidiary of the Company, so long as such agreement was not entered into solely in contemplation of such Person becoming a Subsidiary of the Company; (iv) specific property encumbered to secure payment of particular Debt to be sold pursuant to an executed agreement with respect to a Disposition or intellectual property license permitted hereunder; (v) restrictions set forth in the documents governing the Exit Term Loan Debt and in the documents governing other existing Debt as set forth on </w:t>
      </w:r>
      <w:r>
        <w:rPr>
          <w:rFonts w:ascii="Arial" w:cs="Arial" w:eastAsia="Arial" w:hAnsi="Arial"/>
          <w:sz w:val="16"/>
          <w:szCs w:val="16"/>
          <w:u w:val="single" w:color="auto"/>
          <w:color w:val="010000"/>
        </w:rPr>
        <w:t>Schedule 5.02(d)</w:t>
      </w:r>
      <w:r>
        <w:rPr>
          <w:rFonts w:ascii="Arial" w:cs="Arial" w:eastAsia="Arial" w:hAnsi="Arial"/>
          <w:sz w:val="16"/>
          <w:szCs w:val="16"/>
          <w:color w:val="010000"/>
        </w:rPr>
        <w:t>; (vi) by reason of customary provisions restricting assignments, licenses, subletting or other transfers contained in leases, licenses, joint venture agreements, purchase and sale or merger agreements and other similar agreements entered into in the ordinary course of business so long as such restrictions do not extend to assets other than those that are the subject of such lease, license or other agreement, as the case may be; or (vii) customary restrictions in connection with financings by Foreign Subsidiaries.</w:t>
      </w:r>
    </w:p>
    <w:p>
      <w:pPr>
        <w:spacing w:after="0" w:line="69" w:lineRule="exact"/>
        <w:rPr>
          <w:rFonts w:ascii="Arial" w:cs="Arial" w:eastAsia="Arial" w:hAnsi="Arial"/>
          <w:sz w:val="16"/>
          <w:szCs w:val="16"/>
          <w:color w:val="010000"/>
        </w:rPr>
      </w:pPr>
    </w:p>
    <w:p>
      <w:pPr>
        <w:ind w:left="-20" w:right="180" w:firstLine="1041"/>
        <w:spacing w:after="0" w:line="257" w:lineRule="auto"/>
        <w:tabs>
          <w:tab w:leader="none" w:pos="1266"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010000"/>
        </w:rPr>
        <w:t>Change in Nature of Business</w:t>
      </w:r>
      <w:r>
        <w:rPr>
          <w:rFonts w:ascii="Arial" w:cs="Arial" w:eastAsia="Arial" w:hAnsi="Arial"/>
          <w:sz w:val="18"/>
          <w:szCs w:val="18"/>
          <w:color w:val="010000"/>
        </w:rPr>
        <w:t>. Make, or permit any of its Restricted Subsidiaries to make, any material change in the nature of the business as carried on or as contemplated to be carried on by the Company and its Restricted Subsidiaries taken as a whole at the Closing Date or as reflected in the Chapter 11 Plan.</w:t>
      </w:r>
    </w:p>
    <w:p>
      <w:pPr>
        <w:spacing w:after="0" w:line="81" w:lineRule="exact"/>
        <w:rPr>
          <w:rFonts w:ascii="Arial" w:cs="Arial" w:eastAsia="Arial" w:hAnsi="Arial"/>
          <w:sz w:val="18"/>
          <w:szCs w:val="18"/>
          <w:color w:val="010000"/>
        </w:rPr>
      </w:pPr>
    </w:p>
    <w:p>
      <w:pPr>
        <w:ind w:left="-20" w:right="100" w:firstLine="1041"/>
        <w:spacing w:after="0" w:line="283" w:lineRule="auto"/>
        <w:tabs>
          <w:tab w:leader="none" w:pos="1266" w:val="left"/>
        </w:tabs>
        <w:numPr>
          <w:ilvl w:val="0"/>
          <w:numId w:val="106"/>
        </w:numPr>
        <w:rPr>
          <w:rFonts w:ascii="Arial" w:cs="Arial" w:eastAsia="Arial" w:hAnsi="Arial"/>
          <w:sz w:val="16"/>
          <w:szCs w:val="16"/>
          <w:color w:val="010000"/>
        </w:rPr>
      </w:pPr>
      <w:r>
        <w:rPr>
          <w:rFonts w:ascii="Arial" w:cs="Arial" w:eastAsia="Arial" w:hAnsi="Arial"/>
          <w:sz w:val="16"/>
          <w:szCs w:val="16"/>
          <w:u w:val="single" w:color="auto"/>
          <w:color w:val="010000"/>
        </w:rPr>
        <w:t>Dividends and Other Payments</w:t>
      </w:r>
      <w:r>
        <w:rPr>
          <w:rFonts w:ascii="Arial" w:cs="Arial" w:eastAsia="Arial" w:hAnsi="Arial"/>
          <w:sz w:val="16"/>
          <w:szCs w:val="16"/>
          <w:color w:val="010000"/>
        </w:rPr>
        <w:t>. Declare or make any dividend payment or other distribution of assets, properties, cash, rights, obligations or securities on account of any shares of any class of capital stock of the Company, or purchase, redeem or otherwise acquire for value (or permit any of its Restricted Subsidiaries to do so) any shares of any class of capital stock of the Company or any warrants, rights or options to acquire any such shares, now or hereafter outstanding (a “</w:t>
      </w:r>
      <w:r>
        <w:rPr>
          <w:rFonts w:ascii="Arial" w:cs="Arial" w:eastAsia="Arial" w:hAnsi="Arial"/>
          <w:sz w:val="16"/>
          <w:szCs w:val="16"/>
          <w:u w:val="single" w:color="auto"/>
          <w:color w:val="010000"/>
        </w:rPr>
        <w:t>Restricted Payment</w:t>
      </w:r>
      <w:r>
        <w:rPr>
          <w:rFonts w:ascii="Arial" w:cs="Arial" w:eastAsia="Arial" w:hAnsi="Arial"/>
          <w:sz w:val="16"/>
          <w:szCs w:val="16"/>
          <w:color w:val="010000"/>
        </w:rPr>
        <w:t>”), except that the Company may (i) declare and make any dividend payment or other distribution payable in common stock of the Company, (ii) purchase, redeem or otherwise acquire shares of its common stock or warrants, rights or options to acquire any such shares with the proceeds received from the substantially concurrent issue of new shares of its common stock, (iii) repurchases of equity interests (A) constituting fractional shares or (B) deemed to occur upon exercise of stock options or warrants or other securities convertible or exchangeable into equity interests if such equity interests represent all or a portion of the exercise price of such options or warrants, (iv) declare or pay cash dividends to its stockholders and purchase, redeem or otherwise acquire shares of its capital stock (including Disqualified Stock) or warrants, rights or options to acquire any such shares for cash so long as: (A) as of the date of any such transaction or payment, and after giving effect thereto, no Default shall have occurred and be continuing or would result therefrom, (B) as of the date of any such transaction or payment, the Excess Availability as of such date and at any time during the immediately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66675</wp:posOffset>
            </wp:positionV>
            <wp:extent cx="729043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447" w:right="239" w:bottom="1440" w:gutter="0" w:footer="0" w:header="0"/>
        </w:sectPr>
      </w:pPr>
    </w:p>
    <w:bookmarkStart w:id="117" w:name="page118"/>
    <w:bookmarkEnd w:id="117"/>
    <w:p>
      <w:pPr>
        <w:spacing w:after="0" w:line="280" w:lineRule="auto"/>
        <w:rPr>
          <w:sz w:val="20"/>
          <w:szCs w:val="20"/>
          <w:color w:val="auto"/>
        </w:rPr>
      </w:pPr>
      <w:r>
        <w:rPr>
          <w:rFonts w:ascii="Arial" w:cs="Arial" w:eastAsia="Arial" w:hAnsi="Arial"/>
          <w:sz w:val="16"/>
          <w:szCs w:val="16"/>
          <w:color w:val="010000"/>
        </w:rPr>
        <w:t>preceding 30 consecutive day period shall have been not less than 20% of the Revolving Credit Facility, and after giving effect to the transaction or payment, on a pro forma basis using the most recent calculation of the Borrowing Base immediately prior to any such payment, the Excess Availability as of such date and at any time during the immediately preceding 30 consecutive day period shall be not less than 20% of the Revolving Credit Facility, (C) as of the date of any such transaction or payment, and after giving effect thereto, on a pro forma basis, the Fixed Charge Coverage Ratio for the immediately preceding 12 consecutive month period ending on the last day of the fiscal month prior to the date of such payment for which Agent has received financial statements shall be at least 1.00 to 1.00, and (D) Agent shall have received a certificate of an authorized officer of Company certifying as to compliance with the preceding clauses and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10000"/>
        </w:rPr>
        <w:t>demonstrating (in reasonable detail) the calculations required thereby, and (v) other Restricted Payments in an amount not to exceed in the aggregate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010000"/>
        </w:rPr>
        <w:t xml:space="preserve">$5,000,000;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as of the date of any such payment, and after giving effect thereto, no Default shall have occurred and be continuing or would result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010000"/>
        </w:rPr>
        <w:t>therefrom. For the avoidance of doubt, the Company shall be permitted to issues shares of its common stock in connection with any conversion of its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010000"/>
        </w:rPr>
        <w:t>convertible Debt, upon the exercise of options or warrants or otherwise.</w:t>
      </w:r>
    </w:p>
    <w:p>
      <w:pPr>
        <w:spacing w:after="0" w:line="102" w:lineRule="exact"/>
        <w:rPr>
          <w:sz w:val="20"/>
          <w:szCs w:val="20"/>
          <w:color w:val="auto"/>
        </w:rPr>
      </w:pPr>
    </w:p>
    <w:p>
      <w:pPr>
        <w:jc w:val="both"/>
        <w:ind w:right="40" w:firstLine="1041"/>
        <w:spacing w:after="0" w:line="257" w:lineRule="auto"/>
        <w:tabs>
          <w:tab w:leader="none" w:pos="1246" w:val="left"/>
        </w:tabs>
        <w:numPr>
          <w:ilvl w:val="1"/>
          <w:numId w:val="107"/>
        </w:numPr>
        <w:rPr>
          <w:rFonts w:ascii="Arial" w:cs="Arial" w:eastAsia="Arial" w:hAnsi="Arial"/>
          <w:sz w:val="18"/>
          <w:szCs w:val="18"/>
          <w:color w:val="010000"/>
        </w:rPr>
      </w:pPr>
      <w:r>
        <w:rPr>
          <w:rFonts w:ascii="Arial" w:cs="Arial" w:eastAsia="Arial" w:hAnsi="Arial"/>
          <w:sz w:val="18"/>
          <w:szCs w:val="18"/>
          <w:u w:val="single" w:color="auto"/>
          <w:color w:val="010000"/>
        </w:rPr>
        <w:t>Investments in Other Persons</w:t>
      </w:r>
      <w:r>
        <w:rPr>
          <w:rFonts w:ascii="Arial" w:cs="Arial" w:eastAsia="Arial" w:hAnsi="Arial"/>
          <w:sz w:val="18"/>
          <w:szCs w:val="18"/>
          <w:color w:val="010000"/>
        </w:rPr>
        <w:t>. Make, or permit any of its Restricted Subsidiaries to make, any Investment in any Person, except the following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any Investment permitted by any clause below shall be permitted under this Section 5.02(i), notwithstanding that such Investment would not be permitted by any other clause):</w:t>
      </w:r>
    </w:p>
    <w:p>
      <w:pPr>
        <w:spacing w:after="0" w:line="81" w:lineRule="exact"/>
        <w:rPr>
          <w:rFonts w:ascii="Arial" w:cs="Arial" w:eastAsia="Arial" w:hAnsi="Arial"/>
          <w:sz w:val="18"/>
          <w:szCs w:val="18"/>
          <w:color w:val="010000"/>
        </w:rPr>
      </w:pPr>
    </w:p>
    <w:p>
      <w:pPr>
        <w:ind w:right="80" w:firstLine="1559"/>
        <w:spacing w:after="0" w:line="285" w:lineRule="auto"/>
        <w:tabs>
          <w:tab w:leader="none" w:pos="1764" w:val="left"/>
        </w:tabs>
        <w:numPr>
          <w:ilvl w:val="2"/>
          <w:numId w:val="107"/>
        </w:numPr>
        <w:rPr>
          <w:rFonts w:ascii="Arial" w:cs="Arial" w:eastAsia="Arial" w:hAnsi="Arial"/>
          <w:sz w:val="16"/>
          <w:szCs w:val="16"/>
          <w:color w:val="010000"/>
        </w:rPr>
      </w:pPr>
      <w:r>
        <w:rPr>
          <w:rFonts w:ascii="Arial" w:cs="Arial" w:eastAsia="Arial" w:hAnsi="Arial"/>
          <w:sz w:val="16"/>
          <w:szCs w:val="16"/>
          <w:color w:val="010000"/>
        </w:rPr>
        <w:t>(A) Investments by the Company and its Restricted Subsidiaries in their Subsidiaries outstanding on the Closing Date, (B) additional Investments by the Company and its Restricted Subsidiaries in the Company or the Loan Parties, (C) Investments by any Loan Party in another Loan Party and</w:t>
      </w:r>
    </w:p>
    <w:p>
      <w:pPr>
        <w:ind w:left="280" w:hanging="273"/>
        <w:spacing w:after="0"/>
        <w:tabs>
          <w:tab w:leader="none" w:pos="280" w:val="left"/>
        </w:tabs>
        <w:numPr>
          <w:ilvl w:val="0"/>
          <w:numId w:val="108"/>
        </w:numPr>
        <w:rPr>
          <w:rFonts w:ascii="Arial" w:cs="Arial" w:eastAsia="Arial" w:hAnsi="Arial"/>
          <w:sz w:val="16"/>
          <w:szCs w:val="16"/>
          <w:color w:val="010000"/>
        </w:rPr>
      </w:pPr>
      <w:r>
        <w:rPr>
          <w:rFonts w:ascii="Arial" w:cs="Arial" w:eastAsia="Arial" w:hAnsi="Arial"/>
          <w:sz w:val="16"/>
          <w:szCs w:val="16"/>
          <w:color w:val="010000"/>
        </w:rPr>
        <w:t>additional Investments by Restricted Subsidiaries of the Company that are not Loan Parties in other Restricted Subsidiaries that are not Loan Parties;</w:t>
      </w:r>
    </w:p>
    <w:p>
      <w:pPr>
        <w:spacing w:after="0" w:line="125" w:lineRule="exact"/>
        <w:rPr>
          <w:rFonts w:ascii="Arial" w:cs="Arial" w:eastAsia="Arial" w:hAnsi="Arial"/>
          <w:sz w:val="16"/>
          <w:szCs w:val="16"/>
          <w:color w:val="010000"/>
        </w:rPr>
      </w:pPr>
    </w:p>
    <w:p>
      <w:pPr>
        <w:ind w:right="100" w:firstLine="1559"/>
        <w:spacing w:after="0" w:line="267" w:lineRule="auto"/>
        <w:tabs>
          <w:tab w:leader="none" w:pos="1814" w:val="left"/>
        </w:tabs>
        <w:numPr>
          <w:ilvl w:val="2"/>
          <w:numId w:val="108"/>
        </w:numPr>
        <w:rPr>
          <w:rFonts w:ascii="Arial" w:cs="Arial" w:eastAsia="Arial" w:hAnsi="Arial"/>
          <w:sz w:val="18"/>
          <w:szCs w:val="18"/>
          <w:color w:val="010000"/>
        </w:rPr>
      </w:pPr>
      <w:r>
        <w:rPr>
          <w:rFonts w:ascii="Arial" w:cs="Arial" w:eastAsia="Arial" w:hAnsi="Arial"/>
          <w:sz w:val="18"/>
          <w:szCs w:val="18"/>
          <w:color w:val="010000"/>
        </w:rPr>
        <w:t>loans and advances to employees in the ordinary course of the business of the Company and its Subsidiaries in an aggregate principal amount not to exceed $10,000,000;</w:t>
      </w:r>
    </w:p>
    <w:p>
      <w:pPr>
        <w:spacing w:after="0" w:line="72" w:lineRule="exact"/>
        <w:rPr>
          <w:rFonts w:ascii="Arial" w:cs="Arial" w:eastAsia="Arial" w:hAnsi="Arial"/>
          <w:sz w:val="18"/>
          <w:szCs w:val="18"/>
          <w:color w:val="010000"/>
        </w:rPr>
      </w:pPr>
    </w:p>
    <w:p>
      <w:pPr>
        <w:ind w:left="1860" w:hanging="301"/>
        <w:spacing w:after="0"/>
        <w:tabs>
          <w:tab w:leader="none" w:pos="1860" w:val="left"/>
        </w:tabs>
        <w:numPr>
          <w:ilvl w:val="2"/>
          <w:numId w:val="108"/>
        </w:numPr>
        <w:rPr>
          <w:rFonts w:ascii="Arial" w:cs="Arial" w:eastAsia="Arial" w:hAnsi="Arial"/>
          <w:sz w:val="18"/>
          <w:szCs w:val="18"/>
          <w:color w:val="010000"/>
        </w:rPr>
      </w:pPr>
      <w:r>
        <w:rPr>
          <w:rFonts w:ascii="Arial" w:cs="Arial" w:eastAsia="Arial" w:hAnsi="Arial"/>
          <w:sz w:val="18"/>
          <w:szCs w:val="18"/>
          <w:color w:val="010000"/>
        </w:rPr>
        <w:t>[Reserved],</w:t>
      </w:r>
    </w:p>
    <w:p>
      <w:pPr>
        <w:spacing w:after="0" w:line="113" w:lineRule="exact"/>
        <w:rPr>
          <w:rFonts w:ascii="Arial" w:cs="Arial" w:eastAsia="Arial" w:hAnsi="Arial"/>
          <w:sz w:val="18"/>
          <w:szCs w:val="18"/>
          <w:color w:val="010000"/>
        </w:rPr>
      </w:pPr>
    </w:p>
    <w:p>
      <w:pPr>
        <w:ind w:right="120" w:firstLine="1559"/>
        <w:spacing w:after="0" w:line="267" w:lineRule="auto"/>
        <w:tabs>
          <w:tab w:leader="none" w:pos="1853" w:val="left"/>
        </w:tabs>
        <w:numPr>
          <w:ilvl w:val="2"/>
          <w:numId w:val="108"/>
        </w:numPr>
        <w:rPr>
          <w:rFonts w:ascii="Arial" w:cs="Arial" w:eastAsia="Arial" w:hAnsi="Arial"/>
          <w:sz w:val="18"/>
          <w:szCs w:val="18"/>
          <w:color w:val="010000"/>
        </w:rPr>
      </w:pPr>
      <w:r>
        <w:rPr>
          <w:rFonts w:ascii="Arial" w:cs="Arial" w:eastAsia="Arial" w:hAnsi="Arial"/>
          <w:sz w:val="18"/>
          <w:szCs w:val="18"/>
          <w:color w:val="010000"/>
        </w:rPr>
        <w:t>Investments in Hedging Agreements designed to hedge against fluctuations in interest rates, foreign exchange rates or in commodity prices incurred in the ordinary course of business;</w:t>
      </w:r>
    </w:p>
    <w:p>
      <w:pPr>
        <w:spacing w:after="0" w:line="72" w:lineRule="exact"/>
        <w:rPr>
          <w:rFonts w:ascii="Arial" w:cs="Arial" w:eastAsia="Arial" w:hAnsi="Arial"/>
          <w:sz w:val="18"/>
          <w:szCs w:val="18"/>
          <w:color w:val="010000"/>
        </w:rPr>
      </w:pPr>
    </w:p>
    <w:p>
      <w:pPr>
        <w:ind w:right="400" w:firstLine="1559"/>
        <w:spacing w:after="0" w:line="257" w:lineRule="auto"/>
        <w:tabs>
          <w:tab w:leader="none" w:pos="1804" w:val="left"/>
        </w:tabs>
        <w:numPr>
          <w:ilvl w:val="2"/>
          <w:numId w:val="108"/>
        </w:numPr>
        <w:rPr>
          <w:rFonts w:ascii="Arial" w:cs="Arial" w:eastAsia="Arial" w:hAnsi="Arial"/>
          <w:sz w:val="18"/>
          <w:szCs w:val="18"/>
          <w:color w:val="010000"/>
        </w:rPr>
      </w:pPr>
      <w:r>
        <w:rPr>
          <w:rFonts w:ascii="Arial" w:cs="Arial" w:eastAsia="Arial" w:hAnsi="Arial"/>
          <w:sz w:val="18"/>
          <w:szCs w:val="18"/>
          <w:color w:val="010000"/>
        </w:rPr>
        <w:t>Investments received in settlement of claims against another Person in connection with (A) a bankruptcy proceeding against such Person, (B) accounts receivable arising from or trade credit granted to, in the ordinary course of business, a financially troubled Account Debtor and (C) disputes regarding intellectual property rights;</w:t>
      </w:r>
    </w:p>
    <w:p>
      <w:pPr>
        <w:spacing w:after="0" w:line="81" w:lineRule="exact"/>
        <w:rPr>
          <w:rFonts w:ascii="Arial" w:cs="Arial" w:eastAsia="Arial" w:hAnsi="Arial"/>
          <w:sz w:val="18"/>
          <w:szCs w:val="18"/>
          <w:color w:val="010000"/>
        </w:rPr>
      </w:pPr>
    </w:p>
    <w:p>
      <w:pPr>
        <w:ind w:left="1860" w:hanging="301"/>
        <w:spacing w:after="0"/>
        <w:tabs>
          <w:tab w:leader="none" w:pos="1860" w:val="left"/>
        </w:tabs>
        <w:numPr>
          <w:ilvl w:val="2"/>
          <w:numId w:val="108"/>
        </w:numPr>
        <w:rPr>
          <w:rFonts w:ascii="Arial" w:cs="Arial" w:eastAsia="Arial" w:hAnsi="Arial"/>
          <w:sz w:val="18"/>
          <w:szCs w:val="18"/>
          <w:color w:val="010000"/>
        </w:rPr>
      </w:pPr>
      <w:r>
        <w:rPr>
          <w:rFonts w:ascii="Arial" w:cs="Arial" w:eastAsia="Arial" w:hAnsi="Arial"/>
          <w:sz w:val="18"/>
          <w:szCs w:val="18"/>
          <w:color w:val="010000"/>
        </w:rPr>
        <w:t>[Reserved],</w:t>
      </w:r>
    </w:p>
    <w:p>
      <w:pPr>
        <w:spacing w:after="0" w:line="113" w:lineRule="exact"/>
        <w:rPr>
          <w:rFonts w:ascii="Arial" w:cs="Arial" w:eastAsia="Arial" w:hAnsi="Arial"/>
          <w:sz w:val="18"/>
          <w:szCs w:val="18"/>
          <w:color w:val="010000"/>
        </w:rPr>
      </w:pPr>
    </w:p>
    <w:p>
      <w:pPr>
        <w:ind w:left="1900" w:hanging="341"/>
        <w:spacing w:after="0"/>
        <w:tabs>
          <w:tab w:leader="none" w:pos="1900" w:val="left"/>
        </w:tabs>
        <w:numPr>
          <w:ilvl w:val="2"/>
          <w:numId w:val="108"/>
        </w:numPr>
        <w:rPr>
          <w:rFonts w:ascii="Arial" w:cs="Arial" w:eastAsia="Arial" w:hAnsi="Arial"/>
          <w:sz w:val="18"/>
          <w:szCs w:val="18"/>
          <w:color w:val="010000"/>
        </w:rPr>
      </w:pPr>
      <w:r>
        <w:rPr>
          <w:rFonts w:ascii="Arial" w:cs="Arial" w:eastAsia="Arial" w:hAnsi="Arial"/>
          <w:sz w:val="18"/>
          <w:szCs w:val="18"/>
          <w:color w:val="010000"/>
        </w:rPr>
        <w:t>Permitted Acquisitions,</w:t>
      </w:r>
    </w:p>
    <w:p>
      <w:pPr>
        <w:spacing w:after="0" w:line="113" w:lineRule="exact"/>
        <w:rPr>
          <w:rFonts w:ascii="Arial" w:cs="Arial" w:eastAsia="Arial" w:hAnsi="Arial"/>
          <w:sz w:val="18"/>
          <w:szCs w:val="18"/>
          <w:color w:val="010000"/>
        </w:rPr>
      </w:pPr>
    </w:p>
    <w:p>
      <w:pPr>
        <w:ind w:left="1960" w:hanging="401"/>
        <w:spacing w:after="0"/>
        <w:tabs>
          <w:tab w:leader="none" w:pos="1960" w:val="left"/>
        </w:tabs>
        <w:numPr>
          <w:ilvl w:val="2"/>
          <w:numId w:val="108"/>
        </w:numPr>
        <w:rPr>
          <w:rFonts w:ascii="Arial" w:cs="Arial" w:eastAsia="Arial" w:hAnsi="Arial"/>
          <w:sz w:val="18"/>
          <w:szCs w:val="18"/>
          <w:color w:val="010000"/>
        </w:rPr>
      </w:pPr>
      <w:r>
        <w:rPr>
          <w:rFonts w:ascii="Arial" w:cs="Arial" w:eastAsia="Arial" w:hAnsi="Arial"/>
          <w:sz w:val="18"/>
          <w:szCs w:val="18"/>
          <w:color w:val="010000"/>
        </w:rPr>
        <w:t>Investments by the Company and its Subsidiaries in cash and Cash Equivalents.</w:t>
      </w:r>
    </w:p>
    <w:p>
      <w:pPr>
        <w:spacing w:after="0" w:line="113" w:lineRule="exact"/>
        <w:rPr>
          <w:rFonts w:ascii="Arial" w:cs="Arial" w:eastAsia="Arial" w:hAnsi="Arial"/>
          <w:sz w:val="18"/>
          <w:szCs w:val="18"/>
          <w:color w:val="010000"/>
        </w:rPr>
      </w:pPr>
    </w:p>
    <w:p>
      <w:pPr>
        <w:ind w:left="80" w:right="40" w:firstLine="1536"/>
        <w:spacing w:after="0" w:line="283" w:lineRule="auto"/>
        <w:tabs>
          <w:tab w:leader="none" w:pos="1914" w:val="left"/>
        </w:tabs>
        <w:numPr>
          <w:ilvl w:val="3"/>
          <w:numId w:val="108"/>
        </w:numPr>
        <w:rPr>
          <w:rFonts w:ascii="Arial" w:cs="Arial" w:eastAsia="Arial" w:hAnsi="Arial"/>
          <w:sz w:val="16"/>
          <w:szCs w:val="16"/>
          <w:color w:val="010000"/>
        </w:rPr>
      </w:pPr>
      <w:r>
        <w:rPr>
          <w:rFonts w:ascii="Arial" w:cs="Arial" w:eastAsia="Arial" w:hAnsi="Arial"/>
          <w:sz w:val="16"/>
          <w:szCs w:val="16"/>
          <w:color w:val="010000"/>
        </w:rPr>
        <w:t xml:space="preserve">Investments in joint ventures and Unrestricted Subsidiaries;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(x) any Investment constituting such equity interests held by a Loan Party shall be pledged pursuant to, and to the extent required by, the Security Agreement, (y) immediately before and after giving effect to such Investment, no Default or Event of Default shall have occurred and be continuing and (z) the aggregate amount of Investments by Loan Parties in Subsidiaries that are not Loan Parties and in joint ventures shall not exceed in the aggregate $100,000,000 when taken together with the guarantees permitted pursuant to clause (x) below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xml:space="preserve">, the aggregate amounts set forth in clause (z) shall be calculated net of any returns, profits, distributions and similar amounts received by any Loan Party from any Investments made by such Loan Party in Subsidiaries that are Loan Parties or joint ventures pursuant to this clause (ix) (which, in each case, shall not exceed the amount of such Investment (valued at cost) at the time such Investment was made));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further</w:t>
      </w:r>
      <w:r>
        <w:rPr>
          <w:rFonts w:ascii="Arial" w:cs="Arial" w:eastAsia="Arial" w:hAnsi="Arial"/>
          <w:sz w:val="16"/>
          <w:szCs w:val="16"/>
          <w:color w:val="010000"/>
        </w:rPr>
        <w:t>, that to the extent funds are returned (in full or in part) to any Loan Party which is making such Investment either from the party in which the Investment was made or any other entity in connection with or related to the transaction in which the Investment was made (even if not in respect of the Investment), only the initial Investment net of the amount so returned shall be included for purposes of determining the amount of any limit on Investments by the Company or any Restricted Subsidiary in the Company or any other Restricted Subsidiary and on Investments in joint ventures and Unrestricted Subsidiaries permitted under this subclause (ix) and the remainder of such Investment shall be permitted,</w:t>
      </w:r>
    </w:p>
    <w:p>
      <w:pPr>
        <w:spacing w:after="0" w:line="64" w:lineRule="exact"/>
        <w:rPr>
          <w:sz w:val="20"/>
          <w:szCs w:val="20"/>
          <w:color w:val="auto"/>
        </w:rPr>
      </w:pPr>
    </w:p>
    <w:p>
      <w:pPr>
        <w:ind w:right="520" w:firstLine="1559"/>
        <w:spacing w:after="0" w:line="331" w:lineRule="auto"/>
        <w:tabs>
          <w:tab w:leader="none" w:pos="1804" w:val="left"/>
        </w:tabs>
        <w:numPr>
          <w:ilvl w:val="0"/>
          <w:numId w:val="109"/>
        </w:numPr>
        <w:rPr>
          <w:rFonts w:ascii="Arial" w:cs="Arial" w:eastAsia="Arial" w:hAnsi="Arial"/>
          <w:sz w:val="16"/>
          <w:szCs w:val="16"/>
          <w:color w:val="010000"/>
        </w:rPr>
      </w:pPr>
      <w:r>
        <w:rPr>
          <w:rFonts w:ascii="Arial" w:cs="Arial" w:eastAsia="Arial" w:hAnsi="Arial"/>
          <w:sz w:val="16"/>
          <w:szCs w:val="16"/>
          <w:color w:val="010000"/>
        </w:rPr>
        <w:t xml:space="preserve">Guarantees constituting Debt permitted by Section 5.02(d);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the aggregate principal amount of Debt of Restricted Subsidiaries that are not Loan Parties that is guaranteed by any Loan Party shall be subject to the limitation set forth in clause (ix) above.</w:t>
      </w:r>
    </w:p>
    <w:p>
      <w:pPr>
        <w:spacing w:after="0" w:line="25" w:lineRule="exact"/>
        <w:rPr>
          <w:rFonts w:ascii="Arial" w:cs="Arial" w:eastAsia="Arial" w:hAnsi="Arial"/>
          <w:sz w:val="16"/>
          <w:szCs w:val="16"/>
          <w:color w:val="010000"/>
        </w:rPr>
      </w:pPr>
    </w:p>
    <w:p>
      <w:pPr>
        <w:ind w:left="1860" w:hanging="301"/>
        <w:spacing w:after="0"/>
        <w:tabs>
          <w:tab w:leader="none" w:pos="1860" w:val="left"/>
        </w:tabs>
        <w:numPr>
          <w:ilvl w:val="0"/>
          <w:numId w:val="109"/>
        </w:numPr>
        <w:rPr>
          <w:rFonts w:ascii="Arial" w:cs="Arial" w:eastAsia="Arial" w:hAnsi="Arial"/>
          <w:sz w:val="18"/>
          <w:szCs w:val="18"/>
          <w:color w:val="010000"/>
        </w:rPr>
      </w:pPr>
      <w:r>
        <w:rPr>
          <w:rFonts w:ascii="Arial" w:cs="Arial" w:eastAsia="Arial" w:hAnsi="Arial"/>
          <w:sz w:val="18"/>
          <w:szCs w:val="18"/>
          <w:color w:val="010000"/>
        </w:rPr>
        <w:t>non-cash consideration received in connection with the Disposition of any asset in compliance with Section 5.02(e),</w:t>
      </w:r>
    </w:p>
    <w:p>
      <w:pPr>
        <w:spacing w:after="0" w:line="113" w:lineRule="exact"/>
        <w:rPr>
          <w:rFonts w:ascii="Arial" w:cs="Arial" w:eastAsia="Arial" w:hAnsi="Arial"/>
          <w:sz w:val="18"/>
          <w:szCs w:val="18"/>
          <w:color w:val="010000"/>
        </w:rPr>
      </w:pPr>
    </w:p>
    <w:p>
      <w:pPr>
        <w:ind w:left="1900" w:hanging="341"/>
        <w:spacing w:after="0"/>
        <w:tabs>
          <w:tab w:leader="none" w:pos="1900" w:val="left"/>
        </w:tabs>
        <w:numPr>
          <w:ilvl w:val="0"/>
          <w:numId w:val="109"/>
        </w:numPr>
        <w:rPr>
          <w:rFonts w:ascii="Arial" w:cs="Arial" w:eastAsia="Arial" w:hAnsi="Arial"/>
          <w:sz w:val="18"/>
          <w:szCs w:val="18"/>
          <w:color w:val="010000"/>
        </w:rPr>
      </w:pPr>
      <w:r>
        <w:rPr>
          <w:rFonts w:ascii="Arial" w:cs="Arial" w:eastAsia="Arial" w:hAnsi="Arial"/>
          <w:sz w:val="18"/>
          <w:szCs w:val="18"/>
          <w:color w:val="010000"/>
        </w:rPr>
        <w:t>earn-outs and other customary post-Disposition obligations arising out of permitted Dispositions,</w:t>
      </w:r>
    </w:p>
    <w:p>
      <w:pPr>
        <w:spacing w:after="0" w:line="113" w:lineRule="exact"/>
        <w:rPr>
          <w:rFonts w:ascii="Arial" w:cs="Arial" w:eastAsia="Arial" w:hAnsi="Arial"/>
          <w:sz w:val="18"/>
          <w:szCs w:val="18"/>
          <w:color w:val="010000"/>
        </w:rPr>
      </w:pPr>
    </w:p>
    <w:p>
      <w:pPr>
        <w:ind w:right="340" w:firstLine="1559"/>
        <w:spacing w:after="0" w:line="267" w:lineRule="auto"/>
        <w:tabs>
          <w:tab w:leader="none" w:pos="1952" w:val="left"/>
        </w:tabs>
        <w:numPr>
          <w:ilvl w:val="0"/>
          <w:numId w:val="109"/>
        </w:numPr>
        <w:rPr>
          <w:rFonts w:ascii="Arial" w:cs="Arial" w:eastAsia="Arial" w:hAnsi="Arial"/>
          <w:sz w:val="18"/>
          <w:szCs w:val="18"/>
          <w:color w:val="010000"/>
        </w:rPr>
      </w:pPr>
      <w:r>
        <w:rPr>
          <w:rFonts w:ascii="Arial" w:cs="Arial" w:eastAsia="Arial" w:hAnsi="Arial"/>
          <w:sz w:val="18"/>
          <w:szCs w:val="18"/>
          <w:color w:val="010000"/>
        </w:rPr>
        <w:t>Investments in deposit accounts and securities account (A) opened in the ordinary course of business, (B) holding only cash and Cash Equivalents and (C) subject to Control Agreements to the extent required by the Loan Documents,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118" w:name="page119"/>
    <w:bookmarkEnd w:id="118"/>
    <w:p>
      <w:pPr>
        <w:ind w:right="340" w:firstLine="1559"/>
        <w:spacing w:after="0" w:line="267" w:lineRule="auto"/>
        <w:tabs>
          <w:tab w:leader="none" w:pos="1942" w:val="left"/>
        </w:tabs>
        <w:numPr>
          <w:ilvl w:val="2"/>
          <w:numId w:val="110"/>
        </w:numPr>
        <w:rPr>
          <w:rFonts w:ascii="Arial" w:cs="Arial" w:eastAsia="Arial" w:hAnsi="Arial"/>
          <w:sz w:val="18"/>
          <w:szCs w:val="18"/>
          <w:color w:val="010000"/>
        </w:rPr>
      </w:pPr>
      <w:r>
        <w:rPr>
          <w:rFonts w:ascii="Arial" w:cs="Arial" w:eastAsia="Arial" w:hAnsi="Arial"/>
          <w:sz w:val="18"/>
          <w:szCs w:val="18"/>
          <w:color w:val="010000"/>
        </w:rPr>
        <w:t>(i) loans and advances made to distributors in the ordinary course and (ii) deposits, prepayments and other credits to suppliers or service providers made in the ordinary course of business,</w:t>
      </w:r>
    </w:p>
    <w:p>
      <w:pPr>
        <w:spacing w:after="0" w:line="72" w:lineRule="exact"/>
        <w:rPr>
          <w:rFonts w:ascii="Arial" w:cs="Arial" w:eastAsia="Arial" w:hAnsi="Arial"/>
          <w:sz w:val="18"/>
          <w:szCs w:val="18"/>
          <w:color w:val="010000"/>
        </w:rPr>
      </w:pPr>
    </w:p>
    <w:p>
      <w:pPr>
        <w:ind w:right="180" w:firstLine="1559"/>
        <w:spacing w:after="0" w:line="254" w:lineRule="auto"/>
        <w:tabs>
          <w:tab w:leader="none" w:pos="1893" w:val="left"/>
        </w:tabs>
        <w:numPr>
          <w:ilvl w:val="2"/>
          <w:numId w:val="110"/>
        </w:numPr>
        <w:rPr>
          <w:rFonts w:ascii="Arial" w:cs="Arial" w:eastAsia="Arial" w:hAnsi="Arial"/>
          <w:sz w:val="18"/>
          <w:szCs w:val="18"/>
          <w:color w:val="010000"/>
        </w:rPr>
      </w:pPr>
      <w:r>
        <w:rPr>
          <w:rFonts w:ascii="Arial" w:cs="Arial" w:eastAsia="Arial" w:hAnsi="Arial"/>
          <w:sz w:val="18"/>
          <w:szCs w:val="18"/>
          <w:color w:val="010000"/>
        </w:rPr>
        <w:t>Investments resulting from the funding of amounts owing by customers of the Company or any Restricted Subsidiary under equipment and vendor financing programs in an aggregate amount, when combined with Debt incurred pursuant to Section 5.02(d)(xxv), not to exceed at any time outstanding (A) the greater of (1) $75,000,000 and (2) 2.43% of Total Assets prior to the third anniversary of the Initial Closing Date, and (B) the greater of (1) $80,000,000 or (2) 2.59% of Total Assets thereafter,</w:t>
      </w:r>
    </w:p>
    <w:p>
      <w:pPr>
        <w:spacing w:after="0" w:line="83" w:lineRule="exact"/>
        <w:rPr>
          <w:rFonts w:ascii="Arial" w:cs="Arial" w:eastAsia="Arial" w:hAnsi="Arial"/>
          <w:sz w:val="18"/>
          <w:szCs w:val="18"/>
          <w:color w:val="010000"/>
        </w:rPr>
      </w:pPr>
    </w:p>
    <w:p>
      <w:pPr>
        <w:ind w:right="80" w:firstLine="1559"/>
        <w:spacing w:after="0" w:line="287" w:lineRule="auto"/>
        <w:tabs>
          <w:tab w:leader="none" w:pos="1942" w:val="left"/>
        </w:tabs>
        <w:numPr>
          <w:ilvl w:val="2"/>
          <w:numId w:val="110"/>
        </w:numPr>
        <w:rPr>
          <w:rFonts w:ascii="Arial" w:cs="Arial" w:eastAsia="Arial" w:hAnsi="Arial"/>
          <w:sz w:val="16"/>
          <w:szCs w:val="16"/>
          <w:color w:val="010000"/>
        </w:rPr>
      </w:pPr>
      <w:r>
        <w:rPr>
          <w:rFonts w:ascii="Arial" w:cs="Arial" w:eastAsia="Arial" w:hAnsi="Arial"/>
          <w:sz w:val="16"/>
          <w:szCs w:val="16"/>
          <w:color w:val="010000"/>
        </w:rPr>
        <w:t xml:space="preserve">other Investments made after the Closing Date in an aggregate amount not to exceed (i) $50,000,000, during each consecutive twelve month period, plus up to the amount available in the following fiscal year, plus any unused amounts from prior fiscal years, minus any portion of the amount available in such fiscal year used in the preceding fiscal year and (ii) $150,000,000 in the aggregate;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(1) immediately before and after giving effect to the making of any such Investment, no Default or Event of Default shall have occurred and be continuing and (2) once the aggregate amount of Investments made pursuant to this subclause (xvi) exceeds $35,000,000, the Company shall provide evidence to Agent that the sum of US Cash and all other cash and Cash Equivalents of the Company and its Restricted Subsidiaries (other than cash contained in the Pledged Cash Account (Eligible Cash)) is equal to or greater than $450,000,000 both immediately prior to and after giving effect to such Investment, and</w:t>
      </w:r>
    </w:p>
    <w:p>
      <w:pPr>
        <w:spacing w:after="0" w:line="60" w:lineRule="exact"/>
        <w:rPr>
          <w:rFonts w:ascii="Arial" w:cs="Arial" w:eastAsia="Arial" w:hAnsi="Arial"/>
          <w:sz w:val="16"/>
          <w:szCs w:val="16"/>
          <w:color w:val="010000"/>
        </w:rPr>
      </w:pPr>
    </w:p>
    <w:p>
      <w:pPr>
        <w:ind w:left="2000" w:hanging="441"/>
        <w:spacing w:after="0"/>
        <w:tabs>
          <w:tab w:leader="none" w:pos="2000" w:val="left"/>
        </w:tabs>
        <w:numPr>
          <w:ilvl w:val="2"/>
          <w:numId w:val="110"/>
        </w:numPr>
        <w:rPr>
          <w:rFonts w:ascii="Arial" w:cs="Arial" w:eastAsia="Arial" w:hAnsi="Arial"/>
          <w:sz w:val="18"/>
          <w:szCs w:val="18"/>
          <w:color w:val="010000"/>
        </w:rPr>
      </w:pPr>
      <w:r>
        <w:rPr>
          <w:rFonts w:ascii="Arial" w:cs="Arial" w:eastAsia="Arial" w:hAnsi="Arial"/>
          <w:sz w:val="18"/>
          <w:szCs w:val="18"/>
          <w:color w:val="010000"/>
        </w:rPr>
        <w:t>accounts payable and other similar extension of credit to customers or suppliers in the ordinary course of business.</w:t>
      </w:r>
    </w:p>
    <w:p>
      <w:pPr>
        <w:spacing w:after="0" w:line="113" w:lineRule="exact"/>
        <w:rPr>
          <w:rFonts w:ascii="Arial" w:cs="Arial" w:eastAsia="Arial" w:hAnsi="Arial"/>
          <w:sz w:val="18"/>
          <w:szCs w:val="18"/>
          <w:color w:val="010000"/>
        </w:rPr>
      </w:pPr>
    </w:p>
    <w:p>
      <w:pPr>
        <w:ind w:right="20" w:firstLine="1041"/>
        <w:spacing w:after="0" w:line="279" w:lineRule="auto"/>
        <w:tabs>
          <w:tab w:leader="none" w:pos="1246" w:val="left"/>
        </w:tabs>
        <w:numPr>
          <w:ilvl w:val="1"/>
          <w:numId w:val="111"/>
        </w:numPr>
        <w:rPr>
          <w:rFonts w:ascii="Arial" w:cs="Arial" w:eastAsia="Arial" w:hAnsi="Arial"/>
          <w:sz w:val="16"/>
          <w:szCs w:val="16"/>
          <w:color w:val="010000"/>
        </w:rPr>
      </w:pPr>
      <w:r>
        <w:rPr>
          <w:rFonts w:ascii="Arial" w:cs="Arial" w:eastAsia="Arial" w:hAnsi="Arial"/>
          <w:sz w:val="16"/>
          <w:szCs w:val="16"/>
          <w:u w:val="single" w:color="auto"/>
          <w:color w:val="010000"/>
        </w:rPr>
        <w:t>Prepayments, Payments, Amendments, Etc. of Debt</w:t>
      </w:r>
      <w:r>
        <w:rPr>
          <w:rFonts w:ascii="Arial" w:cs="Arial" w:eastAsia="Arial" w:hAnsi="Arial"/>
          <w:sz w:val="16"/>
          <w:szCs w:val="16"/>
          <w:color w:val="010000"/>
        </w:rPr>
        <w:t xml:space="preserve">. (i) Prepay, redeem, purchase, defease, convert into cash or otherwise satisfy prior to the scheduled maturity thereof in any manner, any public or secured or unsecured debt securities or any Exit Term Loan Debt, or prepay, redeem, purchase, defease, or convert into cash, or otherwise satisfy prior to the scheduled maturity thereof in any manner or make any payment in violation of any subordination terms of, any Debt for Borrowed Money except: (A) regularly scheduled (including repayments of revolving facilities) or required repayments, prepayments or redemptions of Debt permitted to be incurred hereunder (including payments of principal and interest as and when due), except required payments of the Exit Term Loan Debt to be based on “Excess Cash Flow”, which payments may only be made if the following conditions are satisfied: (1) as of the date of any such payment, and after giving effect thereto, no Default shall exist or have occurred and be continuing, (2) as of the date of any such payment and after giving effect thereto, Liquidity shall be not less than $50,000,000 and (3) Agent shall have received a certificate of an authorized officer of Borrower certifying as to compliance with the preceding clauses and demonstrating (in reasonable detail) the calculations required thereby made with, (B) any prepayments or redemptions of Debt in connection with a Permitted Refinancing of such Debt permitted by Section 5.02(d);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(1) before and after giving effect to such prepayment, redemption, purchase, defeasance or other satisfaction, no Default under Section 6.01(a) or (e) or Event of Default shall have occurred and be continuing and (2) the Agent shall have received a certificate from a Responsible Officer of the Company certifying compliance with the foregoing clause (1),</w:t>
      </w:r>
    </w:p>
    <w:p>
      <w:pPr>
        <w:spacing w:after="0" w:line="4" w:lineRule="exact"/>
        <w:rPr>
          <w:rFonts w:ascii="Arial" w:cs="Arial" w:eastAsia="Arial" w:hAnsi="Arial"/>
          <w:sz w:val="16"/>
          <w:szCs w:val="16"/>
          <w:color w:val="010000"/>
        </w:rPr>
      </w:pPr>
    </w:p>
    <w:p>
      <w:pPr>
        <w:ind w:left="280" w:hanging="273"/>
        <w:spacing w:after="0"/>
        <w:tabs>
          <w:tab w:leader="none" w:pos="280" w:val="left"/>
        </w:tabs>
        <w:numPr>
          <w:ilvl w:val="0"/>
          <w:numId w:val="112"/>
        </w:numPr>
        <w:rPr>
          <w:rFonts w:ascii="Arial" w:cs="Arial" w:eastAsia="Arial" w:hAnsi="Arial"/>
          <w:sz w:val="16"/>
          <w:szCs w:val="16"/>
          <w:color w:val="010000"/>
        </w:rPr>
      </w:pPr>
      <w:r>
        <w:rPr>
          <w:rFonts w:ascii="Arial" w:cs="Arial" w:eastAsia="Arial" w:hAnsi="Arial"/>
          <w:sz w:val="16"/>
          <w:szCs w:val="16"/>
          <w:color w:val="010000"/>
        </w:rPr>
        <w:t>[Reserved], (D) any voluntary prepayments of the Exit Term Loan Debt so long as the following conditions are satisfied with respect to each such payment:</w:t>
      </w:r>
    </w:p>
    <w:p>
      <w:pPr>
        <w:spacing w:after="0" w:line="29" w:lineRule="exact"/>
        <w:rPr>
          <w:rFonts w:ascii="Arial" w:cs="Arial" w:eastAsia="Arial" w:hAnsi="Arial"/>
          <w:sz w:val="16"/>
          <w:szCs w:val="16"/>
          <w:color w:val="010000"/>
        </w:rPr>
      </w:pPr>
    </w:p>
    <w:p>
      <w:pPr>
        <w:ind w:right="40"/>
        <w:spacing w:after="0" w:line="281" w:lineRule="auto"/>
        <w:rPr>
          <w:rFonts w:ascii="Arial" w:cs="Arial" w:eastAsia="Arial" w:hAnsi="Arial"/>
          <w:sz w:val="16"/>
          <w:szCs w:val="16"/>
          <w:color w:val="010000"/>
        </w:rPr>
      </w:pPr>
      <w:r>
        <w:rPr>
          <w:rFonts w:ascii="Arial" w:cs="Arial" w:eastAsia="Arial" w:hAnsi="Arial"/>
          <w:sz w:val="16"/>
          <w:szCs w:val="16"/>
          <w:color w:val="010000"/>
        </w:rPr>
        <w:t>(i) as of the date of any such payment, and after giving effect thereto, no Default shall exist or have occurred and be continuing, (ii) as of the date of any such payment and after giving effect thereto, the Excess Availability as of such date and at any time during the immediately preceding 30 consecutive day period and after giving effect to the payment, on a pro forma basis using the most recent calculation of the Borrowing Base immediately prior to any such payment, shall, in each case, have been not less than 17.5% of the Revolving Credit Facility, and (iii) as of the date of any such payment, and after giving effect thereto, on a pro forma basis, the Fixed Charge Coverage Ratio for the immediately preceding 12 consecutive month period ending on the last day of the fiscal month prior to the date of such payment for which Agent has received financial statements shall be at least 1.00 to 1.00 (notwithstanding the foregoing, if, as of the date of such voluntary prepayments of the Exit Term Loan Debt, the Excess Availability at any time during the immediately preceding 30 consecutive day period and on the date of such voluntary payment shall have been not less than 25% of the Revolving Credit Facility, and after giving effect to such voluntary prepayment on a pro forma basis using the most recent calculation of the Borrowing Base, as of the date of such voluntary payment and at any time during the 30 consecutive day period immediately preceding such voluntary prepayment, the Excess Availability shall have been not less than 25% of the Revolving Credit Facility, satisfaction of the Fixed Charge Coverage Ratio test described in this subclause (iii) shall not be required with respect to such voluntary prepayment), or (E) conversion of convertible debt into common stock of the Company and payments of cash in lieu of fractional shares upon any such conversion or (ii) amend, modify or change in any manner adverse to the Lenders any term or condition of any subordinated Debt.</w:t>
      </w:r>
    </w:p>
    <w:p>
      <w:pPr>
        <w:spacing w:after="0" w:line="68" w:lineRule="exact"/>
        <w:rPr>
          <w:rFonts w:ascii="Arial" w:cs="Arial" w:eastAsia="Arial" w:hAnsi="Arial"/>
          <w:sz w:val="16"/>
          <w:szCs w:val="16"/>
          <w:color w:val="010000"/>
        </w:rPr>
      </w:pPr>
    </w:p>
    <w:p>
      <w:pPr>
        <w:ind w:firstLine="1041"/>
        <w:spacing w:after="0" w:line="269" w:lineRule="auto"/>
        <w:tabs>
          <w:tab w:leader="none" w:pos="1286" w:val="left"/>
        </w:tabs>
        <w:numPr>
          <w:ilvl w:val="1"/>
          <w:numId w:val="112"/>
        </w:numPr>
        <w:rPr>
          <w:rFonts w:ascii="Arial" w:cs="Arial" w:eastAsia="Arial" w:hAnsi="Arial"/>
          <w:sz w:val="17"/>
          <w:szCs w:val="17"/>
          <w:color w:val="010000"/>
        </w:rPr>
      </w:pPr>
      <w:r>
        <w:rPr>
          <w:rFonts w:ascii="Arial" w:cs="Arial" w:eastAsia="Arial" w:hAnsi="Arial"/>
          <w:sz w:val="17"/>
          <w:szCs w:val="17"/>
          <w:u w:val="single" w:color="auto"/>
          <w:color w:val="010000"/>
        </w:rPr>
        <w:t>Transactions Contemplated by the Chapter 11 Plan</w:t>
      </w:r>
      <w:r>
        <w:rPr>
          <w:rFonts w:ascii="Arial" w:cs="Arial" w:eastAsia="Arial" w:hAnsi="Arial"/>
          <w:sz w:val="17"/>
          <w:szCs w:val="17"/>
          <w:color w:val="010000"/>
        </w:rPr>
        <w:t xml:space="preserve">. Notwithstanding any other provision of this Agreement, including this Article V, the implementation of the transactions specifically provided for in the Chapter 11 Plan in accordance with the terms of the Chapter 11 Plan and the Confirmation Order, including those transactions contemplated by and related to the KPP Settlement Agreement (which for the avoidance of doubt shall include disposition or sale and leaseback transactions set forth in the Plan closing after the Effective Date), shall be deemed to be permitted by this Agreement so long as they are consummated in a manner not inconsistent with the terms of this Agreement;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this Section 5.02(k) shall not apply to any transactions consummated after the Effective Date pursuant to Section 5.4 (Other Restructuring Transactions) of the Chapter 11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19" w:name="page120"/>
    <w:bookmarkEnd w:id="119"/>
    <w:p>
      <w:pPr>
        <w:jc w:val="both"/>
        <w:ind w:right="140" w:firstLine="518"/>
        <w:spacing w:after="0" w:line="279" w:lineRule="auto"/>
        <w:rPr>
          <w:sz w:val="20"/>
          <w:szCs w:val="20"/>
          <w:color w:val="auto"/>
        </w:rPr>
      </w:pPr>
      <w:r>
        <w:rPr>
          <w:rFonts w:ascii="Arial" w:cs="Arial" w:eastAsia="Arial" w:hAnsi="Arial"/>
          <w:sz w:val="17"/>
          <w:szCs w:val="17"/>
          <w:color w:val="010000"/>
        </w:rPr>
        <w:t xml:space="preserve">SECTION 5.03. </w:t>
      </w:r>
      <w:r>
        <w:rPr>
          <w:rFonts w:ascii="Arial" w:cs="Arial" w:eastAsia="Arial" w:hAnsi="Arial"/>
          <w:sz w:val="17"/>
          <w:szCs w:val="17"/>
          <w:u w:val="single" w:color="auto"/>
          <w:color w:val="010000"/>
        </w:rPr>
        <w:t>Financial Covenant</w:t>
      </w:r>
      <w:r>
        <w:rPr>
          <w:rFonts w:ascii="Arial" w:cs="Arial" w:eastAsia="Arial" w:hAnsi="Arial"/>
          <w:sz w:val="17"/>
          <w:szCs w:val="17"/>
          <w:color w:val="010000"/>
        </w:rPr>
        <w:t>. So long as any Fixed Charge Coverage Ratio Trigger Event shall have occurred and be continuing, the Company and its Restricted Subsidiaries on a Consolidated basis will maintain a Fixed Charge Coverage Ratio, for the four fiscal quarters most recently ended as of the fiscal quarter for which financial statements have been delivered pursuant to Section 5.01, of not less than 1.00 to 1.00.</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EVENTS OF DEFAULT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6.01. </w:t>
      </w:r>
      <w:r>
        <w:rPr>
          <w:rFonts w:ascii="Arial" w:cs="Arial" w:eastAsia="Arial" w:hAnsi="Arial"/>
          <w:sz w:val="18"/>
          <w:szCs w:val="18"/>
          <w:u w:val="single" w:color="auto"/>
          <w:color w:val="010000"/>
        </w:rPr>
        <w:t>Events of Default</w:t>
      </w:r>
      <w:r>
        <w:rPr>
          <w:rFonts w:ascii="Arial" w:cs="Arial" w:eastAsia="Arial" w:hAnsi="Arial"/>
          <w:sz w:val="18"/>
          <w:szCs w:val="18"/>
          <w:color w:val="010000"/>
        </w:rPr>
        <w:t>. If any of the following events (“</w:t>
      </w:r>
      <w:r>
        <w:rPr>
          <w:rFonts w:ascii="Arial" w:cs="Arial" w:eastAsia="Arial" w:hAnsi="Arial"/>
          <w:sz w:val="18"/>
          <w:szCs w:val="18"/>
          <w:u w:val="single" w:color="auto"/>
          <w:color w:val="010000"/>
        </w:rPr>
        <w:t>Events of Default</w:t>
      </w:r>
      <w:r>
        <w:rPr>
          <w:rFonts w:ascii="Arial" w:cs="Arial" w:eastAsia="Arial" w:hAnsi="Arial"/>
          <w:sz w:val="18"/>
          <w:szCs w:val="18"/>
          <w:color w:val="010000"/>
        </w:rPr>
        <w:t>”) shall occur and be continuing:</w:t>
      </w:r>
    </w:p>
    <w:p>
      <w:pPr>
        <w:spacing w:after="0" w:line="113" w:lineRule="exact"/>
        <w:rPr>
          <w:sz w:val="20"/>
          <w:szCs w:val="20"/>
          <w:color w:val="auto"/>
        </w:rPr>
      </w:pPr>
    </w:p>
    <w:p>
      <w:pPr>
        <w:jc w:val="both"/>
        <w:ind w:right="100" w:firstLine="1041"/>
        <w:spacing w:after="0" w:line="254" w:lineRule="auto"/>
        <w:tabs>
          <w:tab w:leader="none" w:pos="1276" w:val="left"/>
        </w:tabs>
        <w:numPr>
          <w:ilvl w:val="0"/>
          <w:numId w:val="113"/>
        </w:numPr>
        <w:rPr>
          <w:rFonts w:ascii="Arial" w:cs="Arial" w:eastAsia="Arial" w:hAnsi="Arial"/>
          <w:sz w:val="18"/>
          <w:szCs w:val="18"/>
          <w:color w:val="010000"/>
        </w:rPr>
      </w:pPr>
      <w:r>
        <w:rPr>
          <w:rFonts w:ascii="Arial" w:cs="Arial" w:eastAsia="Arial" w:hAnsi="Arial"/>
          <w:sz w:val="18"/>
          <w:szCs w:val="18"/>
          <w:color w:val="010000"/>
        </w:rPr>
        <w:t>(i) Borrower shall fail to pay any principal of any Revolving Loan when the same becomes due and payable; (ii) Borrower shall fail to pay any interest on any Revolving Loan or fees within three (3) Business Days after the same becomes due and payable; or (iii) any Loan Party shall fail to make any other payment under any Loan Document, within three (3) Business Days after notice of such failure is given by the Agent or any Lender to the Company; or</w:t>
      </w:r>
    </w:p>
    <w:p>
      <w:pPr>
        <w:spacing w:after="0" w:line="83" w:lineRule="exact"/>
        <w:rPr>
          <w:rFonts w:ascii="Arial" w:cs="Arial" w:eastAsia="Arial" w:hAnsi="Arial"/>
          <w:sz w:val="18"/>
          <w:szCs w:val="18"/>
          <w:color w:val="010000"/>
        </w:rPr>
      </w:pPr>
    </w:p>
    <w:p>
      <w:pPr>
        <w:ind w:right="40" w:firstLine="1041"/>
        <w:spacing w:after="0" w:line="257" w:lineRule="auto"/>
        <w:tabs>
          <w:tab w:leader="none" w:pos="1286" w:val="left"/>
        </w:tabs>
        <w:numPr>
          <w:ilvl w:val="0"/>
          <w:numId w:val="113"/>
        </w:numPr>
        <w:rPr>
          <w:rFonts w:ascii="Arial" w:cs="Arial" w:eastAsia="Arial" w:hAnsi="Arial"/>
          <w:sz w:val="18"/>
          <w:szCs w:val="18"/>
          <w:color w:val="010000"/>
        </w:rPr>
      </w:pPr>
      <w:r>
        <w:rPr>
          <w:rFonts w:ascii="Arial" w:cs="Arial" w:eastAsia="Arial" w:hAnsi="Arial"/>
          <w:sz w:val="18"/>
          <w:szCs w:val="18"/>
          <w:color w:val="010000"/>
        </w:rPr>
        <w:t>Any representation or warranty made by Borrower herein or by any Loan Party in any Loan Document to which it is a party or by Borrower (or any of its officers) in a certificate delivered under or in connection with any Loan Document shall prove to have been incorrect in any material respect when made; or</w:t>
      </w:r>
    </w:p>
    <w:p>
      <w:pPr>
        <w:spacing w:after="0" w:line="81" w:lineRule="exact"/>
        <w:rPr>
          <w:rFonts w:ascii="Arial" w:cs="Arial" w:eastAsia="Arial" w:hAnsi="Arial"/>
          <w:sz w:val="18"/>
          <w:szCs w:val="18"/>
          <w:color w:val="010000"/>
        </w:rPr>
      </w:pPr>
    </w:p>
    <w:p>
      <w:pPr>
        <w:ind w:left="1280" w:hanging="239"/>
        <w:spacing w:after="0"/>
        <w:tabs>
          <w:tab w:leader="none" w:pos="1280" w:val="left"/>
        </w:tabs>
        <w:numPr>
          <w:ilvl w:val="0"/>
          <w:numId w:val="113"/>
        </w:numPr>
        <w:rPr>
          <w:rFonts w:ascii="Arial" w:cs="Arial" w:eastAsia="Arial" w:hAnsi="Arial"/>
          <w:sz w:val="16"/>
          <w:szCs w:val="16"/>
          <w:color w:val="010000"/>
        </w:rPr>
      </w:pPr>
      <w:r>
        <w:rPr>
          <w:rFonts w:ascii="Arial" w:cs="Arial" w:eastAsia="Arial" w:hAnsi="Arial"/>
          <w:sz w:val="16"/>
          <w:szCs w:val="16"/>
          <w:color w:val="010000"/>
        </w:rPr>
        <w:t>(i) The Company or Restricted Subsidiary shall fail to perform or observe any term, covenant or agreement contained in Sections 5.01(d),</w:t>
      </w:r>
    </w:p>
    <w:p>
      <w:pPr>
        <w:spacing w:after="0" w:line="40" w:lineRule="exact"/>
        <w:rPr>
          <w:sz w:val="20"/>
          <w:szCs w:val="20"/>
          <w:color w:val="auto"/>
        </w:rPr>
      </w:pPr>
    </w:p>
    <w:p>
      <w:pPr>
        <w:spacing w:after="0" w:line="251" w:lineRule="auto"/>
        <w:rPr>
          <w:sz w:val="20"/>
          <w:szCs w:val="20"/>
          <w:color w:val="auto"/>
        </w:rPr>
      </w:pPr>
      <w:r>
        <w:rPr>
          <w:rFonts w:ascii="Arial" w:cs="Arial" w:eastAsia="Arial" w:hAnsi="Arial"/>
          <w:sz w:val="18"/>
          <w:szCs w:val="18"/>
          <w:color w:val="010000"/>
        </w:rPr>
        <w:t>5.01(e), clauses (i) through (vii) and (ix) of 5.01(h), 5.02 or 5.03 hereof, or (ii) any Loan Party or any Subsidiary of any Loan Party shall fail to perform or observe any other term, covenant or agreement contained in any Loan Document on its part to be performed or observed if such failure shall remain unremedied for 30 days after written notice thereof shall have been given to the Company by the Agent; or</w:t>
      </w:r>
    </w:p>
    <w:p>
      <w:pPr>
        <w:spacing w:after="0" w:line="86" w:lineRule="exact"/>
        <w:rPr>
          <w:sz w:val="20"/>
          <w:szCs w:val="20"/>
          <w:color w:val="auto"/>
        </w:rPr>
      </w:pPr>
    </w:p>
    <w:p>
      <w:pPr>
        <w:ind w:right="20" w:firstLine="1041"/>
        <w:spacing w:after="0" w:line="283" w:lineRule="auto"/>
        <w:tabs>
          <w:tab w:leader="none" w:pos="1286" w:val="left"/>
        </w:tabs>
        <w:numPr>
          <w:ilvl w:val="0"/>
          <w:numId w:val="114"/>
        </w:numPr>
        <w:rPr>
          <w:rFonts w:ascii="Arial" w:cs="Arial" w:eastAsia="Arial" w:hAnsi="Arial"/>
          <w:sz w:val="16"/>
          <w:szCs w:val="16"/>
          <w:color w:val="010000"/>
        </w:rPr>
      </w:pPr>
      <w:r>
        <w:rPr>
          <w:rFonts w:ascii="Arial" w:cs="Arial" w:eastAsia="Arial" w:hAnsi="Arial"/>
          <w:sz w:val="16"/>
          <w:szCs w:val="16"/>
          <w:color w:val="010000"/>
        </w:rPr>
        <w:t>The Company or any of its Restricted Subsidiaries shall fail to pay any principal of or premium or interest on any Debt (excluding Debt outstanding hereunder of the Company or such Restricted Subsidiary (as the case may be)) that is outstanding in a principal, or in the case of Swap Obligations, net amount of, at least (i) $25,000,000 in the aggregate in the case of Debt of the Borrower or any of its Restricted Subsidiaries that are domestic Subsidiaries and (ii) $50,000,000 in the aggregate in the case of Restricted Subsidiaries that are Foreign Subsidiaries,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cause, or to permit the holders or beneficiaries of such Debt (or a trustee or agent on behalf of such holders or beneficiaries) to cause, with the giving of notice if required, such Debt to be demanded or to become due or to be repurchased, prepaid, defeased or redeemed (automatically or otherwise), or an offer to repurchase, prepay, defease or redeem such Debt to be made, in each case prior to the stated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63" w:lineRule="exact"/>
        <w:rPr>
          <w:rFonts w:ascii="Arial" w:cs="Arial" w:eastAsia="Arial" w:hAnsi="Arial"/>
          <w:sz w:val="16"/>
          <w:szCs w:val="16"/>
          <w:color w:val="010000"/>
        </w:rPr>
      </w:pPr>
    </w:p>
    <w:p>
      <w:pPr>
        <w:ind w:right="20" w:firstLine="1041"/>
        <w:spacing w:after="0" w:line="283" w:lineRule="auto"/>
        <w:tabs>
          <w:tab w:leader="none" w:pos="1276" w:val="left"/>
        </w:tabs>
        <w:numPr>
          <w:ilvl w:val="0"/>
          <w:numId w:val="114"/>
        </w:numPr>
        <w:rPr>
          <w:rFonts w:ascii="Arial" w:cs="Arial" w:eastAsia="Arial" w:hAnsi="Arial"/>
          <w:sz w:val="16"/>
          <w:szCs w:val="16"/>
          <w:color w:val="010000"/>
        </w:rPr>
      </w:pPr>
      <w:r>
        <w:rPr>
          <w:rFonts w:ascii="Arial" w:cs="Arial" w:eastAsia="Arial" w:hAnsi="Arial"/>
          <w:sz w:val="16"/>
          <w:szCs w:val="16"/>
          <w:color w:val="010000"/>
        </w:rPr>
        <w:t xml:space="preserve">Borrower or any of its Restricted Subsidiaries (other than Immaterial Subsidiaries) shall generally not pay its debts as such debts become due, or shall admit in writing its inability to pay its debts generally, or shall make a general assignment for the benefit of creditors; or any proceeding shall be instituted by or against Borrower, any Loan Party or any Material Subsidiary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interim receiver, monitor,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Borrower, any Loan Party or any Material Subsidiary shall take any corporate action to authorize any of the actions set forth above in this subsection (e);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in the case of any Foreign Subsidiary, such event, individually, or when aggregated with all such events occurring after the Closing Date, would reasonably be expected to have a Material Adverse Effect; or</w:t>
      </w:r>
    </w:p>
    <w:p>
      <w:pPr>
        <w:spacing w:after="0" w:line="67" w:lineRule="exact"/>
        <w:rPr>
          <w:rFonts w:ascii="Arial" w:cs="Arial" w:eastAsia="Arial" w:hAnsi="Arial"/>
          <w:sz w:val="16"/>
          <w:szCs w:val="16"/>
          <w:color w:val="010000"/>
        </w:rPr>
      </w:pPr>
    </w:p>
    <w:p>
      <w:pPr>
        <w:ind w:right="20" w:firstLine="1041"/>
        <w:spacing w:after="0" w:line="252" w:lineRule="auto"/>
        <w:tabs>
          <w:tab w:leader="none" w:pos="1256" w:val="left"/>
        </w:tabs>
        <w:numPr>
          <w:ilvl w:val="0"/>
          <w:numId w:val="114"/>
        </w:numPr>
        <w:rPr>
          <w:rFonts w:ascii="Arial" w:cs="Arial" w:eastAsia="Arial" w:hAnsi="Arial"/>
          <w:sz w:val="18"/>
          <w:szCs w:val="18"/>
          <w:color w:val="010000"/>
        </w:rPr>
      </w:pPr>
      <w:r>
        <w:rPr>
          <w:rFonts w:ascii="Arial" w:cs="Arial" w:eastAsia="Arial" w:hAnsi="Arial"/>
          <w:sz w:val="18"/>
          <w:szCs w:val="18"/>
          <w:color w:val="010000"/>
        </w:rPr>
        <w:t xml:space="preserve">Other than with respect to the matters set forth on </w:t>
      </w:r>
      <w:r>
        <w:rPr>
          <w:rFonts w:ascii="Arial" w:cs="Arial" w:eastAsia="Arial" w:hAnsi="Arial"/>
          <w:sz w:val="18"/>
          <w:szCs w:val="18"/>
          <w:u w:val="single" w:color="auto"/>
          <w:color w:val="010000"/>
        </w:rPr>
        <w:t>Schedule 6.01(f)</w:t>
      </w:r>
      <w:r>
        <w:rPr>
          <w:rFonts w:ascii="Arial" w:cs="Arial" w:eastAsia="Arial" w:hAnsi="Arial"/>
          <w:sz w:val="18"/>
          <w:szCs w:val="18"/>
          <w:color w:val="010000"/>
        </w:rPr>
        <w:t xml:space="preserve"> (but solely to the extent that neither the Borrower nor any of its Material Subsidiaries (excluding Subsidiaries which would be permitted, at all times while the applicable judgment remains outstanding, to be designated as Immaterial Subsidiaries, without regard for if such designation has been made) has any obligation with respect to judgments relating to items listed on </w:t>
      </w:r>
      <w:r>
        <w:rPr>
          <w:rFonts w:ascii="Arial" w:cs="Arial" w:eastAsia="Arial" w:hAnsi="Arial"/>
          <w:sz w:val="18"/>
          <w:szCs w:val="18"/>
          <w:u w:val="single" w:color="auto"/>
          <w:color w:val="010000"/>
        </w:rPr>
        <w:t>Schedule 6.01(f)</w:t>
      </w:r>
      <w:r>
        <w:rPr>
          <w:rFonts w:ascii="Arial" w:cs="Arial" w:eastAsia="Arial" w:hAnsi="Arial"/>
          <w:sz w:val="18"/>
          <w:szCs w:val="18"/>
          <w:color w:val="010000"/>
        </w:rPr>
        <w:t>, judgments or orders for the payment of money in excess of $25,000,000 (or its US Dollar equivalent) in the aggregate shall be rendered against the Company or any of its Subsidiaries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20" w:name="page121"/>
    <w:bookmarkEnd w:id="120"/>
    <w:p>
      <w:pPr>
        <w:ind w:right="740"/>
        <w:spacing w:after="0" w:line="331" w:lineRule="auto"/>
        <w:rPr>
          <w:sz w:val="20"/>
          <w:szCs w:val="20"/>
          <w:color w:val="auto"/>
        </w:rPr>
      </w:pPr>
      <w:r>
        <w:rPr>
          <w:rFonts w:ascii="Arial" w:cs="Arial" w:eastAsia="Arial" w:hAnsi="Arial"/>
          <w:sz w:val="16"/>
          <w:szCs w:val="16"/>
          <w:color w:val="010000"/>
        </w:rPr>
        <w:t>and either (i) enforcement proceedings shall have been commenced by any creditor upon such judgment or order or (ii) there shall be any period of 30 consecutive days during which a stay of enforcement of such judgment or order, by reason of a pending appeal or otherwise, shall not be in effect; or</w:t>
      </w:r>
    </w:p>
    <w:p>
      <w:pPr>
        <w:spacing w:after="0" w:line="26" w:lineRule="exact"/>
        <w:rPr>
          <w:sz w:val="20"/>
          <w:szCs w:val="20"/>
          <w:color w:val="auto"/>
        </w:rPr>
      </w:pPr>
    </w:p>
    <w:p>
      <w:pPr>
        <w:ind w:left="1300" w:hanging="259"/>
        <w:spacing w:after="0"/>
        <w:tabs>
          <w:tab w:leader="none" w:pos="1300" w:val="left"/>
        </w:tabs>
        <w:numPr>
          <w:ilvl w:val="0"/>
          <w:numId w:val="115"/>
        </w:numPr>
        <w:rPr>
          <w:rFonts w:ascii="Arial" w:cs="Arial" w:eastAsia="Arial" w:hAnsi="Arial"/>
          <w:sz w:val="18"/>
          <w:szCs w:val="18"/>
          <w:color w:val="010000"/>
        </w:rPr>
      </w:pPr>
      <w:r>
        <w:rPr>
          <w:rFonts w:ascii="Arial" w:cs="Arial" w:eastAsia="Arial" w:hAnsi="Arial"/>
          <w:sz w:val="18"/>
          <w:szCs w:val="18"/>
          <w:color w:val="010000"/>
        </w:rPr>
        <w:t>A Change of Control shall occur; or</w:t>
      </w:r>
    </w:p>
    <w:p>
      <w:pPr>
        <w:spacing w:after="0" w:line="113" w:lineRule="exact"/>
        <w:rPr>
          <w:rFonts w:ascii="Arial" w:cs="Arial" w:eastAsia="Arial" w:hAnsi="Arial"/>
          <w:sz w:val="18"/>
          <w:szCs w:val="18"/>
          <w:color w:val="010000"/>
        </w:rPr>
      </w:pPr>
    </w:p>
    <w:p>
      <w:pPr>
        <w:jc w:val="both"/>
        <w:ind w:right="40" w:firstLine="1041"/>
        <w:spacing w:after="0" w:line="273" w:lineRule="auto"/>
        <w:tabs>
          <w:tab w:leader="none" w:pos="1286" w:val="left"/>
        </w:tabs>
        <w:numPr>
          <w:ilvl w:val="0"/>
          <w:numId w:val="115"/>
        </w:numPr>
        <w:rPr>
          <w:rFonts w:ascii="Arial" w:cs="Arial" w:eastAsia="Arial" w:hAnsi="Arial"/>
          <w:sz w:val="17"/>
          <w:szCs w:val="17"/>
          <w:color w:val="010000"/>
        </w:rPr>
      </w:pPr>
      <w:r>
        <w:rPr>
          <w:rFonts w:ascii="Arial" w:cs="Arial" w:eastAsia="Arial" w:hAnsi="Arial"/>
          <w:sz w:val="17"/>
          <w:szCs w:val="17"/>
          <w:color w:val="010000"/>
        </w:rPr>
        <w:t>Any ERISA Event shall have occurred with respect to a Plan and such ERISA Event could reasonably be expected to result in a Material Adverse Effect; or 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exceeds $25,000,000; or</w:t>
      </w:r>
    </w:p>
    <w:p>
      <w:pPr>
        <w:spacing w:after="0" w:line="70" w:lineRule="exact"/>
        <w:rPr>
          <w:rFonts w:ascii="Arial" w:cs="Arial" w:eastAsia="Arial" w:hAnsi="Arial"/>
          <w:sz w:val="17"/>
          <w:szCs w:val="17"/>
          <w:color w:val="010000"/>
        </w:rPr>
      </w:pPr>
    </w:p>
    <w:p>
      <w:pPr>
        <w:ind w:right="40" w:firstLine="1041"/>
        <w:spacing w:after="0" w:line="279" w:lineRule="auto"/>
        <w:tabs>
          <w:tab w:leader="none" w:pos="1246" w:val="left"/>
        </w:tabs>
        <w:numPr>
          <w:ilvl w:val="0"/>
          <w:numId w:val="115"/>
        </w:numPr>
        <w:rPr>
          <w:rFonts w:ascii="Arial" w:cs="Arial" w:eastAsia="Arial" w:hAnsi="Arial"/>
          <w:sz w:val="17"/>
          <w:szCs w:val="17"/>
          <w:color w:val="010000"/>
        </w:rPr>
      </w:pPr>
      <w:r>
        <w:rPr>
          <w:rFonts w:ascii="Arial" w:cs="Arial" w:eastAsia="Arial" w:hAnsi="Arial"/>
          <w:sz w:val="17"/>
          <w:szCs w:val="17"/>
          <w:color w:val="010000"/>
        </w:rPr>
        <w:t>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exceeds $25,000,000; or</w:t>
      </w:r>
    </w:p>
    <w:p>
      <w:pPr>
        <w:spacing w:after="0" w:line="65" w:lineRule="exact"/>
        <w:rPr>
          <w:rFonts w:ascii="Arial" w:cs="Arial" w:eastAsia="Arial" w:hAnsi="Arial"/>
          <w:sz w:val="17"/>
          <w:szCs w:val="17"/>
          <w:color w:val="010000"/>
        </w:rPr>
      </w:pPr>
    </w:p>
    <w:p>
      <w:pPr>
        <w:ind w:right="60" w:firstLine="1041"/>
        <w:spacing w:after="0" w:line="269" w:lineRule="auto"/>
        <w:tabs>
          <w:tab w:leader="none" w:pos="1246" w:val="left"/>
        </w:tabs>
        <w:numPr>
          <w:ilvl w:val="0"/>
          <w:numId w:val="115"/>
        </w:numPr>
        <w:rPr>
          <w:rFonts w:ascii="Arial" w:cs="Arial" w:eastAsia="Arial" w:hAnsi="Arial"/>
          <w:sz w:val="17"/>
          <w:szCs w:val="17"/>
          <w:color w:val="010000"/>
        </w:rPr>
      </w:pPr>
      <w:r>
        <w:rPr>
          <w:rFonts w:ascii="Arial" w:cs="Arial" w:eastAsia="Arial" w:hAnsi="Arial"/>
          <w:sz w:val="17"/>
          <w:szCs w:val="17"/>
          <w:color w:val="010000"/>
        </w:rPr>
        <w:t>Any Loan Party or any ERISA Affiliate shall have been notified by the sponsor of a Multiemployer Plan that such Multiemployer Plan is insolvent or is being terminated, within the meaning of Title IV of ERISA, or has been determined to be in “endangered” or “critical” status within the meaning of Section 432 of the Code or Section 305 of ERISA, and as a result of such insolvency or termination or determination, the aggregate annual contributions of the Loan Parties and the ERISA Affiliates to all Multiemployer Plans that are then insolvent, being terminated or in endangered or critical status have been or will be increased over the amounts contributed to such Multiemployer Plans for the plan years of such Multiemployer Plans immediately preceding the plan year in which such insolvency or termination or determination, occurs by an amount exceeding $25,000,000; or</w:t>
      </w:r>
    </w:p>
    <w:p>
      <w:pPr>
        <w:spacing w:after="0" w:line="72" w:lineRule="exact"/>
        <w:rPr>
          <w:rFonts w:ascii="Arial" w:cs="Arial" w:eastAsia="Arial" w:hAnsi="Arial"/>
          <w:sz w:val="17"/>
          <w:szCs w:val="17"/>
          <w:color w:val="010000"/>
        </w:rPr>
      </w:pPr>
    </w:p>
    <w:p>
      <w:pPr>
        <w:ind w:right="120" w:firstLine="1041"/>
        <w:spacing w:after="0" w:line="254" w:lineRule="auto"/>
        <w:tabs>
          <w:tab w:leader="none" w:pos="1286" w:val="left"/>
        </w:tabs>
        <w:numPr>
          <w:ilvl w:val="0"/>
          <w:numId w:val="115"/>
        </w:numPr>
        <w:rPr>
          <w:rFonts w:ascii="Arial" w:cs="Arial" w:eastAsia="Arial" w:hAnsi="Arial"/>
          <w:sz w:val="18"/>
          <w:szCs w:val="18"/>
          <w:color w:val="010000"/>
        </w:rPr>
      </w:pPr>
      <w:r>
        <w:rPr>
          <w:rFonts w:ascii="Arial" w:cs="Arial" w:eastAsia="Arial" w:hAnsi="Arial"/>
          <w:sz w:val="18"/>
          <w:szCs w:val="18"/>
          <w:color w:val="010000"/>
        </w:rPr>
        <w:t>Any provision of any Collateral Document material to the substantial realization of the rights of the Lenders under the Collateral Documents taken as a whole, or any provision of any other Loan Document after delivery thereof on the Initial Closing Date or the Closing Date or pursuant to Section 5.01(i) or (j) shall for any reason cease to be valid and binding on or enforceable against any Loan Party party to it, or any such Loan Party shall so state in writing; or</w:t>
      </w:r>
    </w:p>
    <w:p>
      <w:pPr>
        <w:spacing w:after="0" w:line="83" w:lineRule="exact"/>
        <w:rPr>
          <w:rFonts w:ascii="Arial" w:cs="Arial" w:eastAsia="Arial" w:hAnsi="Arial"/>
          <w:sz w:val="18"/>
          <w:szCs w:val="18"/>
          <w:color w:val="010000"/>
        </w:rPr>
      </w:pPr>
    </w:p>
    <w:p>
      <w:pPr>
        <w:ind w:right="120" w:firstLine="1041"/>
        <w:spacing w:after="0" w:line="254" w:lineRule="auto"/>
        <w:tabs>
          <w:tab w:leader="none" w:pos="1246" w:val="left"/>
        </w:tabs>
        <w:numPr>
          <w:ilvl w:val="0"/>
          <w:numId w:val="115"/>
        </w:numPr>
        <w:rPr>
          <w:rFonts w:ascii="Arial" w:cs="Arial" w:eastAsia="Arial" w:hAnsi="Arial"/>
          <w:sz w:val="18"/>
          <w:szCs w:val="18"/>
          <w:color w:val="010000"/>
        </w:rPr>
      </w:pPr>
      <w:r>
        <w:rPr>
          <w:rFonts w:ascii="Arial" w:cs="Arial" w:eastAsia="Arial" w:hAnsi="Arial"/>
          <w:sz w:val="18"/>
          <w:szCs w:val="18"/>
          <w:color w:val="010000"/>
        </w:rPr>
        <w:t>Any Collateral Document or financing statement after delivery thereof on the Initial Closing Date or the Closing Date or pursuant to Section 5.01(i) or (j) shall for any reason (other than pursuant to the terms thereof) cease to create a valid and perfected first priority lien on and security interest in any of the ABL Priority Collateral having a Value of $5,000,000 (other than the Specified Collateral as set forth in Section 6(m) of the Security Agreement) purported to be covered thereby.</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then, and in any such event, the Agent (i) shall at the request, or may with the consent, of the Required Lenders, by notice to the Company, declare the obligation of each Lender to make Revolving Loans (other than Revolving Loans to be made by an Issuing Bank or a Lender pursuant to Section 2.03(c)) and of the Issuing Banks to issue Letters of Credit to be terminated, whereupon the same shall forthwith terminate, and (ii) shall at the request, or may with the consent, of the Required Lenders, by notice to the Company, declare the Revolving Loans, all interest thereon and all other amounts payable under this Agreement to be forthwith due and payable, whereupon the Revolving Loans, all such interest and all such amounts shall become and be forthwith due and payable, without presentment, demand, protest or further notice of any kind, all of which are hereby expressly waived by Borrower and each other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an actual or deemed entry of an order for relief with respect to Borrower under the Federal Bankruptcy Code, (A) the obligation of each Lender to make Revolving Loans (other than Revolving Loans to be made by an Issuing Bank or a Lender pursuant to Section 2.03(c)) and of the Issuing Banks to issue Letters of Credit shall automatically be terminated and (B) the Revolving Loans, all such interest and all such amounts shall automatically become and be due and payable, without presentment, demand, protest or any notice of any kind, all of which are hereby expressly waived by Borrower and each other Loan Party.</w:t>
      </w:r>
    </w:p>
    <w:p>
      <w:pPr>
        <w:spacing w:after="0" w:line="186"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010000"/>
        </w:rPr>
        <w:t xml:space="preserve">SECTION 6.02. </w:t>
      </w:r>
      <w:r>
        <w:rPr>
          <w:rFonts w:ascii="Arial" w:cs="Arial" w:eastAsia="Arial" w:hAnsi="Arial"/>
          <w:sz w:val="17"/>
          <w:szCs w:val="17"/>
          <w:u w:val="single" w:color="auto"/>
          <w:color w:val="010000"/>
        </w:rPr>
        <w:t>Actions in Respect of the Letters of Credit upon Default</w:t>
      </w:r>
      <w:r>
        <w:rPr>
          <w:rFonts w:ascii="Arial" w:cs="Arial" w:eastAsia="Arial" w:hAnsi="Arial"/>
          <w:sz w:val="17"/>
          <w:szCs w:val="17"/>
          <w:color w:val="010000"/>
        </w:rPr>
        <w:t xml:space="preserve">. If any Event of Default shall have occurred and be continuing, the Agent may, or shall at the request, of the Required Lenders, irrespective of whether it is taking any of the actions described in Section 6.01, make demand upon the Borrower to, and forthwith upon such demand the Borrower will, (a) pay to the Agent on behalf of the Lenders in same day funds at the Agent’s office designated in such demand, for deposit in the L/C Cash Deposit Account, an amount equal to the aggregate Available Amount of all Letters of Credit then outstanding or (b) make such other arrangements in respect of the outstanding Letters of Credit as shall be acceptable to the Agent and not more disadvantageous to the Borrower than clause (a);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that in the event of an actual or deemed entry of an order for relief with respect to the Company under the Federal Bankruptcy Code, an amount equal to the aggregate Available Amount of all outstanding Letters of Credit shall be immediately due and payable to the Agent for the account of the Lenders without notice to or demand upon the Borrower, which are expressly waived by the Borrower, to be held in the L/C Cash Deposit Account. If at any time an Event of Default is continuing the Agent determines that any funds held in the L/C Cash Deposit Account are subject to any right or claim of any Person other than the Agent and the Lenders or that the total amount of such funds is less than the aggregate Available Amount of all Letters of Credit, then the Borrower will, forthwith upon demand by the Agent, pay to the Agent, as additional funds to be deposited and held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21" w:name="page122"/>
    <w:bookmarkEnd w:id="121"/>
    <w:p>
      <w:pPr>
        <w:spacing w:after="0" w:line="250" w:lineRule="auto"/>
        <w:rPr>
          <w:sz w:val="20"/>
          <w:szCs w:val="20"/>
          <w:color w:val="auto"/>
        </w:rPr>
      </w:pPr>
      <w:r>
        <w:rPr>
          <w:rFonts w:ascii="Arial" w:cs="Arial" w:eastAsia="Arial" w:hAnsi="Arial"/>
          <w:sz w:val="18"/>
          <w:szCs w:val="18"/>
          <w:color w:val="010000"/>
        </w:rPr>
        <w:t>in the L/C Cash Deposit Account, an amount equal to the excess of (i) such aggregate Available Amount over (ii) the total amount of funds, if any, then held in the L/C Cash Deposit Account that the Agent determines to be free and clear of any such right and claim. Upon the drawing of any Letter of Credit, to the extent funds are on deposit in the L/C Cash Deposit Account, such funds shall be applied to reimburse the Issuing Banks to the extent permitted by applicable law. After all such Letters of Credit shall have expired or been fully drawn upon, if at such time (x) no Event of Default is continuing or (y) all other obligations of the Company hereunder and under the Notes shall have been paid in full, the balance, if any, in such L/C Cash Deposit Account shall be returned to the Borrower. For purposes of this Section 6.02, the term “Available Amount” shall mean 105% of the maximum available amount to be drawn under such Letter of Credit.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6.03. </w:t>
      </w:r>
      <w:r>
        <w:rPr>
          <w:rFonts w:ascii="Arial" w:cs="Arial" w:eastAsia="Arial" w:hAnsi="Arial"/>
          <w:sz w:val="18"/>
          <w:szCs w:val="18"/>
          <w:u w:val="single" w:color="auto"/>
          <w:color w:val="010000"/>
        </w:rPr>
        <w:t>[Reserved]</w:t>
      </w:r>
      <w:r>
        <w:rPr>
          <w:rFonts w:ascii="Arial" w:cs="Arial" w:eastAsia="Arial" w:hAnsi="Arial"/>
          <w:sz w:val="18"/>
          <w:szCs w:val="18"/>
          <w:color w:val="010000"/>
        </w:rPr>
        <w: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6.04. </w:t>
      </w:r>
      <w:r>
        <w:rPr>
          <w:rFonts w:ascii="Arial" w:cs="Arial" w:eastAsia="Arial" w:hAnsi="Arial"/>
          <w:sz w:val="18"/>
          <w:szCs w:val="18"/>
          <w:u w:val="single" w:color="auto"/>
          <w:color w:val="010000"/>
        </w:rPr>
        <w:t>Application of Funds</w:t>
      </w:r>
      <w:r>
        <w:rPr>
          <w:rFonts w:ascii="Arial" w:cs="Arial" w:eastAsia="Arial" w:hAnsi="Arial"/>
          <w:sz w:val="18"/>
          <w:szCs w:val="18"/>
          <w:color w:val="010000"/>
        </w:rPr>
        <w:t>.</w:t>
      </w:r>
    </w:p>
    <w:p>
      <w:pPr>
        <w:spacing w:after="0" w:line="113" w:lineRule="exact"/>
        <w:rPr>
          <w:sz w:val="20"/>
          <w:szCs w:val="20"/>
          <w:color w:val="auto"/>
        </w:rPr>
      </w:pPr>
    </w:p>
    <w:p>
      <w:pPr>
        <w:ind w:right="600" w:firstLine="1041"/>
        <w:spacing w:after="0" w:line="331" w:lineRule="auto"/>
        <w:tabs>
          <w:tab w:leader="none" w:pos="1276" w:val="left"/>
        </w:tabs>
        <w:numPr>
          <w:ilvl w:val="0"/>
          <w:numId w:val="116"/>
        </w:numPr>
        <w:rPr>
          <w:rFonts w:ascii="Arial" w:cs="Arial" w:eastAsia="Arial" w:hAnsi="Arial"/>
          <w:sz w:val="16"/>
          <w:szCs w:val="16"/>
          <w:color w:val="010000"/>
        </w:rPr>
      </w:pPr>
      <w:r>
        <w:rPr>
          <w:rFonts w:ascii="Arial" w:cs="Arial" w:eastAsia="Arial" w:hAnsi="Arial"/>
          <w:sz w:val="16"/>
          <w:szCs w:val="16"/>
          <w:color w:val="010000"/>
        </w:rPr>
        <w:t xml:space="preserve">Payments made by Borrower and other Loan Parties hereunder shall be applied (a) </w:t>
      </w:r>
      <w:r>
        <w:rPr>
          <w:rFonts w:ascii="Arial" w:cs="Arial" w:eastAsia="Arial" w:hAnsi="Arial"/>
          <w:sz w:val="16"/>
          <w:szCs w:val="16"/>
          <w:u w:val="single" w:color="auto"/>
          <w:color w:val="010000"/>
        </w:rPr>
        <w:t>first</w:t>
      </w:r>
      <w:r>
        <w:rPr>
          <w:rFonts w:ascii="Arial" w:cs="Arial" w:eastAsia="Arial" w:hAnsi="Arial"/>
          <w:sz w:val="16"/>
          <w:szCs w:val="16"/>
          <w:color w:val="010000"/>
        </w:rPr>
        <w:t xml:space="preserve">, as specifically required hereby; (b) </w:t>
      </w:r>
      <w:r>
        <w:rPr>
          <w:rFonts w:ascii="Arial" w:cs="Arial" w:eastAsia="Arial" w:hAnsi="Arial"/>
          <w:sz w:val="16"/>
          <w:szCs w:val="16"/>
          <w:u w:val="single" w:color="auto"/>
          <w:color w:val="010000"/>
        </w:rPr>
        <w:t>second</w:t>
      </w:r>
      <w:r>
        <w:rPr>
          <w:rFonts w:ascii="Arial" w:cs="Arial" w:eastAsia="Arial" w:hAnsi="Arial"/>
          <w:sz w:val="16"/>
          <w:szCs w:val="16"/>
          <w:color w:val="010000"/>
        </w:rPr>
        <w:t xml:space="preserve">, to Obligations then due and owing; (b) </w:t>
      </w:r>
      <w:r>
        <w:rPr>
          <w:rFonts w:ascii="Arial" w:cs="Arial" w:eastAsia="Arial" w:hAnsi="Arial"/>
          <w:sz w:val="16"/>
          <w:szCs w:val="16"/>
          <w:u w:val="single" w:color="auto"/>
          <w:color w:val="010000"/>
        </w:rPr>
        <w:t>third</w:t>
      </w:r>
      <w:r>
        <w:rPr>
          <w:rFonts w:ascii="Arial" w:cs="Arial" w:eastAsia="Arial" w:hAnsi="Arial"/>
          <w:sz w:val="16"/>
          <w:szCs w:val="16"/>
          <w:color w:val="010000"/>
        </w:rPr>
        <w:t xml:space="preserve">, to other Obligations specified by Borrower; and (c) </w:t>
      </w:r>
      <w:r>
        <w:rPr>
          <w:rFonts w:ascii="Arial" w:cs="Arial" w:eastAsia="Arial" w:hAnsi="Arial"/>
          <w:sz w:val="16"/>
          <w:szCs w:val="16"/>
          <w:u w:val="single" w:color="auto"/>
          <w:color w:val="010000"/>
        </w:rPr>
        <w:t>fourth</w:t>
      </w:r>
      <w:r>
        <w:rPr>
          <w:rFonts w:ascii="Arial" w:cs="Arial" w:eastAsia="Arial" w:hAnsi="Arial"/>
          <w:sz w:val="16"/>
          <w:szCs w:val="16"/>
          <w:color w:val="010000"/>
        </w:rPr>
        <w:t>, as determined by Agent in its discretion.</w:t>
      </w:r>
    </w:p>
    <w:p>
      <w:pPr>
        <w:spacing w:after="0" w:line="25" w:lineRule="exact"/>
        <w:rPr>
          <w:rFonts w:ascii="Arial" w:cs="Arial" w:eastAsia="Arial" w:hAnsi="Arial"/>
          <w:sz w:val="16"/>
          <w:szCs w:val="16"/>
          <w:color w:val="010000"/>
        </w:rPr>
      </w:pPr>
    </w:p>
    <w:p>
      <w:pPr>
        <w:ind w:right="60" w:firstLine="1041"/>
        <w:spacing w:after="0" w:line="257" w:lineRule="auto"/>
        <w:tabs>
          <w:tab w:leader="none" w:pos="1286" w:val="left"/>
        </w:tabs>
        <w:numPr>
          <w:ilvl w:val="0"/>
          <w:numId w:val="116"/>
        </w:numPr>
        <w:rPr>
          <w:rFonts w:ascii="Arial" w:cs="Arial" w:eastAsia="Arial" w:hAnsi="Arial"/>
          <w:sz w:val="18"/>
          <w:szCs w:val="18"/>
          <w:color w:val="010000"/>
        </w:rPr>
      </w:pPr>
      <w:r>
        <w:rPr>
          <w:rFonts w:ascii="Arial" w:cs="Arial" w:eastAsia="Arial" w:hAnsi="Arial"/>
          <w:sz w:val="18"/>
          <w:szCs w:val="18"/>
          <w:color w:val="010000"/>
        </w:rPr>
        <w:t>Notwithstanding anything to the contrary set forth in any Loan Document, during the occurrence and continuance of an Event of Default, any amounts received by the Agent on account of the Obligations, whether received from or on account of any Loan Party, or in respect of any Collateral, setoff or otherwise, shall be applied by the Agent in the following order:</w:t>
      </w:r>
    </w:p>
    <w:p>
      <w:pPr>
        <w:spacing w:after="0" w:line="188" w:lineRule="exact"/>
        <w:rPr>
          <w:sz w:val="20"/>
          <w:szCs w:val="20"/>
          <w:color w:val="auto"/>
        </w:rPr>
      </w:pPr>
    </w:p>
    <w:p>
      <w:pPr>
        <w:ind w:right="1040" w:firstLine="518"/>
        <w:spacing w:after="0" w:line="297"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to payment of that portion of the Obligations constituting fees, indemnities, expenses and other amounts (including fees, charges and disbursements of counsel to the Agent and amounts payable under Article II) payable to the Agent in its capacity as such;</w:t>
      </w:r>
    </w:p>
    <w:p>
      <w:pPr>
        <w:spacing w:after="0" w:line="156" w:lineRule="exact"/>
        <w:rPr>
          <w:sz w:val="20"/>
          <w:szCs w:val="20"/>
          <w:color w:val="auto"/>
        </w:rPr>
      </w:pPr>
    </w:p>
    <w:p>
      <w:pPr>
        <w:ind w:right="400" w:firstLine="518"/>
        <w:spacing w:after="0" w:line="267"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payment of all amounts owing to Agent in respect of Swingline Loans, Overadvance Loans, Protective Revolving Loans, and Revolving Loans and participations that a Defaulting Lender has failed to settle or fund;</w:t>
      </w:r>
    </w:p>
    <w:p>
      <w:pPr>
        <w:spacing w:after="0" w:line="18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fees, indemnities and other amounts payable to the Issuing Banks (including fees, charges and disbursements of counsel to the respective Issuing Banks payable under the Loan Documents and amounts payable under Article II), ratably among them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8"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fees, indemnities and other amounts (other than principal, interest, Letter of Credit fees and commitment fees) payable to the Lenders (including fees, charges and disbursements of counsel to the respective Lenders payable under the Loan Documents and amounts payable under Article II (in each case, other than fees, indemnities and other amounts, and amounts then payable under Article II, arising in respect of Bank Product Obligations and Specified Secured Obligations)), ratably among them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payable to them;</w:t>
      </w:r>
    </w:p>
    <w:p>
      <w:pPr>
        <w:spacing w:after="0" w:line="193" w:lineRule="exact"/>
        <w:rPr>
          <w:sz w:val="20"/>
          <w:szCs w:val="20"/>
          <w:color w:val="auto"/>
        </w:rPr>
      </w:pPr>
    </w:p>
    <w:p>
      <w:pPr>
        <w:jc w:val="both"/>
        <w:ind w:right="40" w:firstLine="518"/>
        <w:spacing w:after="0" w:line="257"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payment of that portion of the Obligations constituting accrued and unpaid Letter of Credit fees, commitment fees and interest on the Revolving Loans, unreimbursed amounts under Letters of Credit and other Obligations arising under the Loan Documents, ratably among the Lenders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payable to them;</w:t>
      </w:r>
    </w:p>
    <w:p>
      <w:pPr>
        <w:spacing w:after="0" w:line="188" w:lineRule="exact"/>
        <w:rPr>
          <w:sz w:val="20"/>
          <w:szCs w:val="20"/>
          <w:color w:val="auto"/>
        </w:rPr>
      </w:pPr>
    </w:p>
    <w:p>
      <w:pPr>
        <w:jc w:val="both"/>
        <w:ind w:right="420" w:firstLine="518"/>
        <w:spacing w:after="0" w:line="331" w:lineRule="auto"/>
        <w:rPr>
          <w:sz w:val="20"/>
          <w:szCs w:val="20"/>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Agent for the account of the Issuing Banks, to Cash Collateralize that portion of Letter of Credit Obligations comprising the aggregate undrawn amount of Letters of Credit, ratably among the Issuing Banks in proportion to the respective amounts described in this clause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held by them;</w:t>
      </w:r>
    </w:p>
    <w:p>
      <w:pPr>
        <w:spacing w:after="0" w:line="133" w:lineRule="exact"/>
        <w:rPr>
          <w:sz w:val="20"/>
          <w:szCs w:val="20"/>
          <w:color w:val="auto"/>
        </w:rPr>
      </w:pPr>
    </w:p>
    <w:p>
      <w:pPr>
        <w:ind w:right="180" w:firstLine="518"/>
        <w:spacing w:after="0" w:line="304" w:lineRule="auto"/>
        <w:rPr>
          <w:sz w:val="20"/>
          <w:szCs w:val="20"/>
          <w:color w:val="auto"/>
        </w:rPr>
      </w:pP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Agent for the payment of that portion of the Obligations constituting unpaid principal of the Revolving Loans, unreimbursed amounts under Letters of Credit and Bank Product Obligations arising under Hedging Agreements but only up to the amount of the Bank Product Reserve, ratably among the Lenders, the Issuing Banks, and the Bank Product Providers in proportion to the respective amounts described in this clause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held by them;</w:t>
      </w:r>
    </w:p>
    <w:p>
      <w:pPr>
        <w:spacing w:after="0" w:line="154" w:lineRule="exact"/>
        <w:rPr>
          <w:sz w:val="20"/>
          <w:szCs w:val="20"/>
          <w:color w:val="auto"/>
        </w:rPr>
      </w:pPr>
    </w:p>
    <w:p>
      <w:pPr>
        <w:ind w:right="260" w:firstLine="518"/>
        <w:spacing w:after="0" w:line="267"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payment of the Bank Product Obligations other than as provided for in clause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above, ratably among the Bank Product Providers in proportion to the respective amounts described in this clause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held by them,</w:t>
      </w:r>
    </w:p>
    <w:p>
      <w:pPr>
        <w:spacing w:after="0" w:line="180" w:lineRule="exact"/>
        <w:rPr>
          <w:sz w:val="20"/>
          <w:szCs w:val="20"/>
          <w:color w:val="auto"/>
        </w:rPr>
      </w:pPr>
    </w:p>
    <w:p>
      <w:pPr>
        <w:ind w:right="120" w:firstLine="518"/>
        <w:spacing w:after="0" w:line="267" w:lineRule="auto"/>
        <w:rPr>
          <w:sz w:val="20"/>
          <w:szCs w:val="20"/>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xml:space="preserve">, to payment of all other Obligations (other than Specified Secured Obligations) ratably among the Lenders and the Issuing Banks in proportion to the respective amounts described in this clause </w:t>
      </w:r>
      <w:r>
        <w:rPr>
          <w:rFonts w:ascii="Arial" w:cs="Arial" w:eastAsia="Arial" w:hAnsi="Arial"/>
          <w:sz w:val="18"/>
          <w:szCs w:val="18"/>
          <w:u w:val="single" w:color="auto"/>
          <w:color w:val="auto"/>
        </w:rPr>
        <w:t>Ninth</w:t>
      </w:r>
      <w:r>
        <w:rPr>
          <w:rFonts w:ascii="Arial" w:cs="Arial" w:eastAsia="Arial" w:hAnsi="Arial"/>
          <w:sz w:val="18"/>
          <w:szCs w:val="18"/>
          <w:color w:val="auto"/>
        </w:rPr>
        <w:t xml:space="preserve"> held by them;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22" w:name="page123"/>
    <w:bookmarkEnd w:id="122"/>
    <w:p>
      <w:pPr>
        <w:ind w:right="20" w:firstLine="518"/>
        <w:spacing w:after="0" w:line="254" w:lineRule="auto"/>
        <w:rPr>
          <w:sz w:val="20"/>
          <w:szCs w:val="20"/>
          <w:color w:val="auto"/>
        </w:rPr>
      </w:pPr>
      <w:r>
        <w:rPr>
          <w:rFonts w:ascii="Arial" w:cs="Arial" w:eastAsia="Arial" w:hAnsi="Arial"/>
          <w:sz w:val="18"/>
          <w:szCs w:val="18"/>
          <w:u w:val="single" w:color="auto"/>
          <w:color w:val="auto"/>
        </w:rPr>
        <w:t>Tenth</w:t>
      </w:r>
      <w:r>
        <w:rPr>
          <w:rFonts w:ascii="Arial" w:cs="Arial" w:eastAsia="Arial" w:hAnsi="Arial"/>
          <w:sz w:val="18"/>
          <w:szCs w:val="18"/>
          <w:color w:val="auto"/>
        </w:rPr>
        <w:t>, to payment of the Specified Secured Obligations, ratably among the Specified Secured Creditors based upon amounts then certified by the applicable Specified Secured Creditor to Agent (in form and substance satisfactory to the Agent) to be then due and payable to such Specified Secured Creditor on account of Specified Secured Obligations, but only up to the amount of the Specified Secured Obligations Reserve then in effect with respect to such Specified Secured Obligations, and</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paid in full in cash, to the Borrower or as otherwise required by law.</w:t>
      </w:r>
    </w:p>
    <w:p>
      <w:pPr>
        <w:spacing w:after="0" w:line="220"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Subject to Section 6.02, amounts used to Cash Collateralize the aggregate undrawn amount of Letters of Credit pursuant to Section 6.04(a) or clause Sixth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Amounts shall be applied to payment of each category of Obligations only after full payment of amounts payable from time to time under all preceding categories. If amounts are insufficient to satisfy a category, they shall be paid ratably among outstanding Obligations in the category. Monies and proceeds obtained from a Loan Party shall not be applied to its Excluded Swap Obligations, but appropriate adjustments shall be made with respect to amounts obtained from other Loan Parties to preserve the allocations in any applicable category. The Agent shall have no obligation to calculate the amount of any Bank Product Obligation or Specified Secured Obligation and may request a reasonably detailed calculation thereof from a Bank Product Provider or a Specified Secured Creditor, as the case may be. If the provider fails to deliver the calculation within five days following request, the Agent may assume the amount is zero. Each holder of Obligations under a Bank Product Agreement or a Specified Secured Creditor Agreement not a party to this Agreement that has given the notice contemplated by the preceding sentence shall, by such notice, be deemed to have acknowledged and accepted the appointment of the Agent pursuant to the terms of Article VIII hereof for itself and its Affiliates as if a “Lender” party hereto. The allocations set forth in this Section are solely to determine the rights and priorities among Secured Parties, and may be changed by agreement of the affected Secured Parties, without the consent of any Loan Party. This Section is not for the benefit of or enforceable by any Loan Party, and each Loan Party irrevocably waives the right to direct the application of any payments or Collateral proceeds subject to this Section.</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GUARANTY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u w:val="single" w:color="auto"/>
          <w:color w:val="010000"/>
        </w:rPr>
        <w:t>Guaranty; Limitation of Liability</w:t>
      </w:r>
      <w:r>
        <w:rPr>
          <w:rFonts w:ascii="Arial" w:cs="Arial" w:eastAsia="Arial" w:hAnsi="Arial"/>
          <w:sz w:val="18"/>
          <w:szCs w:val="18"/>
          <w:color w:val="010000"/>
        </w:rPr>
        <w:t>.</w:t>
      </w:r>
    </w:p>
    <w:p>
      <w:pPr>
        <w:spacing w:after="0" w:line="113" w:lineRule="exact"/>
        <w:rPr>
          <w:sz w:val="20"/>
          <w:szCs w:val="20"/>
          <w:color w:val="auto"/>
        </w:rPr>
      </w:pPr>
    </w:p>
    <w:p>
      <w:pPr>
        <w:ind w:right="20" w:firstLine="1041"/>
        <w:spacing w:after="0" w:line="283" w:lineRule="auto"/>
        <w:tabs>
          <w:tab w:leader="none" w:pos="1276" w:val="left"/>
        </w:tabs>
        <w:numPr>
          <w:ilvl w:val="0"/>
          <w:numId w:val="117"/>
        </w:numPr>
        <w:rPr>
          <w:rFonts w:ascii="Arial" w:cs="Arial" w:eastAsia="Arial" w:hAnsi="Arial"/>
          <w:sz w:val="16"/>
          <w:szCs w:val="16"/>
          <w:color w:val="010000"/>
        </w:rPr>
      </w:pPr>
      <w:r>
        <w:rPr>
          <w:rFonts w:ascii="Arial" w:cs="Arial" w:eastAsia="Arial" w:hAnsi="Arial"/>
          <w:sz w:val="16"/>
          <w:szCs w:val="16"/>
          <w:color w:val="010000"/>
        </w:rPr>
        <w:t>Borrower and each Subsidiary Guarantor, jointly and severally, hereby absolutely, unconditionally and irrevocably guarantees the punctual payment when due, whether at scheduled maturity or on any date of a required prepayment or by acceleration, demand or otherwise, of all Obligations of each other Loan Party and each other Subsidiary of the Company now or hereafter existing under or in respect of the Loan Documents or any Bank Product Agreement or any agreement evidencing a Specified Secured Obligation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exclusive of Excluded Swap Obligations (such obligations being the “</w:t>
      </w:r>
      <w:r>
        <w:rPr>
          <w:rFonts w:ascii="Arial" w:cs="Arial" w:eastAsia="Arial" w:hAnsi="Arial"/>
          <w:sz w:val="16"/>
          <w:szCs w:val="16"/>
          <w:u w:val="single" w:color="auto"/>
          <w:color w:val="010000"/>
        </w:rPr>
        <w:t>Guaranteed Obligations</w:t>
      </w:r>
      <w:r>
        <w:rPr>
          <w:rFonts w:ascii="Arial" w:cs="Arial" w:eastAsia="Arial" w:hAnsi="Arial"/>
          <w:sz w:val="16"/>
          <w:szCs w:val="16"/>
          <w:color w:val="010000"/>
        </w:rPr>
        <w:t>”), and agrees to pay any and all expenses (including, without limitation, reasonable fees and expenses of counsel) incurred by the Agent or any other Lender in enforcing any rights under this Guaranty or any other Loan Document. Without limiting the generality of the foregoing, each Guarantor’s liability shall extend to all amounts that constitute part of the Guaranteed Obligations and would be owed by any other Loan Party or Subsidiary of the Company, as applicable, to the Agent or any Lender under or in respect of the Loan Documents or any Bank Product Agreement or any agreement evidencing a Specified Secured Obligation but for the fact that they are unenforceable or not allowable due to the existence of a bankruptcy, reorganization or similar proceeding involving such other Loan Party or Subsidiary, as the case may be.</w:t>
      </w:r>
    </w:p>
    <w:p>
      <w:pPr>
        <w:spacing w:after="0" w:line="63" w:lineRule="exact"/>
        <w:rPr>
          <w:rFonts w:ascii="Arial" w:cs="Arial" w:eastAsia="Arial" w:hAnsi="Arial"/>
          <w:sz w:val="16"/>
          <w:szCs w:val="16"/>
          <w:color w:val="010000"/>
        </w:rPr>
      </w:pPr>
    </w:p>
    <w:p>
      <w:pPr>
        <w:ind w:right="120" w:firstLine="1041"/>
        <w:spacing w:after="0" w:line="269" w:lineRule="auto"/>
        <w:tabs>
          <w:tab w:leader="none" w:pos="1286" w:val="left"/>
        </w:tabs>
        <w:numPr>
          <w:ilvl w:val="0"/>
          <w:numId w:val="117"/>
        </w:numPr>
        <w:rPr>
          <w:rFonts w:ascii="Arial" w:cs="Arial" w:eastAsia="Arial" w:hAnsi="Arial"/>
          <w:sz w:val="17"/>
          <w:szCs w:val="17"/>
          <w:color w:val="010000"/>
        </w:rPr>
      </w:pPr>
      <w:r>
        <w:rPr>
          <w:rFonts w:ascii="Arial" w:cs="Arial" w:eastAsia="Arial" w:hAnsi="Arial"/>
          <w:sz w:val="17"/>
          <w:szCs w:val="17"/>
          <w:color w:val="010000"/>
        </w:rPr>
        <w:t>Each Guarantor, and by its acceptance of this Guaranty, the Agent and each other Lender, hereby confirms that it is the intention of all such Persons that this Guaranty and the obligations of each Subsidiary Guarantor hereunder not constitute a fraudulent transfer or conveyance for purposes of Bankruptcy Law, the Uniform Fraudulent Conveyance Act, the Uniform Fraudulent Transfer Act or any similar foreign, federal or state law to the extent applicable to this Guaranty and the obligations of such Guarantor hereunder. To effectuate the foregoing intention, the Agent, the Lenders and the Guarantors hereby irrevocably agree that the obligations of such Guarantor under this Guaranty at any time shall be limited to the maximum amount as will result in the obligations of such Guarantor under this Guaranty not constituting a fraudulent transfer or conveyance.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554" w:right="299" w:bottom="1440" w:gutter="0" w:footer="0" w:header="0"/>
        </w:sectPr>
      </w:pPr>
    </w:p>
    <w:bookmarkStart w:id="123" w:name="page124"/>
    <w:bookmarkEnd w:id="123"/>
    <w:p>
      <w:pPr>
        <w:ind w:right="140" w:firstLine="1041"/>
        <w:spacing w:after="0" w:line="254" w:lineRule="auto"/>
        <w:tabs>
          <w:tab w:leader="none" w:pos="1276" w:val="left"/>
        </w:tabs>
        <w:numPr>
          <w:ilvl w:val="0"/>
          <w:numId w:val="118"/>
        </w:numPr>
        <w:rPr>
          <w:rFonts w:ascii="Arial" w:cs="Arial" w:eastAsia="Arial" w:hAnsi="Arial"/>
          <w:sz w:val="18"/>
          <w:szCs w:val="18"/>
          <w:color w:val="010000"/>
        </w:rPr>
      </w:pPr>
      <w:r>
        <w:rPr>
          <w:rFonts w:ascii="Arial" w:cs="Arial" w:eastAsia="Arial" w:hAnsi="Arial"/>
          <w:sz w:val="18"/>
          <w:szCs w:val="18"/>
          <w:color w:val="010000"/>
        </w:rPr>
        <w:t>Each Subsidiary Guarantor hereby unconditionally and irrevocably agrees that in the event any payment shall be required to be made to the Agent or any Lender under this Guaranty or any guaranty supplement of the Guaranteed Obligations, such Subsidiary Guarantor will contribute, to the maximum extent permitted by law, such amounts to each other Subsidiary Guarantor and each other guarantor so as to maximize the aggregate amount paid to the Agent and the Lenders under or in respect of the Loan Documents.</w:t>
      </w:r>
    </w:p>
    <w:p>
      <w:pPr>
        <w:spacing w:after="0" w:line="191"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010000"/>
        </w:rPr>
        <w:t xml:space="preserve">SECTION 7.02. </w:t>
      </w:r>
      <w:r>
        <w:rPr>
          <w:rFonts w:ascii="Arial" w:cs="Arial" w:eastAsia="Arial" w:hAnsi="Arial"/>
          <w:sz w:val="17"/>
          <w:szCs w:val="17"/>
          <w:u w:val="single" w:color="auto"/>
          <w:color w:val="010000"/>
        </w:rPr>
        <w:t>Guaranty Absolute</w:t>
      </w:r>
      <w:r>
        <w:rPr>
          <w:rFonts w:ascii="Arial" w:cs="Arial" w:eastAsia="Arial" w:hAnsi="Arial"/>
          <w:sz w:val="17"/>
          <w:szCs w:val="17"/>
          <w:color w:val="010000"/>
        </w:rPr>
        <w:t>. Each Guarantor guarantees that the applicable Guaranteed Obligations will be paid strictly in accordance with the terms of the Loan Documents, regardless of any law, regulation or order now or hereafter in effect in any jurisdiction affecting any of such terms or the rights of the Agent or any Lender with respect thereto. The obligations of each Guarantor under or in respect of this Guaranty are independent of the applicable Guaranteed Obligations or any other obligations of any other Loan Party under or in respect of the Loan Documents, and a separate action or actions may be brought and prosecuted against each Guarantor to enforce this Guaranty, irrespective of whether any action is brought against Borrower or any other Loan Party or whether Borrower or any other Loan Party is joined in any such action or actions. The liability of each Guarantor under this Guaranty shall be irrevocable, absolute and unconditional irrespective of, and each Guarantor hereby irrevocably waives any defenses it may now have or hereafter acquire in any way relating to, any or all of the following:</w:t>
      </w:r>
    </w:p>
    <w:p>
      <w:pPr>
        <w:spacing w:after="0" w:line="74" w:lineRule="exact"/>
        <w:rPr>
          <w:sz w:val="20"/>
          <w:szCs w:val="20"/>
          <w:color w:val="auto"/>
        </w:rPr>
      </w:pPr>
    </w:p>
    <w:p>
      <w:pPr>
        <w:ind w:left="1280" w:hanging="239"/>
        <w:spacing w:after="0"/>
        <w:tabs>
          <w:tab w:leader="none" w:pos="1280" w:val="left"/>
        </w:tabs>
        <w:numPr>
          <w:ilvl w:val="0"/>
          <w:numId w:val="119"/>
        </w:numPr>
        <w:rPr>
          <w:rFonts w:ascii="Arial" w:cs="Arial" w:eastAsia="Arial" w:hAnsi="Arial"/>
          <w:sz w:val="18"/>
          <w:szCs w:val="18"/>
          <w:color w:val="010000"/>
        </w:rPr>
      </w:pPr>
      <w:r>
        <w:rPr>
          <w:rFonts w:ascii="Arial" w:cs="Arial" w:eastAsia="Arial" w:hAnsi="Arial"/>
          <w:sz w:val="18"/>
          <w:szCs w:val="18"/>
          <w:color w:val="010000"/>
        </w:rPr>
        <w:t>any lack of validity or enforceability of any Loan Document or any agreement or instrument relating thereto;</w:t>
      </w:r>
    </w:p>
    <w:p>
      <w:pPr>
        <w:spacing w:after="0" w:line="113" w:lineRule="exact"/>
        <w:rPr>
          <w:rFonts w:ascii="Arial" w:cs="Arial" w:eastAsia="Arial" w:hAnsi="Arial"/>
          <w:sz w:val="18"/>
          <w:szCs w:val="18"/>
          <w:color w:val="010000"/>
        </w:rPr>
      </w:pPr>
    </w:p>
    <w:p>
      <w:pPr>
        <w:jc w:val="both"/>
        <w:ind w:right="280" w:firstLine="1041"/>
        <w:spacing w:after="0" w:line="254" w:lineRule="auto"/>
        <w:tabs>
          <w:tab w:leader="none" w:pos="1286" w:val="left"/>
        </w:tabs>
        <w:numPr>
          <w:ilvl w:val="0"/>
          <w:numId w:val="119"/>
        </w:numPr>
        <w:rPr>
          <w:rFonts w:ascii="Arial" w:cs="Arial" w:eastAsia="Arial" w:hAnsi="Arial"/>
          <w:sz w:val="18"/>
          <w:szCs w:val="18"/>
          <w:color w:val="010000"/>
        </w:rPr>
      </w:pPr>
      <w:r>
        <w:rPr>
          <w:rFonts w:ascii="Arial" w:cs="Arial" w:eastAsia="Arial" w:hAnsi="Arial"/>
          <w:sz w:val="18"/>
          <w:szCs w:val="18"/>
          <w:color w:val="010000"/>
        </w:rPr>
        <w:t>any change in the time, manner or place of payment of, or in any other term of, all or any of the applicable Guaranteed Obligations or any other obligations of any other Loan Party under or in respect of the Loan Documents, or any other amendment or waiver of or any consent to departure from any Loan Document, including, without limitation, any increase in the applicable Guaranteed Obligations resulting from the extension of additional credit to any Loan Party or any of its Subsidiaries or otherwise;</w:t>
      </w:r>
    </w:p>
    <w:p>
      <w:pPr>
        <w:spacing w:after="0" w:line="83" w:lineRule="exact"/>
        <w:rPr>
          <w:rFonts w:ascii="Arial" w:cs="Arial" w:eastAsia="Arial" w:hAnsi="Arial"/>
          <w:sz w:val="18"/>
          <w:szCs w:val="18"/>
          <w:color w:val="010000"/>
        </w:rPr>
      </w:pPr>
    </w:p>
    <w:p>
      <w:pPr>
        <w:ind w:right="100" w:firstLine="1041"/>
        <w:spacing w:after="0" w:line="267" w:lineRule="auto"/>
        <w:tabs>
          <w:tab w:leader="none" w:pos="1276" w:val="left"/>
        </w:tabs>
        <w:numPr>
          <w:ilvl w:val="0"/>
          <w:numId w:val="119"/>
        </w:numPr>
        <w:rPr>
          <w:rFonts w:ascii="Arial" w:cs="Arial" w:eastAsia="Arial" w:hAnsi="Arial"/>
          <w:sz w:val="18"/>
          <w:szCs w:val="18"/>
          <w:color w:val="010000"/>
        </w:rPr>
      </w:pPr>
      <w:r>
        <w:rPr>
          <w:rFonts w:ascii="Arial" w:cs="Arial" w:eastAsia="Arial" w:hAnsi="Arial"/>
          <w:sz w:val="18"/>
          <w:szCs w:val="18"/>
          <w:color w:val="010000"/>
        </w:rPr>
        <w:t>any taking, exchange, release or non-perfection of any Collateral or any other collateral, or any taking, release or amendment or waiver of, or consent to departure from, any other guaranty, for all or any of the applicable Guaranteed Obligations;</w:t>
      </w:r>
    </w:p>
    <w:p>
      <w:pPr>
        <w:spacing w:after="0" w:line="72" w:lineRule="exact"/>
        <w:rPr>
          <w:rFonts w:ascii="Arial" w:cs="Arial" w:eastAsia="Arial" w:hAnsi="Arial"/>
          <w:sz w:val="18"/>
          <w:szCs w:val="18"/>
          <w:color w:val="010000"/>
        </w:rPr>
      </w:pPr>
    </w:p>
    <w:p>
      <w:pPr>
        <w:ind w:right="80" w:firstLine="1041"/>
        <w:spacing w:after="0" w:line="279" w:lineRule="auto"/>
        <w:tabs>
          <w:tab w:leader="none" w:pos="1286" w:val="left"/>
        </w:tabs>
        <w:numPr>
          <w:ilvl w:val="0"/>
          <w:numId w:val="119"/>
        </w:numPr>
        <w:rPr>
          <w:rFonts w:ascii="Arial" w:cs="Arial" w:eastAsia="Arial" w:hAnsi="Arial"/>
          <w:sz w:val="17"/>
          <w:szCs w:val="17"/>
          <w:color w:val="010000"/>
        </w:rPr>
      </w:pPr>
      <w:r>
        <w:rPr>
          <w:rFonts w:ascii="Arial" w:cs="Arial" w:eastAsia="Arial" w:hAnsi="Arial"/>
          <w:sz w:val="17"/>
          <w:szCs w:val="17"/>
          <w:color w:val="010000"/>
        </w:rPr>
        <w:t>any manner of application of Collateral or any other collateral, or proceeds thereof, to all or any of the applicable Guaranteed Obligations or any manner of sale or other Disposition of any Collateral or any other collateral for all or any of the applicable Guaranteed Obligations or any other obligations of any Loan Party under the Loan Documents or any other assets of any Loan Party or any of its Subsidiaries;</w:t>
      </w:r>
    </w:p>
    <w:p>
      <w:pPr>
        <w:spacing w:after="0" w:line="65" w:lineRule="exact"/>
        <w:rPr>
          <w:rFonts w:ascii="Arial" w:cs="Arial" w:eastAsia="Arial" w:hAnsi="Arial"/>
          <w:sz w:val="17"/>
          <w:szCs w:val="17"/>
          <w:color w:val="010000"/>
        </w:rPr>
      </w:pPr>
    </w:p>
    <w:p>
      <w:pPr>
        <w:ind w:left="1280" w:hanging="239"/>
        <w:spacing w:after="0"/>
        <w:tabs>
          <w:tab w:leader="none" w:pos="1280" w:val="left"/>
        </w:tabs>
        <w:numPr>
          <w:ilvl w:val="0"/>
          <w:numId w:val="119"/>
        </w:numPr>
        <w:rPr>
          <w:rFonts w:ascii="Arial" w:cs="Arial" w:eastAsia="Arial" w:hAnsi="Arial"/>
          <w:sz w:val="18"/>
          <w:szCs w:val="18"/>
          <w:color w:val="010000"/>
        </w:rPr>
      </w:pPr>
      <w:r>
        <w:rPr>
          <w:rFonts w:ascii="Arial" w:cs="Arial" w:eastAsia="Arial" w:hAnsi="Arial"/>
          <w:sz w:val="18"/>
          <w:szCs w:val="18"/>
          <w:color w:val="010000"/>
        </w:rPr>
        <w:t>any change, restructuring or termination of the corporate structure or existence of any Loan Party or any of its Subsidiaries;</w:t>
      </w:r>
    </w:p>
    <w:p>
      <w:pPr>
        <w:spacing w:after="0" w:line="113" w:lineRule="exact"/>
        <w:rPr>
          <w:rFonts w:ascii="Arial" w:cs="Arial" w:eastAsia="Arial" w:hAnsi="Arial"/>
          <w:sz w:val="18"/>
          <w:szCs w:val="18"/>
          <w:color w:val="010000"/>
        </w:rPr>
      </w:pPr>
    </w:p>
    <w:p>
      <w:pPr>
        <w:ind w:right="440" w:firstLine="1041"/>
        <w:spacing w:after="0" w:line="257" w:lineRule="auto"/>
        <w:tabs>
          <w:tab w:leader="none" w:pos="1256" w:val="left"/>
        </w:tabs>
        <w:numPr>
          <w:ilvl w:val="0"/>
          <w:numId w:val="119"/>
        </w:numPr>
        <w:rPr>
          <w:rFonts w:ascii="Arial" w:cs="Arial" w:eastAsia="Arial" w:hAnsi="Arial"/>
          <w:sz w:val="18"/>
          <w:szCs w:val="18"/>
          <w:color w:val="010000"/>
        </w:rPr>
      </w:pPr>
      <w:r>
        <w:rPr>
          <w:rFonts w:ascii="Arial" w:cs="Arial" w:eastAsia="Arial" w:hAnsi="Arial"/>
          <w:sz w:val="18"/>
          <w:szCs w:val="18"/>
          <w:color w:val="010000"/>
        </w:rPr>
        <w:t>any failure of the Agent or any Lender to disclose to any Loan Party any information relating to the business, condition (financial or otherwise), operations, performance, properties or prospects of any other Loan Party now or hereafter known to the Agent or such Lender (each Guarantor waiving any duty on the part of the Agent and the Lenders to disclose such information);</w:t>
      </w:r>
    </w:p>
    <w:p>
      <w:pPr>
        <w:spacing w:after="0" w:line="81" w:lineRule="exact"/>
        <w:rPr>
          <w:rFonts w:ascii="Arial" w:cs="Arial" w:eastAsia="Arial" w:hAnsi="Arial"/>
          <w:sz w:val="18"/>
          <w:szCs w:val="18"/>
          <w:color w:val="010000"/>
        </w:rPr>
      </w:pPr>
    </w:p>
    <w:p>
      <w:pPr>
        <w:ind w:right="400" w:firstLine="1041"/>
        <w:spacing w:after="0" w:line="331" w:lineRule="auto"/>
        <w:tabs>
          <w:tab w:leader="none" w:pos="1286" w:val="left"/>
        </w:tabs>
        <w:numPr>
          <w:ilvl w:val="0"/>
          <w:numId w:val="119"/>
        </w:numPr>
        <w:rPr>
          <w:rFonts w:ascii="Arial" w:cs="Arial" w:eastAsia="Arial" w:hAnsi="Arial"/>
          <w:sz w:val="16"/>
          <w:szCs w:val="16"/>
          <w:color w:val="010000"/>
        </w:rPr>
      </w:pPr>
      <w:r>
        <w:rPr>
          <w:rFonts w:ascii="Arial" w:cs="Arial" w:eastAsia="Arial" w:hAnsi="Arial"/>
          <w:sz w:val="16"/>
          <w:szCs w:val="16"/>
          <w:color w:val="010000"/>
        </w:rPr>
        <w:t>the failure of any other Person to execute or deliver this Agreement, any Guaranty Supplement or any other guaranty or agreement or the release or reduction of liability of any Guarantor or other guarantor or surety with respect to the applicable Guaranteed Obligations; or</w:t>
      </w:r>
    </w:p>
    <w:p>
      <w:pPr>
        <w:spacing w:after="0" w:line="25" w:lineRule="exact"/>
        <w:rPr>
          <w:rFonts w:ascii="Arial" w:cs="Arial" w:eastAsia="Arial" w:hAnsi="Arial"/>
          <w:sz w:val="16"/>
          <w:szCs w:val="16"/>
          <w:color w:val="010000"/>
        </w:rPr>
      </w:pPr>
    </w:p>
    <w:p>
      <w:pPr>
        <w:ind w:right="180" w:firstLine="1041"/>
        <w:spacing w:after="0" w:line="297" w:lineRule="auto"/>
        <w:tabs>
          <w:tab w:leader="none" w:pos="1286" w:val="left"/>
        </w:tabs>
        <w:numPr>
          <w:ilvl w:val="0"/>
          <w:numId w:val="119"/>
        </w:numPr>
        <w:rPr>
          <w:rFonts w:ascii="Arial" w:cs="Arial" w:eastAsia="Arial" w:hAnsi="Arial"/>
          <w:sz w:val="17"/>
          <w:szCs w:val="17"/>
          <w:color w:val="010000"/>
        </w:rPr>
      </w:pPr>
      <w:r>
        <w:rPr>
          <w:rFonts w:ascii="Arial" w:cs="Arial" w:eastAsia="Arial" w:hAnsi="Arial"/>
          <w:sz w:val="17"/>
          <w:szCs w:val="17"/>
          <w:color w:val="010000"/>
        </w:rPr>
        <w:t>any other circumstance (including, without limitation, any statute of limitations) or any existence of or reliance on any representation by the Agent or any Lender that might otherwise constitute a defense available to, or a discharge of, any Loan Party or any other guarantor or surety.</w:t>
      </w:r>
    </w:p>
    <w:p>
      <w:pPr>
        <w:spacing w:after="0" w:line="15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This Guaranty shall continue to be effective or be reinstated, as the case may be, if at any time any payment of any of the applicable Guaranteed Obligations is rescinded or must otherwise be returned by the Agent or any Lender or any other Person upon the insolvency, bankruptcy or reorganization of the Borrower or any other Loan Party or otherwise, all as though such payment had not been made.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7.03. </w:t>
      </w:r>
      <w:r>
        <w:rPr>
          <w:rFonts w:ascii="Arial" w:cs="Arial" w:eastAsia="Arial" w:hAnsi="Arial"/>
          <w:sz w:val="18"/>
          <w:szCs w:val="18"/>
          <w:u w:val="single" w:color="auto"/>
          <w:color w:val="010000"/>
        </w:rPr>
        <w:t>Waivers and Acknowledgments</w:t>
      </w:r>
      <w:r>
        <w:rPr>
          <w:rFonts w:ascii="Arial" w:cs="Arial" w:eastAsia="Arial" w:hAnsi="Arial"/>
          <w:sz w:val="18"/>
          <w:szCs w:val="18"/>
          <w:color w:val="010000"/>
        </w:rPr>
        <w:t>.</w:t>
      </w:r>
    </w:p>
    <w:p>
      <w:pPr>
        <w:spacing w:after="0" w:line="113" w:lineRule="exact"/>
        <w:rPr>
          <w:sz w:val="20"/>
          <w:szCs w:val="20"/>
          <w:color w:val="auto"/>
        </w:rPr>
      </w:pPr>
    </w:p>
    <w:p>
      <w:pPr>
        <w:jc w:val="both"/>
        <w:ind w:right="260" w:firstLine="1041"/>
        <w:spacing w:after="0" w:line="273" w:lineRule="auto"/>
        <w:tabs>
          <w:tab w:leader="none" w:pos="1276" w:val="left"/>
        </w:tabs>
        <w:numPr>
          <w:ilvl w:val="0"/>
          <w:numId w:val="120"/>
        </w:numPr>
        <w:rPr>
          <w:rFonts w:ascii="Arial" w:cs="Arial" w:eastAsia="Arial" w:hAnsi="Arial"/>
          <w:sz w:val="17"/>
          <w:szCs w:val="17"/>
          <w:color w:val="010000"/>
        </w:rPr>
      </w:pPr>
      <w:r>
        <w:rPr>
          <w:rFonts w:ascii="Arial" w:cs="Arial" w:eastAsia="Arial" w:hAnsi="Arial"/>
          <w:sz w:val="17"/>
          <w:szCs w:val="17"/>
          <w:color w:val="010000"/>
        </w:rPr>
        <w:t>Each Guarantor hereby unconditionally and irrevocably waives promptness, diligence, notice of acceptance, presentment, demand for performance, notice of nonperformance, default, acceleration, protest or dishonor and any other notice with respect to any of the applicable Guaranteed Obligations and this Guaranty and any requirement that the Agent or any Lender protect, secure, perfect or insure any Lien or any property subject thereto or exhaust any right or take any action against any Loan Party or any other Person or any Collateral.</w:t>
      </w:r>
    </w:p>
    <w:p>
      <w:pPr>
        <w:spacing w:after="0" w:line="70" w:lineRule="exact"/>
        <w:rPr>
          <w:rFonts w:ascii="Arial" w:cs="Arial" w:eastAsia="Arial" w:hAnsi="Arial"/>
          <w:sz w:val="17"/>
          <w:szCs w:val="17"/>
          <w:color w:val="010000"/>
        </w:rPr>
      </w:pPr>
    </w:p>
    <w:p>
      <w:pPr>
        <w:ind w:right="400" w:firstLine="1041"/>
        <w:spacing w:after="0" w:line="267" w:lineRule="auto"/>
        <w:tabs>
          <w:tab w:leader="none" w:pos="1286" w:val="left"/>
        </w:tabs>
        <w:numPr>
          <w:ilvl w:val="0"/>
          <w:numId w:val="120"/>
        </w:numPr>
        <w:rPr>
          <w:rFonts w:ascii="Arial" w:cs="Arial" w:eastAsia="Arial" w:hAnsi="Arial"/>
          <w:sz w:val="18"/>
          <w:szCs w:val="18"/>
          <w:color w:val="010000"/>
        </w:rPr>
      </w:pPr>
      <w:r>
        <w:rPr>
          <w:rFonts w:ascii="Arial" w:cs="Arial" w:eastAsia="Arial" w:hAnsi="Arial"/>
          <w:sz w:val="18"/>
          <w:szCs w:val="18"/>
          <w:color w:val="010000"/>
        </w:rPr>
        <w:t>Each Guarantor hereby unconditionally and irrevocably waives any right to revoke this Guaranty and acknowledges that this Guaranty is continuing in nature and applies to all applicable Guaranteed Obligations whether existing now or in the future.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24" w:name="page125"/>
    <w:bookmarkEnd w:id="124"/>
    <w:p>
      <w:pPr>
        <w:ind w:right="40" w:firstLine="1041"/>
        <w:spacing w:after="0" w:line="252" w:lineRule="auto"/>
        <w:tabs>
          <w:tab w:leader="none" w:pos="1276" w:val="left"/>
        </w:tabs>
        <w:numPr>
          <w:ilvl w:val="0"/>
          <w:numId w:val="121"/>
        </w:numPr>
        <w:rPr>
          <w:rFonts w:ascii="Arial" w:cs="Arial" w:eastAsia="Arial" w:hAnsi="Arial"/>
          <w:sz w:val="18"/>
          <w:szCs w:val="18"/>
          <w:color w:val="010000"/>
        </w:rPr>
      </w:pPr>
      <w:r>
        <w:rPr>
          <w:rFonts w:ascii="Arial" w:cs="Arial" w:eastAsia="Arial" w:hAnsi="Arial"/>
          <w:sz w:val="18"/>
          <w:szCs w:val="18"/>
          <w:color w:val="010000"/>
        </w:rPr>
        <w:t>Each Guarantor hereby unconditionally and irrevocably waives (i) any defense arising by reason of any claim or defense based upon an election of remedies by the Agent or any Lender that in any manner impairs, reduces, releases or otherwise adversely affects the subrogation, reimbursement, exoneration, contribution or indemnification rights of such Guarantor or other rights of such Guarantor to proceed against any of the other Loan Parties, any other guarantor or any other Person or any Collateral and (ii) any defense based on any right of set-off or counterclaim against or in respect of the obligations of such Guarantor hereunder.</w:t>
      </w:r>
    </w:p>
    <w:p>
      <w:pPr>
        <w:spacing w:after="0" w:line="86" w:lineRule="exact"/>
        <w:rPr>
          <w:rFonts w:ascii="Arial" w:cs="Arial" w:eastAsia="Arial" w:hAnsi="Arial"/>
          <w:sz w:val="18"/>
          <w:szCs w:val="18"/>
          <w:color w:val="010000"/>
        </w:rPr>
      </w:pPr>
    </w:p>
    <w:p>
      <w:pPr>
        <w:jc w:val="both"/>
        <w:ind w:right="60" w:firstLine="1041"/>
        <w:spacing w:after="0" w:line="257" w:lineRule="auto"/>
        <w:tabs>
          <w:tab w:leader="none" w:pos="1286" w:val="left"/>
        </w:tabs>
        <w:numPr>
          <w:ilvl w:val="0"/>
          <w:numId w:val="121"/>
        </w:numPr>
        <w:rPr>
          <w:rFonts w:ascii="Arial" w:cs="Arial" w:eastAsia="Arial" w:hAnsi="Arial"/>
          <w:sz w:val="18"/>
          <w:szCs w:val="18"/>
          <w:color w:val="010000"/>
        </w:rPr>
      </w:pPr>
      <w:r>
        <w:rPr>
          <w:rFonts w:ascii="Arial" w:cs="Arial" w:eastAsia="Arial" w:hAnsi="Arial"/>
          <w:sz w:val="18"/>
          <w:szCs w:val="18"/>
          <w:color w:val="010000"/>
        </w:rPr>
        <w:t>Each Guarantor hereby unconditionally and irrevocably waives any duty on the part of the Agent or any Lender to disclose to such Guarantor any matter, fact or thing relating to the business, condition (financial or otherwise), operations, performance, properties or prospects of any other Loan Party or any of its Subsidiaries now or hereafter known by the Agent or such Lender.</w:t>
      </w:r>
    </w:p>
    <w:p>
      <w:pPr>
        <w:spacing w:after="0" w:line="81" w:lineRule="exact"/>
        <w:rPr>
          <w:rFonts w:ascii="Arial" w:cs="Arial" w:eastAsia="Arial" w:hAnsi="Arial"/>
          <w:sz w:val="18"/>
          <w:szCs w:val="18"/>
          <w:color w:val="010000"/>
        </w:rPr>
      </w:pPr>
    </w:p>
    <w:p>
      <w:pPr>
        <w:ind w:right="40" w:firstLine="1041"/>
        <w:spacing w:after="0" w:line="331" w:lineRule="auto"/>
        <w:tabs>
          <w:tab w:leader="none" w:pos="1276" w:val="left"/>
        </w:tabs>
        <w:numPr>
          <w:ilvl w:val="0"/>
          <w:numId w:val="121"/>
        </w:numPr>
        <w:rPr>
          <w:rFonts w:ascii="Arial" w:cs="Arial" w:eastAsia="Arial" w:hAnsi="Arial"/>
          <w:sz w:val="16"/>
          <w:szCs w:val="16"/>
          <w:color w:val="010000"/>
        </w:rPr>
      </w:pPr>
      <w:r>
        <w:rPr>
          <w:rFonts w:ascii="Arial" w:cs="Arial" w:eastAsia="Arial" w:hAnsi="Arial"/>
          <w:sz w:val="16"/>
          <w:szCs w:val="16"/>
          <w:color w:val="010000"/>
        </w:rPr>
        <w:t>Each Guarantor acknowledges that it will receive substantial direct and indirect benefits from the financing arrangements contemplated by the Loan Documents and that the waivers set forth in Section 7.02 and this Section 7.03 are knowingly made in contemplation of such benefits.</w:t>
      </w:r>
    </w:p>
    <w:p>
      <w:pPr>
        <w:spacing w:after="0" w:line="133" w:lineRule="exact"/>
        <w:rPr>
          <w:sz w:val="20"/>
          <w:szCs w:val="20"/>
          <w:color w:val="auto"/>
        </w:rPr>
      </w:pPr>
    </w:p>
    <w:p>
      <w:pPr>
        <w:ind w:firstLine="518"/>
        <w:spacing w:after="0" w:line="280" w:lineRule="auto"/>
        <w:rPr>
          <w:sz w:val="20"/>
          <w:szCs w:val="20"/>
          <w:color w:val="auto"/>
        </w:rPr>
      </w:pPr>
      <w:r>
        <w:rPr>
          <w:rFonts w:ascii="Arial" w:cs="Arial" w:eastAsia="Arial" w:hAnsi="Arial"/>
          <w:sz w:val="16"/>
          <w:szCs w:val="16"/>
          <w:color w:val="010000"/>
        </w:rPr>
        <w:t xml:space="preserve">SECTION 7.04. </w:t>
      </w:r>
      <w:r>
        <w:rPr>
          <w:rFonts w:ascii="Arial" w:cs="Arial" w:eastAsia="Arial" w:hAnsi="Arial"/>
          <w:sz w:val="16"/>
          <w:szCs w:val="16"/>
          <w:u w:val="single" w:color="auto"/>
          <w:color w:val="010000"/>
        </w:rPr>
        <w:t>Subrogation</w:t>
      </w:r>
      <w:r>
        <w:rPr>
          <w:rFonts w:ascii="Arial" w:cs="Arial" w:eastAsia="Arial" w:hAnsi="Arial"/>
          <w:sz w:val="16"/>
          <w:szCs w:val="16"/>
          <w:color w:val="010000"/>
        </w:rPr>
        <w:t>. Each Guarantor hereby unconditionally and irrevocably agrees not to exercise any rights that it may now have or hereafter acquire against Borrower, any other Loan Party or any other insider guarantor that arise from the existence, payment, performance or enforcement of such Guarantor’s obligations under or in respect of this Guaranty or any other Loan Document, including, without limitation, any right of subrogation, reimbursement, exoneration, contribution or indemnification and any right to participate in any claim or remedy of the Agent or any Lender against Borrower, any other Loan Party or any other guarantor of some or all of the Guaranteed Obligations or any Collateral, whether or not such claim, remedy or right arises in equity or under contract, statute or common law, including, without limitation, the right to take or receive from Borrower, any other Loan Party or any other insider guarantor, directly or indirectly, in cash or other property or by set-off or in any other manner, payment or security on account of such claim, remedy or right, unless and until all of the applicable Guaranteed Obligations and all other amounts payable under this Guaranty shall have been paid in full in cash, all Letters of Credit shall have expired or been terminated and the Commitments shall have expired or been terminated. If any amount shall be paid to any Guarantor in violation of the immediately preceding sentence at any time prior to the latest of (a) the payment in full in cash of the applicable Guaranteed Obligations and all other amounts payable under this Guaranty, (b) the Termination Date and (c) the latest date of expiration or termination of all Letters of Credit, such amount shall be received and held in trust for the benefit of the Agent and the Lenders, shall be segregated from other property and funds of such Guarantor and shall forthwith be paid or delivered to the Agent in the same form as so received (with any necessary endorsement or assignment) to be credited and applied to the applicable Guaranteed Obligations and all other amounts payable under this Guaranty by such Guarantor, whether matured or unmatured, in accordance with the terms of the Loan Documents, or to be held as Collateral for any applicable Guaranteed Obligations or other amounts payable under this Guaranty by such Guarantor thereafter arising. If (i) any Guarantor shall make payment to the Agent or any Lender of all or any part of the applicable Guaranteed Obligations, (ii) all of the applicable Guaranteed Obligations and all other amounts payable under this Guaranty by such Guarantor shall have been paid in full in cash, (iii) the Termination Date shall have occurred and (iv), all Letters of Credit shall have expired or been terminated, the Agent and the Lenders will, at such Guarantor’s request and expense, execute and deliver to such Guarantor appropriate documents, without recourse and without representation or warranty, necessary to evidence the transfer by subrogation to such Guarantor of an interest in the applicable Guaranteed Obligations resulting from such payment made by such Guarantor pursuant to this Guaranty.</w:t>
      </w:r>
    </w:p>
    <w:p>
      <w:pPr>
        <w:spacing w:after="0" w:line="186"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color w:val="010000"/>
        </w:rPr>
        <w:t xml:space="preserve">SECTION 7.05. </w:t>
      </w:r>
      <w:r>
        <w:rPr>
          <w:rFonts w:ascii="Arial" w:cs="Arial" w:eastAsia="Arial" w:hAnsi="Arial"/>
          <w:sz w:val="18"/>
          <w:szCs w:val="18"/>
          <w:u w:val="single" w:color="auto"/>
          <w:color w:val="010000"/>
        </w:rPr>
        <w:t>Guaranty Supplements</w:t>
      </w:r>
      <w:r>
        <w:rPr>
          <w:rFonts w:ascii="Arial" w:cs="Arial" w:eastAsia="Arial" w:hAnsi="Arial"/>
          <w:sz w:val="18"/>
          <w:szCs w:val="18"/>
          <w:color w:val="010000"/>
        </w:rPr>
        <w:t xml:space="preserve">. Upon the execution and delivery by any Person of a guaranty supplement in substantially the form of </w:t>
      </w:r>
      <w:r>
        <w:rPr>
          <w:rFonts w:ascii="Arial" w:cs="Arial" w:eastAsia="Arial" w:hAnsi="Arial"/>
          <w:sz w:val="18"/>
          <w:szCs w:val="18"/>
          <w:u w:val="single" w:color="auto"/>
          <w:color w:val="010000"/>
        </w:rPr>
        <w:t>Exhibit E</w:t>
      </w:r>
      <w:r>
        <w:rPr>
          <w:rFonts w:ascii="Arial" w:cs="Arial" w:eastAsia="Arial" w:hAnsi="Arial"/>
          <w:sz w:val="18"/>
          <w:szCs w:val="18"/>
          <w:color w:val="010000"/>
        </w:rPr>
        <w:t xml:space="preserve"> hereto (each, a “</w:t>
      </w:r>
      <w:r>
        <w:rPr>
          <w:rFonts w:ascii="Arial" w:cs="Arial" w:eastAsia="Arial" w:hAnsi="Arial"/>
          <w:sz w:val="18"/>
          <w:szCs w:val="18"/>
          <w:u w:val="single" w:color="auto"/>
          <w:color w:val="010000"/>
        </w:rPr>
        <w:t>Guaranty Supplement</w:t>
      </w:r>
      <w:r>
        <w:rPr>
          <w:rFonts w:ascii="Arial" w:cs="Arial" w:eastAsia="Arial" w:hAnsi="Arial"/>
          <w:sz w:val="18"/>
          <w:szCs w:val="18"/>
          <w:color w:val="010000"/>
        </w:rPr>
        <w:t>”), (a) such Person shall be referred to as an “</w:t>
      </w:r>
      <w:r>
        <w:rPr>
          <w:rFonts w:ascii="Arial" w:cs="Arial" w:eastAsia="Arial" w:hAnsi="Arial"/>
          <w:sz w:val="18"/>
          <w:szCs w:val="18"/>
          <w:u w:val="single" w:color="auto"/>
          <w:color w:val="010000"/>
        </w:rPr>
        <w:t>Additional Guarantor</w:t>
      </w:r>
      <w:r>
        <w:rPr>
          <w:rFonts w:ascii="Arial" w:cs="Arial" w:eastAsia="Arial" w:hAnsi="Arial"/>
          <w:sz w:val="18"/>
          <w:szCs w:val="18"/>
          <w:color w:val="010000"/>
        </w:rPr>
        <w:t>” and shall become and be a Guarantor hereunder, and each reference in this Guaranty to a “Guarantor” shall also mean and be a reference to such Additional Guarantor, and (b) each reference herein to “this Guaranty,” “hereunder,” “hereof” or words of like import referring to this Guaranty, and each reference in any other Loan Document to the “Guaranty,” “thereunder,” “thereof” or words of like import referring to this Guaranty, shall mean and be a reference to this Guaranty as supplemented by such Guaranty Supplement.</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7.06. </w:t>
      </w:r>
      <w:r>
        <w:rPr>
          <w:rFonts w:ascii="Arial" w:cs="Arial" w:eastAsia="Arial" w:hAnsi="Arial"/>
          <w:sz w:val="18"/>
          <w:szCs w:val="18"/>
          <w:u w:val="single" w:color="auto"/>
          <w:color w:val="010000"/>
        </w:rPr>
        <w:t>Subordination</w:t>
      </w:r>
      <w:r>
        <w:rPr>
          <w:rFonts w:ascii="Arial" w:cs="Arial" w:eastAsia="Arial" w:hAnsi="Arial"/>
          <w:sz w:val="18"/>
          <w:szCs w:val="18"/>
          <w:color w:val="010000"/>
        </w:rPr>
        <w:t>.</w:t>
      </w:r>
    </w:p>
    <w:p>
      <w:pPr>
        <w:spacing w:after="0" w:line="220" w:lineRule="exact"/>
        <w:rPr>
          <w:sz w:val="20"/>
          <w:szCs w:val="20"/>
          <w:color w:val="auto"/>
        </w:rPr>
      </w:pPr>
    </w:p>
    <w:p>
      <w:pPr>
        <w:ind w:right="380" w:firstLine="1000"/>
        <w:spacing w:after="0" w:line="331" w:lineRule="auto"/>
        <w:rPr>
          <w:sz w:val="20"/>
          <w:szCs w:val="20"/>
          <w:color w:val="auto"/>
        </w:rPr>
      </w:pPr>
      <w:r>
        <w:rPr>
          <w:rFonts w:ascii="Arial" w:cs="Arial" w:eastAsia="Arial" w:hAnsi="Arial"/>
          <w:sz w:val="16"/>
          <w:szCs w:val="16"/>
          <w:color w:val="auto"/>
        </w:rPr>
        <w:t>Each Guarantor hereby subordinates any and all debts, liabilities and other obligations owed to such Guarantor by each other Loan Party (the “</w:t>
      </w:r>
      <w:r>
        <w:rPr>
          <w:rFonts w:ascii="Arial" w:cs="Arial" w:eastAsia="Arial" w:hAnsi="Arial"/>
          <w:sz w:val="16"/>
          <w:szCs w:val="16"/>
          <w:u w:val="single" w:color="auto"/>
          <w:color w:val="auto"/>
        </w:rPr>
        <w:t>Subordinated Obligations</w:t>
      </w:r>
      <w:r>
        <w:rPr>
          <w:rFonts w:ascii="Arial" w:cs="Arial" w:eastAsia="Arial" w:hAnsi="Arial"/>
          <w:sz w:val="16"/>
          <w:szCs w:val="16"/>
          <w:color w:val="auto"/>
        </w:rPr>
        <w:t>”) to the applicable Guaranteed Obligations to the extent and in the manner hereinafter set forth in this Section 7.06:</w:t>
      </w:r>
    </w:p>
    <w:p>
      <w:pPr>
        <w:spacing w:after="0" w:line="26" w:lineRule="exact"/>
        <w:rPr>
          <w:sz w:val="20"/>
          <w:szCs w:val="20"/>
          <w:color w:val="auto"/>
        </w:rPr>
      </w:pPr>
    </w:p>
    <w:p>
      <w:pPr>
        <w:ind w:right="140" w:firstLine="1041"/>
        <w:spacing w:after="0" w:line="254" w:lineRule="auto"/>
        <w:tabs>
          <w:tab w:leader="none" w:pos="1276" w:val="left"/>
        </w:tabs>
        <w:numPr>
          <w:ilvl w:val="0"/>
          <w:numId w:val="122"/>
        </w:numPr>
        <w:rPr>
          <w:rFonts w:ascii="Arial" w:cs="Arial" w:eastAsia="Arial" w:hAnsi="Arial"/>
          <w:sz w:val="18"/>
          <w:szCs w:val="18"/>
          <w:color w:val="010000"/>
        </w:rPr>
      </w:pPr>
      <w:r>
        <w:rPr>
          <w:rFonts w:ascii="Arial" w:cs="Arial" w:eastAsia="Arial" w:hAnsi="Arial"/>
          <w:sz w:val="18"/>
          <w:szCs w:val="18"/>
          <w:u w:val="single" w:color="auto"/>
          <w:color w:val="010000"/>
        </w:rPr>
        <w:t>Prohibited Payments, Etc</w:t>
      </w:r>
      <w:r>
        <w:rPr>
          <w:rFonts w:ascii="Arial" w:cs="Arial" w:eastAsia="Arial" w:hAnsi="Arial"/>
          <w:sz w:val="18"/>
          <w:szCs w:val="18"/>
          <w:color w:val="010000"/>
        </w:rPr>
        <w:t>. Except during the continuance of an Event of Default, each Guarantor may receive regularly scheduled payments from any other Loan Party on account of the Subordinated Obligations. After the occurrence and during the continuance of any Event of Default, however, unless the Required Lenders otherwise agree, no Guarantor shall demand, accept or take any action to collect any payment on account of the Subordinated Obligations.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25" w:name="page126"/>
    <w:bookmarkEnd w:id="125"/>
    <w:p>
      <w:pPr>
        <w:ind w:firstLine="1041"/>
        <w:spacing w:after="0" w:line="254" w:lineRule="auto"/>
        <w:tabs>
          <w:tab w:leader="none" w:pos="1286" w:val="left"/>
        </w:tabs>
        <w:numPr>
          <w:ilvl w:val="0"/>
          <w:numId w:val="123"/>
        </w:numPr>
        <w:rPr>
          <w:rFonts w:ascii="Arial" w:cs="Arial" w:eastAsia="Arial" w:hAnsi="Arial"/>
          <w:sz w:val="18"/>
          <w:szCs w:val="18"/>
          <w:color w:val="010000"/>
        </w:rPr>
      </w:pPr>
      <w:r>
        <w:rPr>
          <w:rFonts w:ascii="Arial" w:cs="Arial" w:eastAsia="Arial" w:hAnsi="Arial"/>
          <w:sz w:val="18"/>
          <w:szCs w:val="18"/>
          <w:u w:val="single" w:color="auto"/>
          <w:color w:val="010000"/>
        </w:rPr>
        <w:t>Prior Payment of Guaranteed Obligations</w:t>
      </w:r>
      <w:r>
        <w:rPr>
          <w:rFonts w:ascii="Arial" w:cs="Arial" w:eastAsia="Arial" w:hAnsi="Arial"/>
          <w:sz w:val="18"/>
          <w:szCs w:val="18"/>
          <w:color w:val="010000"/>
        </w:rPr>
        <w:t>. In any proceeding under any Bankruptcy Law relating to any other Loan Party, each Guarantor agrees that the Lenders shall be entitled to receive payment in full in cash of all applicable Guaranteed Obligations (including all interest and expenses accruing after the commencement of a proceeding under any Bankruptcy Law, whether or not constituting an allowed claim in such proceeding (“</w:t>
      </w:r>
      <w:r>
        <w:rPr>
          <w:rFonts w:ascii="Arial" w:cs="Arial" w:eastAsia="Arial" w:hAnsi="Arial"/>
          <w:sz w:val="18"/>
          <w:szCs w:val="18"/>
          <w:u w:val="single" w:color="auto"/>
          <w:color w:val="010000"/>
        </w:rPr>
        <w:t>Post-Petition Interest</w:t>
      </w:r>
      <w:r>
        <w:rPr>
          <w:rFonts w:ascii="Arial" w:cs="Arial" w:eastAsia="Arial" w:hAnsi="Arial"/>
          <w:sz w:val="18"/>
          <w:szCs w:val="18"/>
          <w:color w:val="010000"/>
        </w:rPr>
        <w:t>”)) before such Guarantor receives payment of any Subordinated Obligations.</w:t>
      </w:r>
    </w:p>
    <w:p>
      <w:pPr>
        <w:spacing w:after="0" w:line="83" w:lineRule="exact"/>
        <w:rPr>
          <w:rFonts w:ascii="Arial" w:cs="Arial" w:eastAsia="Arial" w:hAnsi="Arial"/>
          <w:sz w:val="18"/>
          <w:szCs w:val="18"/>
          <w:color w:val="010000"/>
        </w:rPr>
      </w:pPr>
    </w:p>
    <w:p>
      <w:pPr>
        <w:ind w:firstLine="1041"/>
        <w:spacing w:after="0" w:line="252" w:lineRule="auto"/>
        <w:tabs>
          <w:tab w:leader="none" w:pos="1276" w:val="left"/>
        </w:tabs>
        <w:numPr>
          <w:ilvl w:val="0"/>
          <w:numId w:val="123"/>
        </w:numPr>
        <w:rPr>
          <w:rFonts w:ascii="Arial" w:cs="Arial" w:eastAsia="Arial" w:hAnsi="Arial"/>
          <w:sz w:val="18"/>
          <w:szCs w:val="18"/>
          <w:color w:val="010000"/>
        </w:rPr>
      </w:pPr>
      <w:r>
        <w:rPr>
          <w:rFonts w:ascii="Arial" w:cs="Arial" w:eastAsia="Arial" w:hAnsi="Arial"/>
          <w:sz w:val="18"/>
          <w:szCs w:val="18"/>
          <w:u w:val="single" w:color="auto"/>
          <w:color w:val="010000"/>
        </w:rPr>
        <w:t>Turn-Over</w:t>
      </w:r>
      <w:r>
        <w:rPr>
          <w:rFonts w:ascii="Arial" w:cs="Arial" w:eastAsia="Arial" w:hAnsi="Arial"/>
          <w:sz w:val="18"/>
          <w:szCs w:val="18"/>
          <w:color w:val="010000"/>
        </w:rPr>
        <w:t>. After the occurrence and during the continuance of any Event of Default, each Guarantor shall, if the Agent (with the consent or at the direction of the Required Lenders) so requests, collect, enforce and receive payments on account of the Subordinated Obligations as trustee for the Agent and the Lenders and deliver such payments to the Agent on account of the applicable Guaranteed Obligations (including all Post-Petition Interest), together with any necessary endorsements or other instruments of transfer, but without reducing or affecting in any manner the liability of such Guarantor under the other provisions of this Guaranty.</w:t>
      </w:r>
    </w:p>
    <w:p>
      <w:pPr>
        <w:spacing w:after="0" w:line="86" w:lineRule="exact"/>
        <w:rPr>
          <w:rFonts w:ascii="Arial" w:cs="Arial" w:eastAsia="Arial" w:hAnsi="Arial"/>
          <w:sz w:val="18"/>
          <w:szCs w:val="18"/>
          <w:color w:val="010000"/>
        </w:rPr>
      </w:pPr>
    </w:p>
    <w:p>
      <w:pPr>
        <w:ind w:right="100" w:firstLine="1041"/>
        <w:spacing w:after="0" w:line="291" w:lineRule="auto"/>
        <w:tabs>
          <w:tab w:leader="none" w:pos="1286" w:val="left"/>
        </w:tabs>
        <w:numPr>
          <w:ilvl w:val="0"/>
          <w:numId w:val="123"/>
        </w:numPr>
        <w:rPr>
          <w:rFonts w:ascii="Arial" w:cs="Arial" w:eastAsia="Arial" w:hAnsi="Arial"/>
          <w:sz w:val="16"/>
          <w:szCs w:val="16"/>
          <w:color w:val="010000"/>
        </w:rPr>
      </w:pPr>
      <w:r>
        <w:rPr>
          <w:rFonts w:ascii="Arial" w:cs="Arial" w:eastAsia="Arial" w:hAnsi="Arial"/>
          <w:sz w:val="16"/>
          <w:szCs w:val="16"/>
          <w:u w:val="single" w:color="auto"/>
          <w:color w:val="010000"/>
        </w:rPr>
        <w:t>Agent Authorization</w:t>
      </w:r>
      <w:r>
        <w:rPr>
          <w:rFonts w:ascii="Arial" w:cs="Arial" w:eastAsia="Arial" w:hAnsi="Arial"/>
          <w:sz w:val="16"/>
          <w:szCs w:val="16"/>
          <w:color w:val="010000"/>
        </w:rPr>
        <w:t>. After the occurrence and during the continuance of any Event of Default, the Agent is authorized and empowered (but without any obligation to so do), in its discretion, (i) in the name of each Guarantor, to collect and enforce, and to submit claims in respect of, the Subordinated Obligations and to apply any amounts received thereon to the applicable Guaranteed Obligations (including any and all Post-Petition Interest), and (ii) to require each Guarantor (A) to collect and enforce, and to submit claims in respect of, the Subordinated Obligations and (B) to pay any amounts received on such obligations to the Agent for application to the applicable Guaranteed Obligations (including any and all Post-Petition Interest).</w:t>
      </w:r>
    </w:p>
    <w:p>
      <w:pPr>
        <w:spacing w:after="0" w:line="165" w:lineRule="exact"/>
        <w:rPr>
          <w:sz w:val="20"/>
          <w:szCs w:val="20"/>
          <w:color w:val="auto"/>
        </w:rPr>
      </w:pPr>
    </w:p>
    <w:p>
      <w:pPr>
        <w:ind w:right="20" w:firstLine="518"/>
        <w:spacing w:after="0" w:line="282" w:lineRule="auto"/>
        <w:rPr>
          <w:sz w:val="20"/>
          <w:szCs w:val="20"/>
          <w:color w:val="auto"/>
        </w:rPr>
      </w:pPr>
      <w:r>
        <w:rPr>
          <w:rFonts w:ascii="Arial" w:cs="Arial" w:eastAsia="Arial" w:hAnsi="Arial"/>
          <w:sz w:val="16"/>
          <w:szCs w:val="16"/>
          <w:color w:val="010000"/>
        </w:rPr>
        <w:t xml:space="preserve">SECTION 7.07. </w:t>
      </w:r>
      <w:r>
        <w:rPr>
          <w:rFonts w:ascii="Arial" w:cs="Arial" w:eastAsia="Arial" w:hAnsi="Arial"/>
          <w:sz w:val="16"/>
          <w:szCs w:val="16"/>
          <w:u w:val="single" w:color="auto"/>
          <w:color w:val="010000"/>
        </w:rPr>
        <w:t>Continuing Guaranty; Assignments</w:t>
      </w:r>
      <w:r>
        <w:rPr>
          <w:rFonts w:ascii="Arial" w:cs="Arial" w:eastAsia="Arial" w:hAnsi="Arial"/>
          <w:sz w:val="16"/>
          <w:szCs w:val="16"/>
          <w:color w:val="010000"/>
        </w:rPr>
        <w:t>. This Guaranty is a continuing guaranty and shall (a) except as provided in the next succeeding sentence, remain in full force and effect until the latest of (i) the payment in full in cash of the applicable Guaranteed Obligations and all other amounts payable under this Guaranty, (ii) the Termination Date and (iii) the latest date of expiration or termination of all Letters of Credit, (b) be binding upon each Guarantor, its successors and assigns and (c) inure to the benefit of and be enforceable by the Agent and the Lenders and their successors, permitted transferees and permitted assigns. Upon the sale of a Guarantor or any or all of the assets of any Guarantor to the extent permitted in accordance with the terms of the Loan Documents or upon such Guarantor otherwise ceasing to be a Subsidiary of the Company organized under the laws of a state of the United States of America without violation of the terms of this Agreement, such Guarantor (and its Subsidiaries) or such assets shall be automatically released from this Guaranty or any Guaranty Supplement, and all pledges and security interests of the equity of such Guarantor or any Subsidiary of such Guarantor and all other pledges and security interests in the assets of such Guarantor and any of its Subsidiaries shall be released as provided in Section 9.16. Without limiting the generality of clause (c) above, the Agent or any Lender may assign or otherwise transfer all or any portion of its rights and obligations under this Agreement (including, without limitation, all or any portion of its Commitments, the Revolving Loans owing to it and any Note or Notes held by it) to any other Person, and such other Person shall thereupon become vested with all the benefits in respect thereof granted to such Lender herein or otherwise, in each case as and to the extent provided in Section 9.08. No Guarantor shall have the right to assign its rights hereunder or any interest herein without the prior written consent of the Lenders.</w:t>
      </w:r>
    </w:p>
    <w:p>
      <w:pPr>
        <w:spacing w:after="0" w:line="177"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010000"/>
        </w:rPr>
        <w:t xml:space="preserve">SECTION 7.08. </w:t>
      </w:r>
      <w:r>
        <w:rPr>
          <w:rFonts w:ascii="Arial" w:cs="Arial" w:eastAsia="Arial" w:hAnsi="Arial"/>
          <w:sz w:val="16"/>
          <w:szCs w:val="16"/>
          <w:u w:val="single" w:color="auto"/>
          <w:color w:val="010000"/>
        </w:rPr>
        <w:t>Qualified ECPs</w:t>
      </w:r>
      <w:r>
        <w:rPr>
          <w:rFonts w:ascii="Arial" w:cs="Arial" w:eastAsia="Arial" w:hAnsi="Arial"/>
          <w:sz w:val="16"/>
          <w:szCs w:val="16"/>
          <w:color w:val="010000"/>
        </w:rPr>
        <w:t>. Each Loan Party that is a Qualified ECP when its guaranty of or grant of Lien as security for a Swap Obligation becomes effective hereby jointly and severally, absolutely, unconditionally and irrevocably undertakes to provide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Section 7.08 voidable under any applicable fraudulent transfer or conveyance act). The obligations and undertakings of each Qualified ECP under this Section shall remain in full force and effect until full payment of all Guaranteed Obligations. Each Loan Party intends this Section to constitute, and this Section shall be deemed to constitute, a guarantee of the obligations of, and a “keepwell, support or other agreement” for the benefit of, each Loan Party for all purposes of the Commodity Exchange Act.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AGENT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u w:val="single" w:color="auto"/>
          <w:color w:val="010000"/>
        </w:rPr>
        <w:t>Authorization and Action</w:t>
      </w:r>
      <w:r>
        <w:rPr>
          <w:rFonts w:ascii="Arial" w:cs="Arial" w:eastAsia="Arial" w:hAnsi="Arial"/>
          <w:sz w:val="18"/>
          <w:szCs w:val="18"/>
          <w:color w:val="010000"/>
        </w:rPr>
        <w:t>.</w:t>
      </w:r>
    </w:p>
    <w:p>
      <w:pPr>
        <w:spacing w:after="0" w:line="113" w:lineRule="exact"/>
        <w:rPr>
          <w:sz w:val="20"/>
          <w:szCs w:val="20"/>
          <w:color w:val="auto"/>
        </w:rPr>
      </w:pPr>
    </w:p>
    <w:p>
      <w:pPr>
        <w:jc w:val="both"/>
        <w:ind w:right="40" w:firstLine="1041"/>
        <w:spacing w:after="0" w:line="273" w:lineRule="auto"/>
        <w:tabs>
          <w:tab w:leader="none" w:pos="1276" w:val="left"/>
        </w:tabs>
        <w:numPr>
          <w:ilvl w:val="0"/>
          <w:numId w:val="124"/>
        </w:numPr>
        <w:rPr>
          <w:rFonts w:ascii="Arial" w:cs="Arial" w:eastAsia="Arial" w:hAnsi="Arial"/>
          <w:sz w:val="17"/>
          <w:szCs w:val="17"/>
          <w:color w:val="010000"/>
        </w:rPr>
      </w:pPr>
      <w:r>
        <w:rPr>
          <w:rFonts w:ascii="Arial" w:cs="Arial" w:eastAsia="Arial" w:hAnsi="Arial"/>
          <w:sz w:val="17"/>
          <w:szCs w:val="17"/>
          <w:color w:val="010000"/>
        </w:rPr>
        <w:t>Pursuant to Section 8.07, each Lender hereby irrevocably appoints Bank of America to act on its behalf as the Agent hereunder and under the other Loan Documents, including the Term Loan Intercreditor Agreement, and authorizes the Agent to enter into this Agreement and the other Loan Documents to which it is a party, including the Term Loan Intercreditor Agreement, to take such actions on its behalf and to exercise such powers as are delegated to the Agent by the terms hereof or thereof, together with such actions and powers as are reasonably incidental thereto.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26" w:name="page127"/>
    <w:bookmarkEnd w:id="126"/>
    <w:p>
      <w:pPr>
        <w:ind w:firstLine="1041"/>
        <w:spacing w:after="0" w:line="281" w:lineRule="auto"/>
        <w:tabs>
          <w:tab w:leader="none" w:pos="1286" w:val="left"/>
        </w:tabs>
        <w:numPr>
          <w:ilvl w:val="1"/>
          <w:numId w:val="125"/>
        </w:numPr>
        <w:rPr>
          <w:rFonts w:ascii="Arial" w:cs="Arial" w:eastAsia="Arial" w:hAnsi="Arial"/>
          <w:sz w:val="16"/>
          <w:szCs w:val="16"/>
          <w:color w:val="010000"/>
        </w:rPr>
      </w:pPr>
      <w:r>
        <w:rPr>
          <w:rFonts w:ascii="Arial" w:cs="Arial" w:eastAsia="Arial" w:hAnsi="Arial"/>
          <w:sz w:val="16"/>
          <w:szCs w:val="16"/>
          <w:color w:val="010000"/>
        </w:rPr>
        <w:t>Each of the Lenders hereby agrees that the Agent in its various capacities under the Term Loan Intercreditor Agreement may take such actions on its behalf as is contemplated by the terms of the Term Loan Intercreditor Agreement. Each Lender hereunder (i) consents to any subordination of Liens provided for in the Term Loan Intercreditor Agreement, (ii) agrees that it will be bound by and will take no actions contrary to the provisions of the Term Loan Intercreditor Agreement, (iii) authorizes and instructs the Agent to enter into the Term Loan Intercreditor Agreement as Agent and on behalf of such Lender and</w:t>
      </w:r>
    </w:p>
    <w:p>
      <w:pPr>
        <w:spacing w:after="0" w:line="2" w:lineRule="exact"/>
        <w:rPr>
          <w:rFonts w:ascii="Arial" w:cs="Arial" w:eastAsia="Arial" w:hAnsi="Arial"/>
          <w:sz w:val="16"/>
          <w:szCs w:val="16"/>
          <w:color w:val="010000"/>
        </w:rPr>
      </w:pPr>
    </w:p>
    <w:p>
      <w:pPr>
        <w:ind w:left="300" w:hanging="293"/>
        <w:spacing w:after="0"/>
        <w:tabs>
          <w:tab w:leader="none" w:pos="300" w:val="left"/>
        </w:tabs>
        <w:numPr>
          <w:ilvl w:val="0"/>
          <w:numId w:val="126"/>
        </w:numPr>
        <w:rPr>
          <w:rFonts w:ascii="Arial" w:cs="Arial" w:eastAsia="Arial" w:hAnsi="Arial"/>
          <w:sz w:val="17"/>
          <w:szCs w:val="17"/>
          <w:color w:val="010000"/>
        </w:rPr>
      </w:pPr>
      <w:r>
        <w:rPr>
          <w:rFonts w:ascii="Arial" w:cs="Arial" w:eastAsia="Arial" w:hAnsi="Arial"/>
          <w:sz w:val="17"/>
          <w:szCs w:val="17"/>
          <w:color w:val="010000"/>
        </w:rPr>
        <w:t>agrees that the Agent may take such actions on behalf of such Lender as is contemplated by the terms of the Term Loan Intercreditor Agreement.</w:t>
      </w:r>
    </w:p>
    <w:p>
      <w:pPr>
        <w:spacing w:after="0" w:line="113" w:lineRule="exact"/>
        <w:rPr>
          <w:rFonts w:ascii="Arial" w:cs="Arial" w:eastAsia="Arial" w:hAnsi="Arial"/>
          <w:sz w:val="17"/>
          <w:szCs w:val="17"/>
          <w:color w:val="010000"/>
        </w:rPr>
      </w:pPr>
    </w:p>
    <w:p>
      <w:pPr>
        <w:ind w:right="160" w:firstLine="1041"/>
        <w:spacing w:after="0" w:line="267" w:lineRule="auto"/>
        <w:tabs>
          <w:tab w:leader="none" w:pos="1276" w:val="left"/>
        </w:tabs>
        <w:numPr>
          <w:ilvl w:val="1"/>
          <w:numId w:val="126"/>
        </w:numPr>
        <w:rPr>
          <w:rFonts w:ascii="Arial" w:cs="Arial" w:eastAsia="Arial" w:hAnsi="Arial"/>
          <w:sz w:val="18"/>
          <w:szCs w:val="18"/>
          <w:color w:val="010000"/>
        </w:rPr>
      </w:pPr>
      <w:r>
        <w:rPr>
          <w:rFonts w:ascii="Arial" w:cs="Arial" w:eastAsia="Arial" w:hAnsi="Arial"/>
          <w:sz w:val="18"/>
          <w:szCs w:val="18"/>
          <w:color w:val="010000"/>
        </w:rPr>
        <w:t>The provisions of this Article are solely for the benefit of the Agent, the Issuing Banks, and the Lenders, and neither Borrower nor any other Loan Party shall have rights as a third party beneficiary of any of such provisions.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u w:val="single" w:color="auto"/>
          <w:color w:val="010000"/>
        </w:rPr>
        <w:t>Agent Individually</w:t>
      </w:r>
      <w:r>
        <w:rPr>
          <w:rFonts w:ascii="Arial" w:cs="Arial" w:eastAsia="Arial" w:hAnsi="Arial"/>
          <w:sz w:val="18"/>
          <w:szCs w:val="18"/>
          <w:color w:val="010000"/>
        </w:rPr>
        <w:t>.</w:t>
      </w:r>
    </w:p>
    <w:p>
      <w:pPr>
        <w:spacing w:after="0" w:line="113" w:lineRule="exact"/>
        <w:rPr>
          <w:sz w:val="20"/>
          <w:szCs w:val="20"/>
          <w:color w:val="auto"/>
        </w:rPr>
      </w:pPr>
    </w:p>
    <w:p>
      <w:pPr>
        <w:ind w:right="160" w:firstLine="1041"/>
        <w:spacing w:after="0" w:line="291" w:lineRule="auto"/>
        <w:tabs>
          <w:tab w:leader="none" w:pos="1276" w:val="left"/>
        </w:tabs>
        <w:numPr>
          <w:ilvl w:val="0"/>
          <w:numId w:val="127"/>
        </w:numPr>
        <w:rPr>
          <w:rFonts w:ascii="Arial" w:cs="Arial" w:eastAsia="Arial" w:hAnsi="Arial"/>
          <w:sz w:val="16"/>
          <w:szCs w:val="16"/>
          <w:color w:val="010000"/>
        </w:rPr>
      </w:pPr>
      <w:r>
        <w:rPr>
          <w:rFonts w:ascii="Arial" w:cs="Arial" w:eastAsia="Arial" w:hAnsi="Arial"/>
          <w:sz w:val="16"/>
          <w:szCs w:val="16"/>
          <w:color w:val="010000"/>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Borrower or any of their Subsidiaries or other Affiliate thereof as if such Person were not the Agent hereunder and without any duty to account therefor to the Lenders.</w:t>
      </w:r>
    </w:p>
    <w:p>
      <w:pPr>
        <w:spacing w:after="0" w:line="58" w:lineRule="exact"/>
        <w:rPr>
          <w:rFonts w:ascii="Arial" w:cs="Arial" w:eastAsia="Arial" w:hAnsi="Arial"/>
          <w:sz w:val="16"/>
          <w:szCs w:val="16"/>
          <w:color w:val="010000"/>
        </w:rPr>
      </w:pPr>
    </w:p>
    <w:p>
      <w:pPr>
        <w:ind w:firstLine="1041"/>
        <w:spacing w:after="0" w:line="279" w:lineRule="auto"/>
        <w:tabs>
          <w:tab w:leader="none" w:pos="1286" w:val="left"/>
        </w:tabs>
        <w:numPr>
          <w:ilvl w:val="0"/>
          <w:numId w:val="127"/>
        </w:numPr>
        <w:rPr>
          <w:rFonts w:ascii="Arial" w:cs="Arial" w:eastAsia="Arial" w:hAnsi="Arial"/>
          <w:sz w:val="16"/>
          <w:szCs w:val="16"/>
          <w:color w:val="010000"/>
        </w:rPr>
      </w:pPr>
      <w:r>
        <w:rPr>
          <w:rFonts w:ascii="Arial" w:cs="Arial" w:eastAsia="Arial" w:hAnsi="Arial"/>
          <w:sz w:val="16"/>
          <w:szCs w:val="16"/>
          <w:color w:val="010000"/>
        </w:rPr>
        <w:t>Each Lender understands that the Person serving as Agent, acting in its individual capacity, and its Affiliates (collectively, the “</w:t>
      </w:r>
      <w:r>
        <w:rPr>
          <w:rFonts w:ascii="Arial" w:cs="Arial" w:eastAsia="Arial" w:hAnsi="Arial"/>
          <w:sz w:val="16"/>
          <w:szCs w:val="16"/>
          <w:u w:val="single" w:color="auto"/>
          <w:color w:val="010000"/>
        </w:rPr>
        <w:t>Agent’s</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Group</w:t>
      </w:r>
      <w:r>
        <w:rPr>
          <w:rFonts w:ascii="Arial" w:cs="Arial" w:eastAsia="Arial" w:hAnsi="Arial"/>
          <w:sz w:val="16"/>
          <w:szCs w:val="16"/>
          <w:color w:val="010000"/>
        </w:rPr>
        <w:t>”) are engaged in a wide range of financial services and businesses (including investment management, financing, securities trading, corporate and investment banking and research) (such services and businesses are collectively referred to in this Section 8.02 as “</w:t>
      </w:r>
      <w:r>
        <w:rPr>
          <w:rFonts w:ascii="Arial" w:cs="Arial" w:eastAsia="Arial" w:hAnsi="Arial"/>
          <w:sz w:val="16"/>
          <w:szCs w:val="16"/>
          <w:u w:val="single" w:color="auto"/>
          <w:color w:val="010000"/>
        </w:rPr>
        <w:t>Activities</w:t>
      </w:r>
      <w:r>
        <w:rPr>
          <w:rFonts w:ascii="Arial" w:cs="Arial" w:eastAsia="Arial" w:hAnsi="Arial"/>
          <w:sz w:val="16"/>
          <w:szCs w:val="16"/>
          <w:color w:val="010000"/>
        </w:rPr>
        <w:t>”) and may engage in the Activities with or on behalf of one or more of the Loan Parties or their respective Affiliates. Furthermore, the Agent’s Group may, in undertaking the Activities, engage in trading in financial products or undertake other investment businesses for its own account or on behalf of others (including the Loan Parties and their Affiliates and including holding, for its own account or on behalf of others, equity, debt and similar positions in the Borrower, another Loan Party or their respective Affiliates), including trading in or holding long, short or derivative positions in securities, loans or other financial products of one or more of the Loan Parties or their Affiliates. Each Lender understands and agrees that in engaging in the Activities, the Agent’s Group may receive or otherwise obtain information concerning the Loan Parties or their Affiliates (including information concerning the ability of the Loan Parties to perform their respective Obligations hereunder and under the other Loan Documents) which information may not be available to any of the Lenders that are not members of the Agent’s</w:t>
      </w:r>
    </w:p>
    <w:p>
      <w:pPr>
        <w:spacing w:after="0" w:line="5" w:lineRule="exact"/>
        <w:rPr>
          <w:rFonts w:ascii="Arial" w:cs="Arial" w:eastAsia="Arial" w:hAnsi="Arial"/>
          <w:sz w:val="16"/>
          <w:szCs w:val="16"/>
          <w:color w:val="010000"/>
        </w:rPr>
      </w:pPr>
    </w:p>
    <w:p>
      <w:pPr>
        <w:ind w:right="40"/>
        <w:spacing w:after="0" w:line="267" w:lineRule="auto"/>
        <w:rPr>
          <w:rFonts w:ascii="Arial" w:cs="Arial" w:eastAsia="Arial" w:hAnsi="Arial"/>
          <w:sz w:val="16"/>
          <w:szCs w:val="16"/>
          <w:color w:val="010000"/>
        </w:rPr>
      </w:pPr>
      <w:r>
        <w:rPr>
          <w:rFonts w:ascii="Arial" w:cs="Arial" w:eastAsia="Arial" w:hAnsi="Arial"/>
          <w:sz w:val="17"/>
          <w:szCs w:val="17"/>
          <w:color w:val="010000"/>
        </w:rPr>
        <w:t>Group. None of the Agent nor any member of the Agent’s Group shall have any duty to disclose to any Lender or use on behalf of the Lenders, and shall not be liable for the failure to so disclose or use, any information whatsoever about or derived from the Activities or otherwise (including any information concerning the business, prospects, operations, property, financial and other condition or creditworthiness of any Loan Party or any Affiliate of any Loan Party) or to account for any revenue or profits obtained in connection with the Activities, except that the Agent shall deliver or otherwise make available to each Lender such documents as are expressly required by any Loan Document to be transmitted by the Agent to the Lenders.</w:t>
      </w:r>
    </w:p>
    <w:p>
      <w:pPr>
        <w:spacing w:after="0" w:line="75" w:lineRule="exact"/>
        <w:rPr>
          <w:rFonts w:ascii="Arial" w:cs="Arial" w:eastAsia="Arial" w:hAnsi="Arial"/>
          <w:sz w:val="16"/>
          <w:szCs w:val="16"/>
          <w:color w:val="010000"/>
        </w:rPr>
      </w:pPr>
    </w:p>
    <w:p>
      <w:pPr>
        <w:ind w:firstLine="1041"/>
        <w:spacing w:after="0" w:line="265" w:lineRule="auto"/>
        <w:tabs>
          <w:tab w:leader="none" w:pos="1276" w:val="left"/>
        </w:tabs>
        <w:numPr>
          <w:ilvl w:val="0"/>
          <w:numId w:val="127"/>
        </w:numPr>
        <w:rPr>
          <w:rFonts w:ascii="Arial" w:cs="Arial" w:eastAsia="Arial" w:hAnsi="Arial"/>
          <w:sz w:val="17"/>
          <w:szCs w:val="17"/>
          <w:color w:val="010000"/>
        </w:rPr>
      </w:pPr>
      <w:r>
        <w:rPr>
          <w:rFonts w:ascii="Arial" w:cs="Arial" w:eastAsia="Arial" w:hAnsi="Arial"/>
          <w:sz w:val="17"/>
          <w:szCs w:val="17"/>
          <w:color w:val="010000"/>
        </w:rPr>
        <w:t>Each Lender further understands that there may be situations where members of the Agent’s Group or their respective customers (including the Loan Parties and their Affiliates) either now have or may in the future have interests or take actions that may conflict with the interests of any one or more of the Lenders (including the interests of the Lenders hereunder and under the other Loan Documents). Each Lender agrees that no member of the Agent’s Group is or shall be required to restrict its activities as a result of the Person serving as Agent being a member of the Agent’s Group, and that each member of the Agent’s Group may undertake any Activities without further consultation with or notification to any Lender. None of (i) this Agreement nor any other Loan Document, (ii) the receipt by the Agent’s Group of information (including Borrower Information) concerning the Loan Parties or their Affiliates (including information concerning the ability of the Loan Parties to perform their respective Obligations hereunder and under the other Loan Documents) nor (iii) any other matter shall give rise to any fiduciary, equitable or contractual duties (including, without limitation, any duty of trust or confidence) owing by the Agent or any member of the Agent’s Group to any Lender including any such duty that would prevent or restrict the Agent’s Group from acting on behalf of customers (including the Loan Parties or their Affiliates) or for its own account.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u w:val="single" w:color="auto"/>
          <w:color w:val="010000"/>
        </w:rPr>
        <w:t>Duties of Agent; Exculpatory Provisions</w:t>
      </w:r>
      <w:r>
        <w:rPr>
          <w:rFonts w:ascii="Arial" w:cs="Arial" w:eastAsia="Arial" w:hAnsi="Arial"/>
          <w:sz w:val="18"/>
          <w:szCs w:val="18"/>
          <w:color w:val="010000"/>
        </w:rPr>
        <w:t>.</w:t>
      </w:r>
    </w:p>
    <w:p>
      <w:pPr>
        <w:spacing w:after="0" w:line="113" w:lineRule="exact"/>
        <w:rPr>
          <w:sz w:val="20"/>
          <w:szCs w:val="20"/>
          <w:color w:val="auto"/>
        </w:rPr>
      </w:pPr>
    </w:p>
    <w:p>
      <w:pPr>
        <w:ind w:right="60" w:firstLine="1041"/>
        <w:spacing w:after="0" w:line="287" w:lineRule="auto"/>
        <w:tabs>
          <w:tab w:leader="none" w:pos="1276" w:val="left"/>
        </w:tabs>
        <w:numPr>
          <w:ilvl w:val="0"/>
          <w:numId w:val="128"/>
        </w:numPr>
        <w:rPr>
          <w:rFonts w:ascii="Arial" w:cs="Arial" w:eastAsia="Arial" w:hAnsi="Arial"/>
          <w:sz w:val="16"/>
          <w:szCs w:val="16"/>
          <w:color w:val="010000"/>
        </w:rPr>
      </w:pPr>
      <w:r>
        <w:rPr>
          <w:rFonts w:ascii="Arial" w:cs="Arial" w:eastAsia="Arial" w:hAnsi="Arial"/>
          <w:sz w:val="16"/>
          <w:szCs w:val="16"/>
          <w:color w:val="010000"/>
        </w:rPr>
        <w:t xml:space="preserve">The Agent’s duties hereunder and under the other Loan Documents are solely ministerial and administrative in nature and the Agent shall not have any duties or obligations except those expressly set forth herein and in the other Loan Documents. Without limiting the generality of the foregoing, (i) the Agent shall not be subject to any fiduciary or other implied duties, regardless of whether a Default has occurred and is continuing, (ii) the Agent 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the Agent shall not be required to take any action that, in its opinion or the opinion of its counsel, may expose the Agent or any of its Affiliates to liability or that is contrary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27" w:name="page128"/>
    <w:bookmarkEnd w:id="127"/>
    <w:p>
      <w:pPr>
        <w:ind w:right="160"/>
        <w:spacing w:after="0" w:line="257" w:lineRule="auto"/>
        <w:rPr>
          <w:sz w:val="20"/>
          <w:szCs w:val="20"/>
          <w:color w:val="auto"/>
        </w:rPr>
      </w:pPr>
      <w:r>
        <w:rPr>
          <w:rFonts w:ascii="Arial" w:cs="Arial" w:eastAsia="Arial" w:hAnsi="Arial"/>
          <w:sz w:val="18"/>
          <w:szCs w:val="18"/>
          <w:color w:val="010000"/>
        </w:rPr>
        <w:t>any Loan Document or applicable law and (iii) the Agent 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Agent or any of its Affiliates in any capacity.</w:t>
      </w:r>
    </w:p>
    <w:p>
      <w:pPr>
        <w:spacing w:after="0" w:line="82" w:lineRule="exact"/>
        <w:rPr>
          <w:sz w:val="20"/>
          <w:szCs w:val="20"/>
          <w:color w:val="auto"/>
        </w:rPr>
      </w:pPr>
    </w:p>
    <w:p>
      <w:pPr>
        <w:ind w:right="100" w:firstLine="1041"/>
        <w:spacing w:after="0" w:line="252" w:lineRule="auto"/>
        <w:tabs>
          <w:tab w:leader="none" w:pos="1286" w:val="left"/>
        </w:tabs>
        <w:numPr>
          <w:ilvl w:val="0"/>
          <w:numId w:val="129"/>
        </w:numPr>
        <w:rPr>
          <w:rFonts w:ascii="Arial" w:cs="Arial" w:eastAsia="Arial" w:hAnsi="Arial"/>
          <w:sz w:val="18"/>
          <w:szCs w:val="18"/>
          <w:color w:val="010000"/>
        </w:rPr>
      </w:pPr>
      <w:r>
        <w:rPr>
          <w:rFonts w:ascii="Arial" w:cs="Arial" w:eastAsia="Arial" w:hAnsi="Arial"/>
          <w:sz w:val="18"/>
          <w:szCs w:val="18"/>
          <w:color w:val="010000"/>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9.01 or 9.03) or (ii) in the absence of its own gross negligence or willful misconduct. The Agent shall be deemed not to have knowledge of any Default or the event or events that give or may give rise to any Default unless and until the Company or any Lender shall have given notice to the Agent describing such Default and such event or events.</w:t>
      </w:r>
    </w:p>
    <w:p>
      <w:pPr>
        <w:spacing w:after="0" w:line="86" w:lineRule="exact"/>
        <w:rPr>
          <w:rFonts w:ascii="Arial" w:cs="Arial" w:eastAsia="Arial" w:hAnsi="Arial"/>
          <w:sz w:val="18"/>
          <w:szCs w:val="18"/>
          <w:color w:val="010000"/>
        </w:rPr>
      </w:pPr>
    </w:p>
    <w:p>
      <w:pPr>
        <w:ind w:firstLine="1041"/>
        <w:spacing w:after="0" w:line="285" w:lineRule="auto"/>
        <w:tabs>
          <w:tab w:leader="none" w:pos="1276" w:val="left"/>
        </w:tabs>
        <w:numPr>
          <w:ilvl w:val="0"/>
          <w:numId w:val="129"/>
        </w:numPr>
        <w:rPr>
          <w:rFonts w:ascii="Arial" w:cs="Arial" w:eastAsia="Arial" w:hAnsi="Arial"/>
          <w:sz w:val="16"/>
          <w:szCs w:val="16"/>
          <w:color w:val="010000"/>
        </w:rPr>
      </w:pPr>
      <w:r>
        <w:rPr>
          <w:rFonts w:ascii="Arial" w:cs="Arial" w:eastAsia="Arial" w:hAnsi="Arial"/>
          <w:sz w:val="16"/>
          <w:szCs w:val="16"/>
          <w:color w:val="010000"/>
        </w:rPr>
        <w:t>Neither the Agent nor any member of the Agent’s Group shall be responsible for or have any duty to ascertain or inquire into (i) any statement, warranty, representation or other information made or supplied in or in connection with this Agreement, any other Loan Document or the information presented to the other Lenders by the Company,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perfection or priority of any Lien or security interest created or purported to be created by the Collateral Documents or (v) the satisfaction of any condition set forth in Article III or elsewhere herein, other than (but subject to the foregoing clause (ii)) to confirm receipt of items expressly required to be delivered to the Agent.</w:t>
      </w:r>
    </w:p>
    <w:p>
      <w:pPr>
        <w:spacing w:after="0" w:line="65" w:lineRule="exact"/>
        <w:rPr>
          <w:rFonts w:ascii="Arial" w:cs="Arial" w:eastAsia="Arial" w:hAnsi="Arial"/>
          <w:sz w:val="16"/>
          <w:szCs w:val="16"/>
          <w:color w:val="010000"/>
        </w:rPr>
      </w:pPr>
    </w:p>
    <w:p>
      <w:pPr>
        <w:jc w:val="both"/>
        <w:ind w:right="340" w:firstLine="1041"/>
        <w:spacing w:after="0" w:line="304" w:lineRule="auto"/>
        <w:tabs>
          <w:tab w:leader="none" w:pos="1286" w:val="left"/>
        </w:tabs>
        <w:numPr>
          <w:ilvl w:val="0"/>
          <w:numId w:val="129"/>
        </w:numPr>
        <w:rPr>
          <w:rFonts w:ascii="Arial" w:cs="Arial" w:eastAsia="Arial" w:hAnsi="Arial"/>
          <w:sz w:val="16"/>
          <w:szCs w:val="16"/>
          <w:color w:val="010000"/>
        </w:rPr>
      </w:pPr>
      <w:r>
        <w:rPr>
          <w:rFonts w:ascii="Arial" w:cs="Arial" w:eastAsia="Arial" w:hAnsi="Arial"/>
          <w:sz w:val="16"/>
          <w:szCs w:val="16"/>
          <w:color w:val="010000"/>
        </w:rPr>
        <w:t>Nothing in this Agreement or any other Loan Document shall require the Agent or any of its Related Parties to carry out any “know your customer” or other checks in relation to any Person on behalf of any Lender and each Lender confirms to the Agent that it is solely responsible for any such checks it is required to carry out and that it may not rely on any statement in relation to such checks made by the Agent or any of its Related Parties.</w:t>
      </w:r>
    </w:p>
    <w:p>
      <w:pPr>
        <w:spacing w:after="0" w:line="154"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010000"/>
        </w:rPr>
        <w:t xml:space="preserve">SECTION 8.04. </w:t>
      </w:r>
      <w:r>
        <w:rPr>
          <w:rFonts w:ascii="Arial" w:cs="Arial" w:eastAsia="Arial" w:hAnsi="Arial"/>
          <w:sz w:val="16"/>
          <w:szCs w:val="16"/>
          <w:u w:val="single" w:color="auto"/>
          <w:color w:val="010000"/>
        </w:rPr>
        <w:t>Reliance by Agent</w:t>
      </w:r>
      <w:r>
        <w:rPr>
          <w:rFonts w:ascii="Arial" w:cs="Arial" w:eastAsia="Arial" w:hAnsi="Arial"/>
          <w:sz w:val="16"/>
          <w:szCs w:val="16"/>
          <w:color w:val="010000"/>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Revolving Loan, or the issuance of a Letter of Credit, that by its terms must be fulfilled to the satisfaction of a Lender, the Agent may presume that such condition is satisfactory to such Lender unless an officer of the Agent responsible for the transactions contemplated hereby shall have received notice to the contrary from such Lender prior to the making of such Revolving Loan or the issuance of such Letter of Credit, and in the case of a Borrowing, such Lender shall not have made available to the Agent such Lender’s ratable portion of such Borrowing. The Agent may consult with legal counsel (who may be counsel for the Company or any other Loan Party), independent accountants and other experts selected by it, and shall not be liable for any action taken or not taken by it in accordance with the advice of any such counsel, accountants or experts.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8.05. </w:t>
      </w:r>
      <w:r>
        <w:rPr>
          <w:rFonts w:ascii="Arial" w:cs="Arial" w:eastAsia="Arial" w:hAnsi="Arial"/>
          <w:sz w:val="18"/>
          <w:szCs w:val="18"/>
          <w:u w:val="single" w:color="auto"/>
          <w:color w:val="010000"/>
        </w:rPr>
        <w:t>Indemnification</w:t>
      </w:r>
      <w:r>
        <w:rPr>
          <w:rFonts w:ascii="Arial" w:cs="Arial" w:eastAsia="Arial" w:hAnsi="Arial"/>
          <w:sz w:val="18"/>
          <w:szCs w:val="18"/>
          <w:color w:val="010000"/>
        </w:rPr>
        <w:t>.</w:t>
      </w:r>
    </w:p>
    <w:p>
      <w:pPr>
        <w:spacing w:after="0" w:line="113" w:lineRule="exact"/>
        <w:rPr>
          <w:sz w:val="20"/>
          <w:szCs w:val="20"/>
          <w:color w:val="auto"/>
        </w:rPr>
      </w:pPr>
    </w:p>
    <w:p>
      <w:pPr>
        <w:ind w:firstLine="1041"/>
        <w:spacing w:after="0" w:line="284" w:lineRule="auto"/>
        <w:tabs>
          <w:tab w:leader="none" w:pos="1276" w:val="left"/>
        </w:tabs>
        <w:numPr>
          <w:ilvl w:val="0"/>
          <w:numId w:val="130"/>
        </w:numPr>
        <w:rPr>
          <w:rFonts w:ascii="Arial" w:cs="Arial" w:eastAsia="Arial" w:hAnsi="Arial"/>
          <w:sz w:val="16"/>
          <w:szCs w:val="16"/>
          <w:color w:val="010000"/>
        </w:rPr>
      </w:pPr>
      <w:r>
        <w:rPr>
          <w:rFonts w:ascii="Arial" w:cs="Arial" w:eastAsia="Arial" w:hAnsi="Arial"/>
          <w:sz w:val="16"/>
          <w:szCs w:val="16"/>
          <w:color w:val="010000"/>
        </w:rPr>
        <w:t>Each Lender severally agrees to indemnify the Agent (to the extent not promptly reimbursed by the Company) from and against such Lender’s Ratable Share of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(collectively, the “</w:t>
      </w:r>
      <w:r>
        <w:rPr>
          <w:rFonts w:ascii="Arial" w:cs="Arial" w:eastAsia="Arial" w:hAnsi="Arial"/>
          <w:sz w:val="16"/>
          <w:szCs w:val="16"/>
          <w:u w:val="single" w:color="auto"/>
          <w:color w:val="010000"/>
        </w:rPr>
        <w:t>Indemnified Costs</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no Lender shall be liable for any portion of the Indemnified Costs resulting from the Agent’s gross negligence or willful misconduct as found in a non-appealable judgment by a court of competent jurisdiction. Without limitation of the foregoing, each Lender agrees to reimburse the Agent promptly upon demand for its ratable share of any reasonable out-of-pocket expenses (including reasonable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promptly reimbursed for such expenses by the Company. In the case of any investigation, litigation or proceeding giving rise to any Indemnified Costs, this Section 8.05 applies whether any such investigation, litigation or proceeding is brought by the Agent, any Lender or a third party.</w:t>
      </w:r>
    </w:p>
    <w:p>
      <w:pPr>
        <w:spacing w:after="0" w:line="63" w:lineRule="exact"/>
        <w:rPr>
          <w:rFonts w:ascii="Arial" w:cs="Arial" w:eastAsia="Arial" w:hAnsi="Arial"/>
          <w:sz w:val="16"/>
          <w:szCs w:val="16"/>
          <w:color w:val="010000"/>
        </w:rPr>
      </w:pPr>
    </w:p>
    <w:p>
      <w:pPr>
        <w:ind w:right="20" w:firstLine="1041"/>
        <w:spacing w:after="0" w:line="291" w:lineRule="auto"/>
        <w:tabs>
          <w:tab w:leader="none" w:pos="1286" w:val="left"/>
        </w:tabs>
        <w:numPr>
          <w:ilvl w:val="0"/>
          <w:numId w:val="130"/>
        </w:numPr>
        <w:rPr>
          <w:rFonts w:ascii="Arial" w:cs="Arial" w:eastAsia="Arial" w:hAnsi="Arial"/>
          <w:sz w:val="16"/>
          <w:szCs w:val="16"/>
          <w:color w:val="010000"/>
        </w:rPr>
      </w:pPr>
      <w:r>
        <w:rPr>
          <w:rFonts w:ascii="Arial" w:cs="Arial" w:eastAsia="Arial" w:hAnsi="Arial"/>
          <w:sz w:val="16"/>
          <w:szCs w:val="16"/>
          <w:color w:val="010000"/>
        </w:rPr>
        <w:t xml:space="preserve">Each Lender severally agrees to indemnify the Issuing Banks (to the extent not promptly reimbursed by the Company) from and against such Lender’s Ratable Share of any and all liabilities, obligations, losses, damages, penalties, actions, judgments, suits, costs, expenses or disbursements of any kind or nature whatsoever that may be imposed on, incurred by, or asserted against any such Issuing Bank in any way relating to or arising out of the L/C Related Documents or any action taken or omitted by such Issuing Bank hereunder or in connection herewith;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no Lender shall be liable for any portion of such liabilities, obligations, losses, damages, penalties, actions, judgments, suits, costs, expenses or disbursements resulting from such Issuing Bank’s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28" w:name="page129"/>
    <w:bookmarkEnd w:id="128"/>
    <w:p>
      <w:pPr>
        <w:ind w:right="220"/>
        <w:spacing w:after="0" w:line="254" w:lineRule="auto"/>
        <w:rPr>
          <w:sz w:val="20"/>
          <w:szCs w:val="20"/>
          <w:color w:val="auto"/>
        </w:rPr>
      </w:pPr>
      <w:r>
        <w:rPr>
          <w:rFonts w:ascii="Arial" w:cs="Arial" w:eastAsia="Arial" w:hAnsi="Arial"/>
          <w:sz w:val="18"/>
          <w:szCs w:val="18"/>
          <w:color w:val="010000"/>
        </w:rPr>
        <w:t>gross negligence or willful misconduct as found in a non-appealable judgment by a court of competent jurisdiction. Without limitation of the foregoing, each Lender agrees to reimburse any such Issuing Bank promptly upon demand for its Ratable Share of any costs and expenses (including, without limitation, fees and expenses of counsel) payable by the Company under Section 9.04, to the extent that such Issuing Bank is not promptly reimbursed for such costs and expenses by the Company.</w:t>
      </w:r>
    </w:p>
    <w:p>
      <w:pPr>
        <w:spacing w:after="0" w:line="84" w:lineRule="exact"/>
        <w:rPr>
          <w:sz w:val="20"/>
          <w:szCs w:val="20"/>
          <w:color w:val="auto"/>
        </w:rPr>
      </w:pPr>
    </w:p>
    <w:p>
      <w:pPr>
        <w:ind w:firstLine="1041"/>
        <w:spacing w:after="0" w:line="267" w:lineRule="auto"/>
        <w:tabs>
          <w:tab w:leader="none" w:pos="1276" w:val="left"/>
        </w:tabs>
        <w:numPr>
          <w:ilvl w:val="0"/>
          <w:numId w:val="131"/>
        </w:numPr>
        <w:rPr>
          <w:rFonts w:ascii="Arial" w:cs="Arial" w:eastAsia="Arial" w:hAnsi="Arial"/>
          <w:sz w:val="17"/>
          <w:szCs w:val="17"/>
          <w:color w:val="010000"/>
        </w:rPr>
      </w:pPr>
      <w:r>
        <w:rPr>
          <w:rFonts w:ascii="Arial" w:cs="Arial" w:eastAsia="Arial" w:hAnsi="Arial"/>
          <w:sz w:val="17"/>
          <w:szCs w:val="17"/>
          <w:color w:val="010000"/>
        </w:rPr>
        <w:t>The failure of any Lender to reimburse the Agent or any Issuing Bank promptly upon demand for its ratable share of any amount required to be paid by the Lenders to the Agent as provided herein shall not relieve any other Lender of its obligation hereunder to reimburse the Agent or any Issuing Bank for its ratable share of such amount, but no Lender shall be responsible for the failure of any other Lender to reimburse the Agent or any Issuing Bank for such other Lender’s ratable share of such amount. Without prejudice to the survival of any other agreement of any Lender hereunder, the agreement and obligations of each Lender contained in this Section 8.05 shall survive the payment in full of principal, interest and all other amounts payable hereunder and under the Notes. Each of the Agent and each Issuing Bank agrees to return to the Lenders their respective ratable shares of any amounts paid under this Section 8.05 that are subsequently reimbursed by the Company.</w:t>
      </w:r>
    </w:p>
    <w:p>
      <w:pPr>
        <w:spacing w:after="0" w:line="185"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010000"/>
        </w:rPr>
        <w:t xml:space="preserve">SECTION 8.06. </w:t>
      </w:r>
      <w:r>
        <w:rPr>
          <w:rFonts w:ascii="Arial" w:cs="Arial" w:eastAsia="Arial" w:hAnsi="Arial"/>
          <w:sz w:val="17"/>
          <w:szCs w:val="17"/>
          <w:u w:val="single" w:color="auto"/>
          <w:color w:val="010000"/>
        </w:rPr>
        <w:t>Delegation of Duties</w:t>
      </w:r>
      <w:r>
        <w:rPr>
          <w:rFonts w:ascii="Arial" w:cs="Arial" w:eastAsia="Arial" w:hAnsi="Arial"/>
          <w:sz w:val="17"/>
          <w:szCs w:val="17"/>
          <w:color w:val="010000"/>
        </w:rPr>
        <w:t>. The Agent may perform any and all of its duties and exercise its rights and powers hereunder or under any other Loan Document by or through any one or more co-agents or sub-agents appointed by the Agent. The Agent and any such co-agent or sub-agent may perform any and all of its duties and exercise its rights and powers by or through their respective Related Parties. Each such co-agent and sub-agent and the Related Parties of the Agent and each such co-agent and sub-agent (including their respective Affiliates in connection with the syndication of the Revolving Credit Facility) shall be entitled to the benefits of all provisions of this Article VIII and Article IX (as though such co-agents and sub-agents were the “Agent” under the Loan Documents) as if set forth in full herein with respect thereto.</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8.07. </w:t>
      </w:r>
      <w:r>
        <w:rPr>
          <w:rFonts w:ascii="Arial" w:cs="Arial" w:eastAsia="Arial" w:hAnsi="Arial"/>
          <w:sz w:val="18"/>
          <w:szCs w:val="18"/>
          <w:u w:val="single" w:color="auto"/>
          <w:color w:val="010000"/>
        </w:rPr>
        <w:t>Resignation of Agent</w:t>
      </w:r>
      <w:r>
        <w:rPr>
          <w:rFonts w:ascii="Arial" w:cs="Arial" w:eastAsia="Arial" w:hAnsi="Arial"/>
          <w:sz w:val="18"/>
          <w:szCs w:val="18"/>
          <w:color w:val="010000"/>
        </w:rPr>
        <w:t>.</w:t>
      </w:r>
    </w:p>
    <w:p>
      <w:pPr>
        <w:spacing w:after="0" w:line="113" w:lineRule="exact"/>
        <w:rPr>
          <w:sz w:val="20"/>
          <w:szCs w:val="20"/>
          <w:color w:val="auto"/>
        </w:rPr>
      </w:pPr>
    </w:p>
    <w:p>
      <w:pPr>
        <w:ind w:firstLine="1041"/>
        <w:spacing w:after="0" w:line="281" w:lineRule="auto"/>
        <w:tabs>
          <w:tab w:leader="none" w:pos="1276" w:val="left"/>
        </w:tabs>
        <w:numPr>
          <w:ilvl w:val="1"/>
          <w:numId w:val="132"/>
        </w:numPr>
        <w:rPr>
          <w:rFonts w:ascii="Arial" w:cs="Arial" w:eastAsia="Arial" w:hAnsi="Arial"/>
          <w:sz w:val="16"/>
          <w:szCs w:val="16"/>
          <w:color w:val="010000"/>
        </w:rPr>
      </w:pPr>
      <w:r>
        <w:rPr>
          <w:rFonts w:ascii="Arial" w:cs="Arial" w:eastAsia="Arial" w:hAnsi="Arial"/>
          <w:sz w:val="16"/>
          <w:szCs w:val="16"/>
          <w:color w:val="010000"/>
        </w:rPr>
        <w:t>The Agent may at any time give notice of its resignation to the Lenders and the Company. Upon receipt of any such notice of resignation, the Required Lenders shall have the right, in consultation with the Company, to appoint a successor, which shall be a bank with an office in New York, New York, or an Affiliate of any such bank with an office in New York, New York. If no such successor shall have been so appointed by the Required Lenders and shall have accepted such appointment within 30 days after the retiring Agent gives notice of its resignation (such 30-day period, the “</w:t>
      </w:r>
      <w:r>
        <w:rPr>
          <w:rFonts w:ascii="Arial" w:cs="Arial" w:eastAsia="Arial" w:hAnsi="Arial"/>
          <w:sz w:val="16"/>
          <w:szCs w:val="16"/>
          <w:u w:val="single" w:color="auto"/>
          <w:color w:val="010000"/>
        </w:rPr>
        <w:t>Lender Appointment Period</w:t>
      </w:r>
      <w:r>
        <w:rPr>
          <w:rFonts w:ascii="Arial" w:cs="Arial" w:eastAsia="Arial" w:hAnsi="Arial"/>
          <w:sz w:val="16"/>
          <w:szCs w:val="16"/>
          <w:color w:val="010000"/>
        </w:rPr>
        <w:t>”), then the retiring Agent may on behalf of the Lenders, appoint a successor Agent meeting the qualifications set forth above. In addition and without any obligation on the part of the retiring Agent to appoint, on behalf of the Lenders, a successor Agent, the retiring Agent may at any time upon or after the end of the Lender Appointment Period notify the Company and the Lenders that no qualifying Person has accepted appointment as successor Agent and the effective date of such retiring Agent’s resignation. Upon the resignation effective date established in such notice and regardless of whether a successor Agent has been appointed and accepted such appointment, the retiring Agent’s resignation shall nonetheless become effective and (i) the retiring Agent shall be discharged from its duties and obligations as Agent hereunder and under the other Loan Documents and (ii) all payments, communications and determinations provided to be made by, to or through the Agent shall instead be made by or to each Lender directly, until such time as the Required Lenders appoint a successor Agent as provided for above in this paragraph. Upon the acceptance of a successor’s appointment as Agent hereunder, such successor shall succeed to and become vested with all of the rights, powers, privileges and duties as Agent of the retiring (or retired) Agent, and the retiring Agent shall be discharged from all of its duties and obligations as Agent hereunder or under the other Loan Documents (if not already discharged therefrom as provided above in this paragraph). The fees payable by the Company to a successor Agent shall be the same as those payable to its predecessor unless otherwise agreed between the Company and such successor. After the retiring Agent’s resignation hereunder and under the other Loan Documents, the provisions of this Article and Section 9.04 shall continue in effect for the benefit of such retiring Agent, its sub-agents and their respective Related Parties in respect of any actions taken or omitted to be taken by any of them while the retiring Agent was acting as Agent.</w:t>
      </w:r>
    </w:p>
    <w:p>
      <w:pPr>
        <w:spacing w:after="0" w:line="69" w:lineRule="exact"/>
        <w:rPr>
          <w:rFonts w:ascii="Arial" w:cs="Arial" w:eastAsia="Arial" w:hAnsi="Arial"/>
          <w:sz w:val="16"/>
          <w:szCs w:val="16"/>
          <w:color w:val="010000"/>
        </w:rPr>
      </w:pPr>
    </w:p>
    <w:p>
      <w:pPr>
        <w:ind w:right="60" w:firstLine="1041"/>
        <w:spacing w:after="0" w:line="281" w:lineRule="auto"/>
        <w:tabs>
          <w:tab w:leader="none" w:pos="1286" w:val="left"/>
        </w:tabs>
        <w:numPr>
          <w:ilvl w:val="1"/>
          <w:numId w:val="132"/>
        </w:numPr>
        <w:rPr>
          <w:rFonts w:ascii="Arial" w:cs="Arial" w:eastAsia="Arial" w:hAnsi="Arial"/>
          <w:sz w:val="16"/>
          <w:szCs w:val="16"/>
          <w:color w:val="010000"/>
        </w:rPr>
      </w:pPr>
      <w:r>
        <w:rPr>
          <w:rFonts w:ascii="Arial" w:cs="Arial" w:eastAsia="Arial" w:hAnsi="Arial"/>
          <w:sz w:val="16"/>
          <w:szCs w:val="16"/>
          <w:color w:val="010000"/>
        </w:rPr>
        <w:t>Any resignation pursuant to this Section by a Person acting as Agent shall, unless such Person shall notify the Company and the Lenders otherwise, also act to relieve such Person and its Affiliates of any obligation to issue new, or extend existing, Letters of Credit where such 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arising on or after the effective date of such successor’s appointment, and</w:t>
      </w:r>
    </w:p>
    <w:p>
      <w:pPr>
        <w:ind w:right="300" w:firstLine="7"/>
        <w:spacing w:after="0" w:line="251" w:lineRule="auto"/>
        <w:tabs>
          <w:tab w:leader="none" w:pos="311" w:val="left"/>
        </w:tabs>
        <w:numPr>
          <w:ilvl w:val="0"/>
          <w:numId w:val="133"/>
        </w:numPr>
        <w:rPr>
          <w:rFonts w:ascii="Arial" w:cs="Arial" w:eastAsia="Arial" w:hAnsi="Arial"/>
          <w:sz w:val="18"/>
          <w:szCs w:val="18"/>
          <w:color w:val="010000"/>
        </w:rPr>
      </w:pPr>
      <w:r>
        <w:rPr>
          <w:rFonts w:ascii="Arial" w:cs="Arial" w:eastAsia="Arial" w:hAnsi="Arial"/>
          <w:sz w:val="18"/>
          <w:szCs w:val="18"/>
          <w:color w:val="010000"/>
        </w:rPr>
        <w:t>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8.08. </w:t>
      </w:r>
      <w:r>
        <w:rPr>
          <w:rFonts w:ascii="Arial" w:cs="Arial" w:eastAsia="Arial" w:hAnsi="Arial"/>
          <w:sz w:val="18"/>
          <w:szCs w:val="18"/>
          <w:u w:val="single" w:color="auto"/>
          <w:color w:val="010000"/>
        </w:rPr>
        <w:t>Non-Reliance on Agent and Other Lenders</w:t>
      </w:r>
      <w:r>
        <w:rPr>
          <w:rFonts w:ascii="Arial" w:cs="Arial" w:eastAsia="Arial" w:hAnsi="Arial"/>
          <w:sz w:val="18"/>
          <w:szCs w:val="18"/>
          <w:color w:val="010000"/>
        </w:rPr>
        <w:t>.</w:t>
      </w:r>
    </w:p>
    <w:p>
      <w:pPr>
        <w:spacing w:after="0" w:line="113" w:lineRule="exact"/>
        <w:rPr>
          <w:sz w:val="20"/>
          <w:szCs w:val="20"/>
          <w:color w:val="auto"/>
        </w:rPr>
      </w:pPr>
    </w:p>
    <w:p>
      <w:pPr>
        <w:jc w:val="both"/>
        <w:ind w:firstLine="1041"/>
        <w:spacing w:after="0" w:line="257" w:lineRule="auto"/>
        <w:tabs>
          <w:tab w:leader="none" w:pos="1276" w:val="left"/>
        </w:tabs>
        <w:numPr>
          <w:ilvl w:val="0"/>
          <w:numId w:val="134"/>
        </w:numPr>
        <w:rPr>
          <w:rFonts w:ascii="Arial" w:cs="Arial" w:eastAsia="Arial" w:hAnsi="Arial"/>
          <w:sz w:val="18"/>
          <w:szCs w:val="18"/>
          <w:color w:val="010000"/>
        </w:rPr>
      </w:pPr>
      <w:r>
        <w:rPr>
          <w:rFonts w:ascii="Arial" w:cs="Arial" w:eastAsia="Arial" w:hAnsi="Arial"/>
          <w:sz w:val="18"/>
          <w:szCs w:val="18"/>
          <w:color w:val="010000"/>
        </w:rPr>
        <w:t>Each Lender confirms to the Agent, each other Lender and each of their respective Related Parties that it (i) possesses (individually or through its Related Parties) such knowledge and experience in financial and business matters that it is capable, without reliance on the Agent, any other Lender or any of their respective Related Parties, of evaluating the merits and risks (including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29" w:name="page130"/>
    <w:bookmarkEnd w:id="129"/>
    <w:p>
      <w:pPr>
        <w:ind w:right="100"/>
        <w:spacing w:after="0" w:line="254" w:lineRule="auto"/>
        <w:rPr>
          <w:sz w:val="20"/>
          <w:szCs w:val="20"/>
          <w:color w:val="auto"/>
        </w:rPr>
      </w:pPr>
      <w:r>
        <w:rPr>
          <w:rFonts w:ascii="Arial" w:cs="Arial" w:eastAsia="Arial" w:hAnsi="Arial"/>
          <w:sz w:val="18"/>
          <w:szCs w:val="18"/>
          <w:color w:val="010000"/>
        </w:rPr>
        <w:t>tax, legal, regulatory, credit, accounting and other financial matters) of (x) entering into this Agreement, (y) making Revolving Loans and other extensions of credit hereunder and under the other Loan Documents and (z) in taking or not taking actions hereunder and thereunder, (ii) is financially able to bear such risks and (iii) has determined that entering into this Agreement and making Revolving Loans and other extensions of credit hereunder and under the other Loan Documents is suitable and appropriate for it.</w:t>
      </w:r>
    </w:p>
    <w:p>
      <w:pPr>
        <w:spacing w:after="0" w:line="84" w:lineRule="exact"/>
        <w:rPr>
          <w:sz w:val="20"/>
          <w:szCs w:val="20"/>
          <w:color w:val="auto"/>
        </w:rPr>
      </w:pPr>
    </w:p>
    <w:p>
      <w:pPr>
        <w:ind w:firstLine="1041"/>
        <w:spacing w:after="0" w:line="287" w:lineRule="auto"/>
        <w:tabs>
          <w:tab w:leader="none" w:pos="1286" w:val="left"/>
        </w:tabs>
        <w:numPr>
          <w:ilvl w:val="0"/>
          <w:numId w:val="135"/>
        </w:numPr>
        <w:rPr>
          <w:rFonts w:ascii="Arial" w:cs="Arial" w:eastAsia="Arial" w:hAnsi="Arial"/>
          <w:sz w:val="16"/>
          <w:szCs w:val="16"/>
          <w:color w:val="010000"/>
        </w:rPr>
      </w:pPr>
      <w:r>
        <w:rPr>
          <w:rFonts w:ascii="Arial" w:cs="Arial" w:eastAsia="Arial" w:hAnsi="Arial"/>
          <w:sz w:val="16"/>
          <w:szCs w:val="16"/>
          <w:color w:val="010000"/>
        </w:rPr>
        <w:t>Each Lender acknowledges that (i) it is solely responsible for making its own independent appraisal and investigation of all risks arising under or in connection with this Agreement and the other Loan Documents, (ii) that it has, independently and without reliance upon the Agent, any other Lender or any of their respective Related Parties, made its own appraisal and investigation of all risks associated with, and its own credit analysis and decision to enter into, this Agreement based on such documents and information, as it has deemed appropriate and (iii) it will, independently and without reliance upon the Agent, any other Lender or any of their respective Related Parties, continue to be solely responsible for making its own appraisal and investigation of all risks arising under or in connection with, and its own credit analysis and decision to take or not take action under, this Agreement and the other Loan Documents based on such documents and information as it shall from time to time deem appropriate, which may include, in each case:</w:t>
      </w:r>
    </w:p>
    <w:p>
      <w:pPr>
        <w:spacing w:after="0" w:line="60" w:lineRule="exact"/>
        <w:rPr>
          <w:rFonts w:ascii="Arial" w:cs="Arial" w:eastAsia="Arial" w:hAnsi="Arial"/>
          <w:sz w:val="16"/>
          <w:szCs w:val="16"/>
          <w:color w:val="010000"/>
        </w:rPr>
      </w:pPr>
    </w:p>
    <w:p>
      <w:pPr>
        <w:ind w:left="2360" w:hanging="284"/>
        <w:spacing w:after="0"/>
        <w:tabs>
          <w:tab w:leader="none" w:pos="2360" w:val="left"/>
        </w:tabs>
        <w:numPr>
          <w:ilvl w:val="1"/>
          <w:numId w:val="135"/>
        </w:numPr>
        <w:rPr>
          <w:rFonts w:ascii="Arial" w:cs="Arial" w:eastAsia="Arial" w:hAnsi="Arial"/>
          <w:sz w:val="18"/>
          <w:szCs w:val="18"/>
          <w:color w:val="010000"/>
        </w:rPr>
      </w:pPr>
      <w:r>
        <w:rPr>
          <w:rFonts w:ascii="Arial" w:cs="Arial" w:eastAsia="Arial" w:hAnsi="Arial"/>
          <w:sz w:val="18"/>
          <w:szCs w:val="18"/>
          <w:color w:val="010000"/>
        </w:rPr>
        <w:t>the financial condition, status and capitalization of the Company and each other Loan Party;</w:t>
      </w:r>
    </w:p>
    <w:p>
      <w:pPr>
        <w:spacing w:after="0" w:line="113" w:lineRule="exact"/>
        <w:rPr>
          <w:rFonts w:ascii="Arial" w:cs="Arial" w:eastAsia="Arial" w:hAnsi="Arial"/>
          <w:sz w:val="18"/>
          <w:szCs w:val="18"/>
          <w:color w:val="010000"/>
        </w:rPr>
      </w:pPr>
    </w:p>
    <w:p>
      <w:pPr>
        <w:ind w:right="40" w:firstLine="2076"/>
        <w:spacing w:after="0" w:line="297" w:lineRule="auto"/>
        <w:tabs>
          <w:tab w:leader="none" w:pos="2351" w:val="left"/>
        </w:tabs>
        <w:numPr>
          <w:ilvl w:val="1"/>
          <w:numId w:val="135"/>
        </w:numPr>
        <w:rPr>
          <w:rFonts w:ascii="Arial" w:cs="Arial" w:eastAsia="Arial" w:hAnsi="Arial"/>
          <w:sz w:val="17"/>
          <w:szCs w:val="17"/>
          <w:color w:val="010000"/>
        </w:rPr>
      </w:pPr>
      <w:r>
        <w:rPr>
          <w:rFonts w:ascii="Arial" w:cs="Arial" w:eastAsia="Arial" w:hAnsi="Arial"/>
          <w:sz w:val="17"/>
          <w:szCs w:val="17"/>
          <w:color w:val="010000"/>
        </w:rPr>
        <w:t>the legality, validity, effectiveness, adequacy or enforceability of this Agreement and each other Loan Document and any other agreement, arrangement or document entered into, made or executed in anticipation of, under or in connection with any Loan Document;</w:t>
      </w:r>
    </w:p>
    <w:p>
      <w:pPr>
        <w:spacing w:after="0" w:line="49" w:lineRule="exact"/>
        <w:rPr>
          <w:rFonts w:ascii="Arial" w:cs="Arial" w:eastAsia="Arial" w:hAnsi="Arial"/>
          <w:sz w:val="17"/>
          <w:szCs w:val="17"/>
          <w:color w:val="010000"/>
        </w:rPr>
      </w:pPr>
    </w:p>
    <w:p>
      <w:pPr>
        <w:ind w:right="140" w:firstLine="2076"/>
        <w:spacing w:after="0" w:line="331" w:lineRule="auto"/>
        <w:tabs>
          <w:tab w:leader="none" w:pos="2351" w:val="left"/>
        </w:tabs>
        <w:numPr>
          <w:ilvl w:val="1"/>
          <w:numId w:val="135"/>
        </w:numPr>
        <w:rPr>
          <w:rFonts w:ascii="Arial" w:cs="Arial" w:eastAsia="Arial" w:hAnsi="Arial"/>
          <w:sz w:val="16"/>
          <w:szCs w:val="16"/>
          <w:color w:val="010000"/>
        </w:rPr>
      </w:pPr>
      <w:r>
        <w:rPr>
          <w:rFonts w:ascii="Arial" w:cs="Arial" w:eastAsia="Arial" w:hAnsi="Arial"/>
          <w:sz w:val="16"/>
          <w:szCs w:val="16"/>
          <w:color w:val="010000"/>
        </w:rPr>
        <w:t>determining compliance or non-compliance with any condition hereunder to the making of a Revolving Loan, or the issuance of a Letter of Credit and the form and substance of all evidence delivered in connection with establishing the satisfaction of each such condition;</w:t>
      </w:r>
    </w:p>
    <w:p>
      <w:pPr>
        <w:spacing w:after="0" w:line="25" w:lineRule="exact"/>
        <w:rPr>
          <w:rFonts w:ascii="Arial" w:cs="Arial" w:eastAsia="Arial" w:hAnsi="Arial"/>
          <w:sz w:val="16"/>
          <w:szCs w:val="16"/>
          <w:color w:val="010000"/>
        </w:rPr>
      </w:pPr>
    </w:p>
    <w:p>
      <w:pPr>
        <w:jc w:val="both"/>
        <w:ind w:right="240" w:firstLine="2076"/>
        <w:spacing w:after="0" w:line="304" w:lineRule="auto"/>
        <w:tabs>
          <w:tab w:leader="none" w:pos="2361" w:val="left"/>
        </w:tabs>
        <w:numPr>
          <w:ilvl w:val="1"/>
          <w:numId w:val="135"/>
        </w:numPr>
        <w:rPr>
          <w:rFonts w:ascii="Arial" w:cs="Arial" w:eastAsia="Arial" w:hAnsi="Arial"/>
          <w:sz w:val="16"/>
          <w:szCs w:val="16"/>
          <w:color w:val="010000"/>
        </w:rPr>
      </w:pPr>
      <w:r>
        <w:rPr>
          <w:rFonts w:ascii="Arial" w:cs="Arial" w:eastAsia="Arial" w:hAnsi="Arial"/>
          <w:sz w:val="16"/>
          <w:szCs w:val="16"/>
          <w:color w:val="010000"/>
        </w:rPr>
        <w:t>the adequacy, accuracy and/or completeness of any information delivered by the Agent, any other Lender or by any of their respective Related Parties under or in connection with this Agreement or any other Loan Document, the transactions contemplated hereby and thereby or any other agreement, arrangement or document entered into, made or executed in anticipation of, under or in connection with any Loan Document.</w:t>
      </w:r>
    </w:p>
    <w:p>
      <w:pPr>
        <w:spacing w:after="0" w:line="154"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010000"/>
        </w:rPr>
        <w:t xml:space="preserve">SECTION 8.09. </w:t>
      </w:r>
      <w:r>
        <w:rPr>
          <w:rFonts w:ascii="Arial" w:cs="Arial" w:eastAsia="Arial" w:hAnsi="Arial"/>
          <w:sz w:val="18"/>
          <w:szCs w:val="18"/>
          <w:u w:val="single" w:color="auto"/>
          <w:color w:val="010000"/>
        </w:rPr>
        <w:t>No Other Duties, etc</w:t>
      </w:r>
      <w:r>
        <w:rPr>
          <w:rFonts w:ascii="Arial" w:cs="Arial" w:eastAsia="Arial" w:hAnsi="Arial"/>
          <w:sz w:val="18"/>
          <w:szCs w:val="18"/>
          <w:color w:val="010000"/>
        </w:rPr>
        <w:t>. Anything herein to the contrary notwithstanding, none of the Persons acting as, Arranger or bookrunner or syndication agent listed on the cover page hereof shall have any powers, duties or responsibilities under this Agreement or any of the other Loan Documents, except in its capacity, as applicable, as a Lender hereunder.</w:t>
      </w:r>
    </w:p>
    <w:p>
      <w:pPr>
        <w:spacing w:after="0" w:line="188"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010000"/>
        </w:rPr>
        <w:t xml:space="preserve">SECTION 8.10. </w:t>
      </w:r>
      <w:r>
        <w:rPr>
          <w:rFonts w:ascii="Arial" w:cs="Arial" w:eastAsia="Arial" w:hAnsi="Arial"/>
          <w:sz w:val="18"/>
          <w:szCs w:val="18"/>
          <w:u w:val="single" w:color="auto"/>
          <w:color w:val="010000"/>
        </w:rPr>
        <w:t>Agent May File Proofs of Claim</w:t>
      </w:r>
      <w:r>
        <w:rPr>
          <w:rFonts w:ascii="Arial" w:cs="Arial" w:eastAsia="Arial" w:hAnsi="Arial"/>
          <w:sz w:val="18"/>
          <w:szCs w:val="18"/>
          <w:color w:val="010000"/>
        </w:rPr>
        <w:t>. In case of the pendency of any proceeding under any Bankruptcy Law or any other judicial proceeding relative to any Loan Party, the Agent (irrespective of whether the principal of any Revolving Loan or Letter of Credit Obligation shall then be due and payable as herein expressed or by declaration or otherwise and irrespective of whether the Agent shall have made any demand on Borrower) shall be entitled and empowered, by intervention in such proceeding or otherwise:</w:t>
      </w:r>
    </w:p>
    <w:p>
      <w:pPr>
        <w:spacing w:after="0" w:line="84" w:lineRule="exact"/>
        <w:rPr>
          <w:sz w:val="20"/>
          <w:szCs w:val="20"/>
          <w:color w:val="auto"/>
        </w:rPr>
      </w:pPr>
    </w:p>
    <w:p>
      <w:pPr>
        <w:ind w:right="220" w:firstLine="1041"/>
        <w:spacing w:after="0" w:line="252" w:lineRule="auto"/>
        <w:tabs>
          <w:tab w:leader="none" w:pos="1276" w:val="left"/>
        </w:tabs>
        <w:numPr>
          <w:ilvl w:val="0"/>
          <w:numId w:val="136"/>
        </w:numPr>
        <w:rPr>
          <w:rFonts w:ascii="Arial" w:cs="Arial" w:eastAsia="Arial" w:hAnsi="Arial"/>
          <w:sz w:val="18"/>
          <w:szCs w:val="18"/>
          <w:color w:val="010000"/>
        </w:rPr>
      </w:pPr>
      <w:r>
        <w:rPr>
          <w:rFonts w:ascii="Arial" w:cs="Arial" w:eastAsia="Arial" w:hAnsi="Arial"/>
          <w:sz w:val="18"/>
          <w:szCs w:val="18"/>
          <w:color w:val="010000"/>
        </w:rPr>
        <w:t>to file and prove a claim for the whole amount of the principal and interest owing and unpaid in respect of the Revolving Loans, Letter of Credit Obligations and all other Obligations that are owing and unpaid and to file such other documents as may be necessary or advisable in order to have the claims of the Lenders, the Issuing Banks and the Agent (including any claim for the reasonable compensation, expenses, disbursements and advances of the Lenders, the Issuing Banks and the Agent and their respective agents and counsel and all other amounts due the Lenders, the Issuing Banks and the Agent hereunder) allowed in such judicial proceeding; and</w:t>
      </w:r>
    </w:p>
    <w:p>
      <w:pPr>
        <w:spacing w:after="0" w:line="86" w:lineRule="exact"/>
        <w:rPr>
          <w:rFonts w:ascii="Arial" w:cs="Arial" w:eastAsia="Arial" w:hAnsi="Arial"/>
          <w:sz w:val="18"/>
          <w:szCs w:val="18"/>
          <w:color w:val="010000"/>
        </w:rPr>
      </w:pPr>
    </w:p>
    <w:p>
      <w:pPr>
        <w:ind w:left="1300" w:hanging="259"/>
        <w:spacing w:after="0"/>
        <w:tabs>
          <w:tab w:leader="none" w:pos="1300" w:val="left"/>
        </w:tabs>
        <w:numPr>
          <w:ilvl w:val="0"/>
          <w:numId w:val="136"/>
        </w:numPr>
        <w:rPr>
          <w:rFonts w:ascii="Arial" w:cs="Arial" w:eastAsia="Arial" w:hAnsi="Arial"/>
          <w:sz w:val="18"/>
          <w:szCs w:val="18"/>
          <w:color w:val="010000"/>
        </w:rPr>
      </w:pPr>
      <w:r>
        <w:rPr>
          <w:rFonts w:ascii="Arial" w:cs="Arial" w:eastAsia="Arial" w:hAnsi="Arial"/>
          <w:sz w:val="18"/>
          <w:szCs w:val="18"/>
          <w:color w:val="010000"/>
        </w:rPr>
        <w:t>to collect and receive any monies or other property payable or deliverable on any such claims and to distribute the same;</w:t>
      </w:r>
    </w:p>
    <w:p>
      <w:pPr>
        <w:spacing w:after="0" w:line="22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and any custodian, receiver, interim receiver, monitor, assignee, trustee, liquidator, sequestrator or other similar official in any such judicial proceeding is hereby authorized by each Lender and Issuing Bank to make such payments to the Agent and, if the Agent shall consent to the making of such payments directly to the Lenders and Issuing Bank, to pay to the Agent any amount due for the reasonable compensation, expenses, disbursements and advances of the Agent and its agents and counsel, and any other amounts due the Agent hereunder.</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Nothing contained herein shall be deemed to authorize the Agent to authorize or consent to or accept or adopt on behalf of any Lender or Issuing Bank any plan of reorganization, arrangement, adjustment or composition or proposal affecting the Obligations or the rights of any Lender or Issuing Bank to authorize the Agent to vote in respect of the claim of any Lender or Issuing Bank or in any such proceeding.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0" w:name="page131"/>
    <w:bookmarkEnd w:id="130"/>
    <w:p>
      <w:pPr>
        <w:ind w:right="20" w:firstLine="518"/>
        <w:spacing w:after="0" w:line="281" w:lineRule="auto"/>
        <w:rPr>
          <w:sz w:val="20"/>
          <w:szCs w:val="20"/>
          <w:color w:val="auto"/>
        </w:rPr>
      </w:pPr>
      <w:r>
        <w:rPr>
          <w:rFonts w:ascii="Arial" w:cs="Arial" w:eastAsia="Arial" w:hAnsi="Arial"/>
          <w:sz w:val="16"/>
          <w:szCs w:val="16"/>
          <w:color w:val="010000"/>
        </w:rPr>
        <w:t xml:space="preserve">SECTION 8.11. </w:t>
      </w:r>
      <w:r>
        <w:rPr>
          <w:rFonts w:ascii="Arial" w:cs="Arial" w:eastAsia="Arial" w:hAnsi="Arial"/>
          <w:sz w:val="16"/>
          <w:szCs w:val="16"/>
          <w:u w:val="single" w:color="auto"/>
          <w:color w:val="010000"/>
        </w:rPr>
        <w:t>Intercreditor Arrangements</w:t>
      </w:r>
      <w:r>
        <w:rPr>
          <w:rFonts w:ascii="Arial" w:cs="Arial" w:eastAsia="Arial" w:hAnsi="Arial"/>
          <w:sz w:val="16"/>
          <w:szCs w:val="16"/>
          <w:color w:val="010000"/>
        </w:rPr>
        <w:t>. Each of the Lenders hereby authorizes and directs the Agent to enter into one or more Intercreditor Agreements (other than the Term Loan Intercreditor Agreement) on behalf of such Lender, with the consent of Required Lenders. Each of the Lenders hereby agrees that the Agent in its various capacities thereunder may take such actions on its behalf as is contemplated by the terms of any such Intercreditor Agreements. With respect to any such Intercreditor Agreement executed and delivered by the Agent in accordance with this Agreement, each Lender hereunder</w:t>
      </w:r>
    </w:p>
    <w:p>
      <w:pPr>
        <w:spacing w:after="0" w:line="3" w:lineRule="exact"/>
        <w:rPr>
          <w:sz w:val="20"/>
          <w:szCs w:val="20"/>
          <w:color w:val="auto"/>
        </w:rPr>
      </w:pPr>
    </w:p>
    <w:p>
      <w:pPr>
        <w:ind w:right="40" w:firstLine="7"/>
        <w:spacing w:after="0" w:line="297" w:lineRule="auto"/>
        <w:tabs>
          <w:tab w:leader="none" w:pos="242" w:val="left"/>
        </w:tabs>
        <w:numPr>
          <w:ilvl w:val="0"/>
          <w:numId w:val="137"/>
        </w:numPr>
        <w:rPr>
          <w:rFonts w:ascii="Arial" w:cs="Arial" w:eastAsia="Arial" w:hAnsi="Arial"/>
          <w:sz w:val="16"/>
          <w:szCs w:val="16"/>
          <w:color w:val="010000"/>
        </w:rPr>
      </w:pPr>
      <w:r>
        <w:rPr>
          <w:rFonts w:ascii="Arial" w:cs="Arial" w:eastAsia="Arial" w:hAnsi="Arial"/>
          <w:sz w:val="16"/>
          <w:szCs w:val="16"/>
          <w:color w:val="010000"/>
        </w:rPr>
        <w:t>consents to any subordination of Liens provided for in such Intercreditor Agreement, (b) agrees that it will be bound by and will take no actions contrary to the provisions of such Intercreditor Agreement, (c) authorizes and instructs the Agent to enter into such Intercreditor Agreement as Agent and on behalf of such Lender and (d) agrees that the Agent may take such actions on behalf of such Lender as is contemplated by the terms of such Intercreditor Agreement.</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8.12. </w:t>
      </w:r>
      <w:r>
        <w:rPr>
          <w:rFonts w:ascii="Arial" w:cs="Arial" w:eastAsia="Arial" w:hAnsi="Arial"/>
          <w:sz w:val="18"/>
          <w:szCs w:val="18"/>
          <w:u w:val="single" w:color="auto"/>
          <w:color w:val="010000"/>
        </w:rPr>
        <w:t>[Reserved]</w:t>
      </w:r>
      <w:r>
        <w:rPr>
          <w:rFonts w:ascii="Arial" w:cs="Arial" w:eastAsia="Arial" w:hAnsi="Arial"/>
          <w:sz w:val="18"/>
          <w:szCs w:val="18"/>
          <w:color w:val="010000"/>
        </w:rPr>
        <w: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8.13. </w:t>
      </w:r>
      <w:r>
        <w:rPr>
          <w:rFonts w:ascii="Arial" w:cs="Arial" w:eastAsia="Arial" w:hAnsi="Arial"/>
          <w:sz w:val="18"/>
          <w:szCs w:val="18"/>
          <w:u w:val="single" w:color="auto"/>
          <w:color w:val="010000"/>
        </w:rPr>
        <w:t>Bank Product Obligations and Specified Secured Obligations</w:t>
      </w:r>
      <w:r>
        <w:rPr>
          <w:rFonts w:ascii="Arial" w:cs="Arial" w:eastAsia="Arial" w:hAnsi="Arial"/>
          <w:sz w:val="18"/>
          <w:szCs w:val="18"/>
          <w:color w:val="010000"/>
        </w:rPr>
        <w:t>.</w:t>
      </w:r>
    </w:p>
    <w:p>
      <w:pPr>
        <w:spacing w:after="0" w:line="113" w:lineRule="exact"/>
        <w:rPr>
          <w:sz w:val="20"/>
          <w:szCs w:val="20"/>
          <w:color w:val="auto"/>
        </w:rPr>
      </w:pPr>
    </w:p>
    <w:p>
      <w:pPr>
        <w:ind w:right="60" w:firstLine="1041"/>
        <w:spacing w:after="0" w:line="280" w:lineRule="auto"/>
        <w:tabs>
          <w:tab w:leader="none" w:pos="1276" w:val="left"/>
        </w:tabs>
        <w:numPr>
          <w:ilvl w:val="0"/>
          <w:numId w:val="138"/>
        </w:numPr>
        <w:rPr>
          <w:rFonts w:ascii="Arial" w:cs="Arial" w:eastAsia="Arial" w:hAnsi="Arial"/>
          <w:sz w:val="16"/>
          <w:szCs w:val="16"/>
          <w:color w:val="010000"/>
        </w:rPr>
      </w:pPr>
      <w:r>
        <w:rPr>
          <w:rFonts w:ascii="Arial" w:cs="Arial" w:eastAsia="Arial" w:hAnsi="Arial"/>
          <w:sz w:val="16"/>
          <w:szCs w:val="16"/>
          <w:color w:val="010000"/>
        </w:rPr>
        <w:t xml:space="preserve">Each Bank Product Provider shall be deemed a third party beneficiary of the provisions of the Loan Documents for purposes of any reference in a Loan Document to the parties for whom the Agent is acting. The Agent hereby agrees to act as agent for such Bank Product Providers and, as a result of entering into a Bank Product Agreement, the applicable Bank Product Provider shall be automatically deemed to have appointed the Agent as its agent and to have accepted the benefits of the Loan Documents;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the rights and benefits of each Bank Product Provider under the Loan Documents consist exclusively of such Bank Product Provider’s being a beneficiary of the Liens and guarantees granted to the Agent and the right to share in proceeds of the Collateral as more fully set forth in the Loan Documents. In addition, each Bank Product Provider, as a result of entering into a Bank Product Agreement, shall be automatically deemed to have agreed that the Agent shall have the right, but shall have no obligation, to establish, maintain, reduce, or release Reserves in respect of the Bank Product Obligations and that if Reserves are established there is no obligation on the part of the Agent to determine or insure whether the amount of any such Reserve is appropriate or not. In connection with any such distribution of payments or proceeds of Collateral, the Agent shall be entitled to assume no amounts are due or owing to any Bank Product Provider unless such Bank Product Provider has provided a written certification (setting forth a reasonably detailed calculation) to the Agent as to the amounts that are due and owing to it and such written certification is received by the Agent a reasonable period of time prior to the making of such distribution. The Agent shall have no obligation to calculate the amount due and payable with respect to any Bank Products, but may rely upon the written certification of the amount due and payable from the relevant Bank Product Provider. In the absence of an updated certification, the Agent shall be entitled to assume that the amount due and payable to the applicable Bank Product Provider is the amount last certified to the Agent by such Bank Product Provider as being due and payable (less any distributions made to such Bank Product Provider on account thereof). Any Loan Party or any of its Subsidiaries may obtain Bank Products from any Bank Product Provider, although no Loan Party or any of its Subsidiaries is required to do so. Each Loan Party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Bank Product Provider or holder of any Bank Product shall have any voting or approval rights hereunder (or be deemed a Lender) solely by virtue of its status as the Bank Product Provider or holder of such agreements or products or the Obligations owing thereunder, nor shall the consent of any such Bank Product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78" w:lineRule="exact"/>
        <w:rPr>
          <w:rFonts w:ascii="Arial" w:cs="Arial" w:eastAsia="Arial" w:hAnsi="Arial"/>
          <w:sz w:val="16"/>
          <w:szCs w:val="16"/>
          <w:color w:val="010000"/>
        </w:rPr>
      </w:pPr>
    </w:p>
    <w:p>
      <w:pPr>
        <w:ind w:firstLine="1041"/>
        <w:spacing w:after="0" w:line="264" w:lineRule="auto"/>
        <w:tabs>
          <w:tab w:leader="none" w:pos="1286" w:val="left"/>
        </w:tabs>
        <w:numPr>
          <w:ilvl w:val="0"/>
          <w:numId w:val="138"/>
        </w:numPr>
        <w:rPr>
          <w:rFonts w:ascii="Arial" w:cs="Arial" w:eastAsia="Arial" w:hAnsi="Arial"/>
          <w:sz w:val="17"/>
          <w:szCs w:val="17"/>
          <w:color w:val="010000"/>
        </w:rPr>
      </w:pPr>
      <w:r>
        <w:rPr>
          <w:rFonts w:ascii="Arial" w:cs="Arial" w:eastAsia="Arial" w:hAnsi="Arial"/>
          <w:sz w:val="17"/>
          <w:szCs w:val="17"/>
          <w:color w:val="010000"/>
        </w:rPr>
        <w:t xml:space="preserve">Each Specified Secured Creditor shall be deemed a third party beneficiary of the provisions of the Loan Documents for purposes of any reference in a Loan Document to the parties for whom the Agent is acting. The Agent hereby agrees to act as agent for such Specified Secured Creditors and, as a result of entering into a Specified Secured Creditor Agreement, the applicable Specified Secured Creditor shall be automatically deemed to have appointed the Agent as its agent and to have accepted the benefits of the Loan Documents;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that</w:t>
      </w:r>
      <w:r>
        <w:rPr>
          <w:rFonts w:ascii="Arial" w:cs="Arial" w:eastAsia="Arial" w:hAnsi="Arial"/>
          <w:sz w:val="17"/>
          <w:szCs w:val="17"/>
          <w:color w:val="010000"/>
        </w:rPr>
        <w:t>, the rights and benefits of each Specified Secured Creditor under the Loan Documents consist exclusively of such Specified Secured Creditor’s being a beneficiary of the Liens and guarantees granted to the Agent and the right to share in proceeds of the Collateral as more fully set forth in the Loan Documents. In addition, each Specified Secured Creditor, as a result of entering into a Specified Secured Creditor Agreement, shall be automatically deemed to have agreed that the Agent shall have the right, but shall have no obligation (except as set forth in the Specified Secured Creditor Agreement), to establish, maintain, reduce, or release Reserves in respect of the Specified Secured Obligations and that if Reserves are established there is no obligation on the part of Agent to determine or insure whether the amount of any such Reserve is appropriate or not. In connection with any distribution of payments or proceeds of Collateral, the Agent shall be entitled to assume no amounts are due or owing to any Specified Secured Creditor unless such Specified Secured Creditor has provided a written certification (setting forth a reasonably detailed calculation) to the Agent as to the amounts that are due and owing to it and such written certification is received by the Agent a reasonable period of time prior to the making of such distribution. The Agent shall have no obligation to calculate the amount due and payable with respect to any Specified Secured Obligations, but may rely upon the written certification of the amount due and payable from the relevant Specified Secured Creditor. In the absence of an updated certification, the Agent shall be entitled to assume that the amount due and payable to the applicable Specified Secured Creditor is the amount last certified to the Agent by such Specified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31" w:name="page132"/>
    <w:bookmarkEnd w:id="131"/>
    <w:p>
      <w:pPr>
        <w:ind w:right="100"/>
        <w:spacing w:after="0" w:line="291" w:lineRule="auto"/>
        <w:rPr>
          <w:sz w:val="20"/>
          <w:szCs w:val="20"/>
          <w:color w:val="auto"/>
        </w:rPr>
      </w:pPr>
      <w:r>
        <w:rPr>
          <w:rFonts w:ascii="Arial" w:cs="Arial" w:eastAsia="Arial" w:hAnsi="Arial"/>
          <w:sz w:val="16"/>
          <w:szCs w:val="16"/>
          <w:color w:val="010000"/>
        </w:rPr>
        <w:t>Secured Creditor as being due and payable (less any distributions made to such Specified Secured Creditor on account thereof). Notwithstanding anything to the contrary in this Agreement or any other Loan Document, no Specified Secured Creditor shall have any voting or approval rights hereunder (or be deemed a Lender) solely by virtue of its status as the provider or holder of such agreements or products or the Obligations owing thereunder, nor shall the consent of any such Specified Secured Creditor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58" w:lineRule="exact"/>
        <w:rPr>
          <w:sz w:val="20"/>
          <w:szCs w:val="20"/>
          <w:color w:val="auto"/>
        </w:rPr>
      </w:pPr>
    </w:p>
    <w:p>
      <w:pPr>
        <w:jc w:val="both"/>
        <w:ind w:right="20" w:firstLine="1041"/>
        <w:spacing w:after="0" w:line="252" w:lineRule="auto"/>
        <w:tabs>
          <w:tab w:leader="none" w:pos="1276" w:val="left"/>
        </w:tabs>
        <w:numPr>
          <w:ilvl w:val="0"/>
          <w:numId w:val="139"/>
        </w:numPr>
        <w:rPr>
          <w:rFonts w:ascii="Arial" w:cs="Arial" w:eastAsia="Arial" w:hAnsi="Arial"/>
          <w:sz w:val="18"/>
          <w:szCs w:val="18"/>
          <w:color w:val="010000"/>
        </w:rPr>
      </w:pPr>
      <w:r>
        <w:rPr>
          <w:rFonts w:ascii="Arial" w:cs="Arial" w:eastAsia="Arial" w:hAnsi="Arial"/>
          <w:sz w:val="18"/>
          <w:szCs w:val="18"/>
          <w:color w:val="010000"/>
        </w:rPr>
        <w:t>Each Bank Product Provider and Specified Secured Creditor, by delivery of a notice to Agent of a Bank Product or the Specified Secured Obligations Agreement, agrees to be bound by the Loan Documents, including Sections 6.04, 8.13 and 9.02(d). Each Bank Product Provider and Specified Secured Creditor, shall severally, shall indemnify and hold harmless Agent or any of its Related Parties, to the extent not reimbursed by Loan Parties, against all claims that may be incurred by or asserted against Agent or any of its Related Parties in connection with such provider’s Bank Product Obligations or Specified Secured Obligations.</w:t>
      </w:r>
    </w:p>
    <w:p>
      <w:pPr>
        <w:spacing w:after="0" w:line="86" w:lineRule="exact"/>
        <w:rPr>
          <w:rFonts w:ascii="Arial" w:cs="Arial" w:eastAsia="Arial" w:hAnsi="Arial"/>
          <w:sz w:val="18"/>
          <w:szCs w:val="18"/>
          <w:color w:val="010000"/>
        </w:rPr>
      </w:pPr>
    </w:p>
    <w:p>
      <w:pPr>
        <w:ind w:right="160" w:firstLine="1041"/>
        <w:spacing w:after="0" w:line="269" w:lineRule="auto"/>
        <w:tabs>
          <w:tab w:leader="none" w:pos="1286" w:val="left"/>
        </w:tabs>
        <w:numPr>
          <w:ilvl w:val="0"/>
          <w:numId w:val="139"/>
        </w:numPr>
        <w:rPr>
          <w:rFonts w:ascii="Arial" w:cs="Arial" w:eastAsia="Arial" w:hAnsi="Arial"/>
          <w:sz w:val="17"/>
          <w:szCs w:val="17"/>
          <w:color w:val="010000"/>
        </w:rPr>
      </w:pPr>
      <w:r>
        <w:rPr>
          <w:rFonts w:ascii="Arial" w:cs="Arial" w:eastAsia="Arial" w:hAnsi="Arial"/>
          <w:sz w:val="17"/>
          <w:szCs w:val="17"/>
          <w:color w:val="010000"/>
        </w:rPr>
        <w:t>No Bank Product Provider or Specified Secured Creditor, as the case may be, that obtains the benefits of Section 6.04,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Agent shall not be required to verify the payment of, or that other satisfactory arrangements have been made with respect to, Bank Product Obligations or Specified Secured Obligations.</w:t>
      </w:r>
    </w:p>
    <w:p>
      <w:pPr>
        <w:spacing w:after="0" w:line="17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010000"/>
        </w:rPr>
        <w:t xml:space="preserve">SECTION 8.14. </w:t>
      </w:r>
      <w:r>
        <w:rPr>
          <w:rFonts w:ascii="Arial" w:cs="Arial" w:eastAsia="Arial" w:hAnsi="Arial"/>
          <w:sz w:val="18"/>
          <w:szCs w:val="18"/>
          <w:u w:val="single" w:color="auto"/>
          <w:color w:val="010000"/>
        </w:rPr>
        <w:t>Parallel Debt and Dutch Security Rights</w:t>
      </w:r>
      <w:r>
        <w:rPr>
          <w:rFonts w:ascii="Arial" w:cs="Arial" w:eastAsia="Arial" w:hAnsi="Arial"/>
          <w:sz w:val="18"/>
          <w:szCs w:val="18"/>
          <w:color w:val="010000"/>
        </w:rPr>
        <w:t>. For the purpose of ensuring and preserving the validity and continuity of the security rights to be granted pursuant to Security Documents that are governed by the laws of The Netherlands (including, but not limited to, a Dutch notarial deed of pledge relating to shares in the share capital of Eastman Kodak Holdings B.V.), the parties hereto agree as follows:</w:t>
      </w:r>
    </w:p>
    <w:p>
      <w:pPr>
        <w:spacing w:after="0" w:line="82" w:lineRule="exact"/>
        <w:rPr>
          <w:sz w:val="20"/>
          <w:szCs w:val="20"/>
          <w:color w:val="auto"/>
        </w:rPr>
      </w:pPr>
    </w:p>
    <w:p>
      <w:pPr>
        <w:ind w:firstLine="1041"/>
        <w:spacing w:after="0" w:line="254" w:lineRule="auto"/>
        <w:tabs>
          <w:tab w:leader="none" w:pos="1276" w:val="left"/>
        </w:tabs>
        <w:numPr>
          <w:ilvl w:val="0"/>
          <w:numId w:val="140"/>
        </w:numPr>
        <w:rPr>
          <w:rFonts w:ascii="Arial" w:cs="Arial" w:eastAsia="Arial" w:hAnsi="Arial"/>
          <w:sz w:val="18"/>
          <w:szCs w:val="18"/>
          <w:color w:val="010000"/>
        </w:rPr>
      </w:pPr>
      <w:r>
        <w:rPr>
          <w:rFonts w:ascii="Arial" w:cs="Arial" w:eastAsia="Arial" w:hAnsi="Arial"/>
          <w:sz w:val="18"/>
          <w:szCs w:val="18"/>
          <w:color w:val="010000"/>
        </w:rPr>
        <w:t>The Borrower hereby irrevocably and unconditionally undertakes to pay to Agent, as creditor in its own right and acting on its own behalf, and not as agent or representative of any other person, amounts equal to and in the currency of the amounts payable by the Borrower to the Lenders in respect of the Obligations of the Borrower (other than under the Parallel Debt (as defined hereafter)) from time to time as and when such amounts fall due for payment (the “</w:t>
      </w:r>
      <w:r>
        <w:rPr>
          <w:rFonts w:ascii="Arial" w:cs="Arial" w:eastAsia="Arial" w:hAnsi="Arial"/>
          <w:sz w:val="18"/>
          <w:szCs w:val="18"/>
          <w:u w:val="single" w:color="auto"/>
          <w:color w:val="010000"/>
        </w:rPr>
        <w:t>Parallel Debt</w:t>
      </w:r>
      <w:r>
        <w:rPr>
          <w:rFonts w:ascii="Arial" w:cs="Arial" w:eastAsia="Arial" w:hAnsi="Arial"/>
          <w:sz w:val="18"/>
          <w:szCs w:val="18"/>
          <w:color w:val="010000"/>
        </w:rPr>
        <w:t>”).</w:t>
      </w:r>
    </w:p>
    <w:p>
      <w:pPr>
        <w:spacing w:after="0" w:line="83" w:lineRule="exact"/>
        <w:rPr>
          <w:rFonts w:ascii="Arial" w:cs="Arial" w:eastAsia="Arial" w:hAnsi="Arial"/>
          <w:sz w:val="18"/>
          <w:szCs w:val="18"/>
          <w:color w:val="010000"/>
        </w:rPr>
      </w:pPr>
    </w:p>
    <w:p>
      <w:pPr>
        <w:ind w:left="1300" w:hanging="259"/>
        <w:spacing w:after="0"/>
        <w:tabs>
          <w:tab w:leader="none" w:pos="1300" w:val="left"/>
        </w:tabs>
        <w:numPr>
          <w:ilvl w:val="0"/>
          <w:numId w:val="140"/>
        </w:numPr>
        <w:rPr>
          <w:rFonts w:ascii="Arial" w:cs="Arial" w:eastAsia="Arial" w:hAnsi="Arial"/>
          <w:sz w:val="18"/>
          <w:szCs w:val="18"/>
          <w:color w:val="010000"/>
        </w:rPr>
      </w:pPr>
      <w:r>
        <w:rPr>
          <w:rFonts w:ascii="Arial" w:cs="Arial" w:eastAsia="Arial" w:hAnsi="Arial"/>
          <w:sz w:val="18"/>
          <w:szCs w:val="18"/>
          <w:color w:val="010000"/>
        </w:rPr>
        <w:t>Each of the parties hereto acknowledges that:</w:t>
      </w:r>
    </w:p>
    <w:p>
      <w:pPr>
        <w:spacing w:after="0" w:line="113" w:lineRule="exact"/>
        <w:rPr>
          <w:rFonts w:ascii="Arial" w:cs="Arial" w:eastAsia="Arial" w:hAnsi="Arial"/>
          <w:sz w:val="18"/>
          <w:szCs w:val="18"/>
          <w:color w:val="010000"/>
        </w:rPr>
      </w:pPr>
    </w:p>
    <w:p>
      <w:pPr>
        <w:ind w:left="1780" w:hanging="221"/>
        <w:spacing w:after="0"/>
        <w:tabs>
          <w:tab w:leader="none" w:pos="1780" w:val="left"/>
        </w:tabs>
        <w:numPr>
          <w:ilvl w:val="1"/>
          <w:numId w:val="140"/>
        </w:numPr>
        <w:rPr>
          <w:rFonts w:ascii="Arial" w:cs="Arial" w:eastAsia="Arial" w:hAnsi="Arial"/>
          <w:sz w:val="16"/>
          <w:szCs w:val="16"/>
          <w:color w:val="010000"/>
        </w:rPr>
      </w:pPr>
      <w:r>
        <w:rPr>
          <w:rFonts w:ascii="Arial" w:cs="Arial" w:eastAsia="Arial" w:hAnsi="Arial"/>
          <w:sz w:val="16"/>
          <w:szCs w:val="16"/>
          <w:color w:val="010000"/>
        </w:rPr>
        <w:t>the Parallel Debt represents Agent’s own separate and independent claim to receive payment of the Parallel Debt from the Borrower;</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and</w:t>
      </w:r>
    </w:p>
    <w:p>
      <w:pPr>
        <w:spacing w:after="0" w:line="102" w:lineRule="exact"/>
        <w:rPr>
          <w:rFonts w:ascii="Arial" w:cs="Arial" w:eastAsia="Arial" w:hAnsi="Arial"/>
          <w:sz w:val="16"/>
          <w:szCs w:val="16"/>
          <w:color w:val="010000"/>
        </w:rPr>
      </w:pPr>
    </w:p>
    <w:p>
      <w:pPr>
        <w:ind w:right="440" w:firstLine="1559"/>
        <w:spacing w:after="0" w:line="267" w:lineRule="auto"/>
        <w:tabs>
          <w:tab w:leader="none" w:pos="1814" w:val="left"/>
        </w:tabs>
        <w:numPr>
          <w:ilvl w:val="1"/>
          <w:numId w:val="140"/>
        </w:numPr>
        <w:rPr>
          <w:rFonts w:ascii="Arial" w:cs="Arial" w:eastAsia="Arial" w:hAnsi="Arial"/>
          <w:sz w:val="18"/>
          <w:szCs w:val="18"/>
          <w:color w:val="010000"/>
        </w:rPr>
      </w:pPr>
      <w:r>
        <w:rPr>
          <w:rFonts w:ascii="Arial" w:cs="Arial" w:eastAsia="Arial" w:hAnsi="Arial"/>
          <w:sz w:val="18"/>
          <w:szCs w:val="18"/>
          <w:color w:val="010000"/>
        </w:rPr>
        <w:t>the Parallel Debt constitutes an undertaking, obligation and liability of the Borrower to Agent which is transferable, separate and independent from, and without prejudice to, the Obligations of the Borrower,</w:t>
      </w:r>
    </w:p>
    <w:p>
      <w:pPr>
        <w:spacing w:after="0" w:line="72" w:lineRule="exact"/>
        <w:rPr>
          <w:rFonts w:ascii="Arial" w:cs="Arial" w:eastAsia="Arial" w:hAnsi="Arial"/>
          <w:sz w:val="18"/>
          <w:szCs w:val="18"/>
          <w:color w:val="010000"/>
        </w:rPr>
      </w:pPr>
    </w:p>
    <w:p>
      <w:pPr>
        <w:ind w:right="360" w:firstLine="1559"/>
        <w:spacing w:after="0" w:line="267" w:lineRule="auto"/>
        <w:tabs>
          <w:tab w:leader="none" w:pos="1863" w:val="left"/>
        </w:tabs>
        <w:numPr>
          <w:ilvl w:val="1"/>
          <w:numId w:val="140"/>
        </w:numPr>
        <w:rPr>
          <w:rFonts w:ascii="Arial" w:cs="Arial" w:eastAsia="Arial" w:hAnsi="Arial"/>
          <w:sz w:val="18"/>
          <w:szCs w:val="18"/>
          <w:color w:val="010000"/>
        </w:rPr>
      </w:pPr>
      <w:r>
        <w:rPr>
          <w:rFonts w:ascii="Arial" w:cs="Arial" w:eastAsia="Arial" w:hAnsi="Arial"/>
          <w:sz w:val="18"/>
          <w:szCs w:val="18"/>
          <w:color w:val="010000"/>
        </w:rPr>
        <w:t>it being understood that the amounts owed by the Borrower to the Agent under this Agreement shall at any time never exceed the aggregate of the amounts owed by the Borrower to the Lenders under the Obligations of the Borrower at any such time.</w:t>
      </w:r>
    </w:p>
    <w:p>
      <w:pPr>
        <w:spacing w:after="0" w:line="72" w:lineRule="exact"/>
        <w:rPr>
          <w:rFonts w:ascii="Arial" w:cs="Arial" w:eastAsia="Arial" w:hAnsi="Arial"/>
          <w:sz w:val="18"/>
          <w:szCs w:val="18"/>
          <w:color w:val="010000"/>
        </w:rPr>
      </w:pPr>
    </w:p>
    <w:p>
      <w:pPr>
        <w:ind w:right="40" w:firstLine="1041"/>
        <w:spacing w:after="0" w:line="267" w:lineRule="auto"/>
        <w:tabs>
          <w:tab w:leader="none" w:pos="1276" w:val="left"/>
        </w:tabs>
        <w:numPr>
          <w:ilvl w:val="0"/>
          <w:numId w:val="140"/>
        </w:numPr>
        <w:rPr>
          <w:rFonts w:ascii="Arial" w:cs="Arial" w:eastAsia="Arial" w:hAnsi="Arial"/>
          <w:sz w:val="18"/>
          <w:szCs w:val="18"/>
          <w:color w:val="010000"/>
        </w:rPr>
      </w:pPr>
      <w:r>
        <w:rPr>
          <w:rFonts w:ascii="Arial" w:cs="Arial" w:eastAsia="Arial" w:hAnsi="Arial"/>
          <w:sz w:val="18"/>
          <w:szCs w:val="18"/>
          <w:color w:val="010000"/>
        </w:rPr>
        <w:t>The Parallel Debt will become due and payable as and to the extent one or more of the Obligations of the Borrower becomes due and payable, without any further notice being required.</w:t>
      </w:r>
    </w:p>
    <w:p>
      <w:pPr>
        <w:spacing w:after="0" w:line="72" w:lineRule="exact"/>
        <w:rPr>
          <w:rFonts w:ascii="Arial" w:cs="Arial" w:eastAsia="Arial" w:hAnsi="Arial"/>
          <w:sz w:val="18"/>
          <w:szCs w:val="18"/>
          <w:color w:val="010000"/>
        </w:rPr>
      </w:pPr>
    </w:p>
    <w:p>
      <w:pPr>
        <w:ind w:right="140" w:firstLine="1041"/>
        <w:spacing w:after="0" w:line="331" w:lineRule="auto"/>
        <w:tabs>
          <w:tab w:leader="none" w:pos="1286" w:val="left"/>
        </w:tabs>
        <w:numPr>
          <w:ilvl w:val="0"/>
          <w:numId w:val="140"/>
        </w:numPr>
        <w:rPr>
          <w:rFonts w:ascii="Arial" w:cs="Arial" w:eastAsia="Arial" w:hAnsi="Arial"/>
          <w:sz w:val="16"/>
          <w:szCs w:val="16"/>
          <w:color w:val="010000"/>
        </w:rPr>
      </w:pPr>
      <w:r>
        <w:rPr>
          <w:rFonts w:ascii="Arial" w:cs="Arial" w:eastAsia="Arial" w:hAnsi="Arial"/>
          <w:sz w:val="16"/>
          <w:szCs w:val="16"/>
          <w:color w:val="010000"/>
        </w:rPr>
        <w:t>To the extent Agent irrevocably received any amount in payment of the Parallel Debt (the “</w:t>
      </w:r>
      <w:r>
        <w:rPr>
          <w:rFonts w:ascii="Arial" w:cs="Arial" w:eastAsia="Arial" w:hAnsi="Arial"/>
          <w:sz w:val="16"/>
          <w:szCs w:val="16"/>
          <w:u w:val="single" w:color="auto"/>
          <w:color w:val="010000"/>
        </w:rPr>
        <w:t>Received Amount</w:t>
      </w:r>
      <w:r>
        <w:rPr>
          <w:rFonts w:ascii="Arial" w:cs="Arial" w:eastAsia="Arial" w:hAnsi="Arial"/>
          <w:sz w:val="16"/>
          <w:szCs w:val="16"/>
          <w:color w:val="010000"/>
        </w:rPr>
        <w:t>”), the Obligations of the Borrower shall be reduced by an aggregate amount equal to the Received Amount as if the Received Amount was received as a payment of such Obligations.”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7"/>
          <w:szCs w:val="17"/>
          <w:color w:val="010000"/>
        </w:rPr>
        <w:t xml:space="preserve">SECTION 8.15. </w:t>
      </w:r>
      <w:r>
        <w:rPr>
          <w:rFonts w:ascii="Arial" w:cs="Arial" w:eastAsia="Arial" w:hAnsi="Arial"/>
          <w:sz w:val="17"/>
          <w:szCs w:val="17"/>
          <w:u w:val="single" w:color="auto"/>
          <w:color w:val="010000"/>
        </w:rPr>
        <w:t>Certain Matters Relating to German Law</w:t>
      </w:r>
      <w:r>
        <w:rPr>
          <w:rFonts w:ascii="Arial" w:cs="Arial" w:eastAsia="Arial" w:hAnsi="Arial"/>
          <w:sz w:val="17"/>
          <w:szCs w:val="17"/>
          <w:color w:val="010000"/>
        </w:rPr>
        <w:t>. In relation to the German Security Agreements, the following additional provisions shall</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010000"/>
        </w:rPr>
        <w:t>apply:</w:t>
      </w:r>
    </w:p>
    <w:p>
      <w:pPr>
        <w:spacing w:after="0" w:line="102" w:lineRule="exact"/>
        <w:rPr>
          <w:sz w:val="20"/>
          <w:szCs w:val="20"/>
          <w:color w:val="auto"/>
        </w:rPr>
      </w:pPr>
    </w:p>
    <w:p>
      <w:pPr>
        <w:ind w:right="420" w:firstLine="1041"/>
        <w:spacing w:after="0" w:line="267" w:lineRule="auto"/>
        <w:tabs>
          <w:tab w:leader="none" w:pos="1276" w:val="left"/>
        </w:tabs>
        <w:numPr>
          <w:ilvl w:val="0"/>
          <w:numId w:val="141"/>
        </w:numPr>
        <w:rPr>
          <w:rFonts w:ascii="Arial" w:cs="Arial" w:eastAsia="Arial" w:hAnsi="Arial"/>
          <w:sz w:val="18"/>
          <w:szCs w:val="18"/>
          <w:color w:val="010000"/>
        </w:rPr>
      </w:pPr>
      <w:r>
        <w:rPr>
          <w:rFonts w:ascii="Arial" w:cs="Arial" w:eastAsia="Arial" w:hAnsi="Arial"/>
          <w:sz w:val="18"/>
          <w:szCs w:val="18"/>
          <w:color w:val="010000"/>
        </w:rPr>
        <w:t>The Agent, with respect to the part of the Collateral secured pursuant to the German Security Agreements or any other Collateral created under German law (“</w:t>
      </w:r>
      <w:r>
        <w:rPr>
          <w:rFonts w:ascii="Arial" w:cs="Arial" w:eastAsia="Arial" w:hAnsi="Arial"/>
          <w:sz w:val="18"/>
          <w:szCs w:val="18"/>
          <w:u w:val="single" w:color="auto"/>
          <w:color w:val="010000"/>
        </w:rPr>
        <w:t>German Collateral</w:t>
      </w:r>
      <w:r>
        <w:rPr>
          <w:rFonts w:ascii="Arial" w:cs="Arial" w:eastAsia="Arial" w:hAnsi="Arial"/>
          <w:sz w:val="18"/>
          <w:szCs w:val="18"/>
          <w:color w:val="010000"/>
        </w:rPr>
        <w:t>”), shall:</w:t>
      </w:r>
    </w:p>
    <w:p>
      <w:pPr>
        <w:spacing w:after="0" w:line="73" w:lineRule="exact"/>
        <w:rPr>
          <w:sz w:val="20"/>
          <w:szCs w:val="20"/>
          <w:color w:val="auto"/>
        </w:rPr>
      </w:pPr>
    </w:p>
    <w:p>
      <w:pPr>
        <w:ind w:left="1560"/>
        <w:spacing w:after="0"/>
        <w:rPr>
          <w:sz w:val="20"/>
          <w:szCs w:val="20"/>
          <w:color w:val="auto"/>
        </w:rPr>
      </w:pPr>
      <w:r>
        <w:rPr>
          <w:rFonts w:ascii="Arial" w:cs="Arial" w:eastAsia="Arial" w:hAnsi="Arial"/>
          <w:sz w:val="18"/>
          <w:szCs w:val="18"/>
          <w:color w:val="010000"/>
        </w:rPr>
        <w:t>(i) hold, administer and realize such German Collateral that is transferred or assigned by way of security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010000"/>
        </w:rPr>
        <w:t>(</w:t>
      </w:r>
      <w:r>
        <w:rPr>
          <w:rFonts w:ascii="Arial" w:cs="Arial" w:eastAsia="Arial" w:hAnsi="Arial"/>
          <w:sz w:val="17"/>
          <w:szCs w:val="17"/>
          <w:i w:val="1"/>
          <w:iCs w:val="1"/>
          <w:color w:val="010000"/>
        </w:rPr>
        <w:t>Sicherungseigentum/Sicherungsabtretung</w:t>
      </w:r>
      <w:r>
        <w:rPr>
          <w:rFonts w:ascii="Arial" w:cs="Arial" w:eastAsia="Arial" w:hAnsi="Arial"/>
          <w:sz w:val="17"/>
          <w:szCs w:val="17"/>
          <w:color w:val="010000"/>
        </w:rPr>
        <w:t>) or otherwise granted to it and is creating or evidencing a non-accessory security right (</w:t>
      </w:r>
      <w:r>
        <w:rPr>
          <w:rFonts w:ascii="Arial" w:cs="Arial" w:eastAsia="Arial" w:hAnsi="Arial"/>
          <w:sz w:val="17"/>
          <w:szCs w:val="17"/>
          <w:i w:val="1"/>
          <w:iCs w:val="1"/>
          <w:color w:val="010000"/>
        </w:rPr>
        <w:t>nicht akzessorische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010000"/>
        </w:rPr>
        <w:t>Sicherheit</w:t>
      </w:r>
      <w:r>
        <w:rPr>
          <w:rFonts w:ascii="Arial" w:cs="Arial" w:eastAsia="Arial" w:hAnsi="Arial"/>
          <w:sz w:val="18"/>
          <w:szCs w:val="18"/>
          <w:color w:val="010000"/>
        </w:rPr>
        <w:t>) in its own name as trustee (</w:t>
      </w:r>
      <w:r>
        <w:rPr>
          <w:rFonts w:ascii="Arial" w:cs="Arial" w:eastAsia="Arial" w:hAnsi="Arial"/>
          <w:sz w:val="18"/>
          <w:szCs w:val="18"/>
          <w:i w:val="1"/>
          <w:iCs w:val="1"/>
          <w:color w:val="010000"/>
        </w:rPr>
        <w:t>Treuhänder</w:t>
      </w:r>
      <w:r>
        <w:rPr>
          <w:rFonts w:ascii="Arial" w:cs="Arial" w:eastAsia="Arial" w:hAnsi="Arial"/>
          <w:sz w:val="18"/>
          <w:szCs w:val="18"/>
          <w:color w:val="010000"/>
        </w:rPr>
        <w:t>) for the benefit of the Secured Parties; and</w:t>
      </w:r>
    </w:p>
    <w:p>
      <w:pPr>
        <w:spacing w:after="0" w:line="102" w:lineRule="exact"/>
        <w:rPr>
          <w:sz w:val="20"/>
          <w:szCs w:val="20"/>
          <w:color w:val="auto"/>
        </w:rPr>
      </w:pPr>
    </w:p>
    <w:p>
      <w:pPr>
        <w:ind w:right="420" w:firstLine="1559"/>
        <w:spacing w:after="0" w:line="267" w:lineRule="auto"/>
        <w:tabs>
          <w:tab w:leader="none" w:pos="1814" w:val="left"/>
        </w:tabs>
        <w:numPr>
          <w:ilvl w:val="0"/>
          <w:numId w:val="142"/>
        </w:numPr>
        <w:rPr>
          <w:rFonts w:ascii="Arial" w:cs="Arial" w:eastAsia="Arial" w:hAnsi="Arial"/>
          <w:sz w:val="18"/>
          <w:szCs w:val="18"/>
          <w:color w:val="010000"/>
        </w:rPr>
      </w:pPr>
      <w:r>
        <w:rPr>
          <w:rFonts w:ascii="Arial" w:cs="Arial" w:eastAsia="Arial" w:hAnsi="Arial"/>
          <w:sz w:val="18"/>
          <w:szCs w:val="18"/>
          <w:color w:val="010000"/>
        </w:rPr>
        <w:t>hold, administer, and realize any such German Collateral that is pledged (</w:t>
      </w:r>
      <w:r>
        <w:rPr>
          <w:rFonts w:ascii="Arial" w:cs="Arial" w:eastAsia="Arial" w:hAnsi="Arial"/>
          <w:sz w:val="18"/>
          <w:szCs w:val="18"/>
          <w:i w:val="1"/>
          <w:iCs w:val="1"/>
          <w:color w:val="010000"/>
        </w:rPr>
        <w:t>verpfändet</w:t>
      </w:r>
      <w:r>
        <w:rPr>
          <w:rFonts w:ascii="Arial" w:cs="Arial" w:eastAsia="Arial" w:hAnsi="Arial"/>
          <w:sz w:val="18"/>
          <w:szCs w:val="18"/>
          <w:color w:val="010000"/>
        </w:rPr>
        <w:t>) or otherwise transferred to the Agent and is creating or evidencing an accessory security right (</w:t>
      </w:r>
      <w:r>
        <w:rPr>
          <w:rFonts w:ascii="Arial" w:cs="Arial" w:eastAsia="Arial" w:hAnsi="Arial"/>
          <w:sz w:val="18"/>
          <w:szCs w:val="18"/>
          <w:i w:val="1"/>
          <w:iCs w:val="1"/>
          <w:color w:val="010000"/>
        </w:rPr>
        <w:t>akzessorische Sicherheit</w:t>
      </w:r>
      <w:r>
        <w:rPr>
          <w:rFonts w:ascii="Arial" w:cs="Arial" w:eastAsia="Arial" w:hAnsi="Arial"/>
          <w:sz w:val="18"/>
          <w:szCs w:val="18"/>
          <w:color w:val="010000"/>
        </w:rPr>
        <w:t>) as agent.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2" w:name="page133"/>
    <w:bookmarkEnd w:id="132"/>
    <w:p>
      <w:pPr>
        <w:ind w:right="660" w:firstLine="1041"/>
        <w:spacing w:after="0" w:line="267" w:lineRule="auto"/>
        <w:tabs>
          <w:tab w:leader="none" w:pos="1286" w:val="left"/>
        </w:tabs>
        <w:numPr>
          <w:ilvl w:val="0"/>
          <w:numId w:val="143"/>
        </w:numPr>
        <w:rPr>
          <w:rFonts w:ascii="Arial" w:cs="Arial" w:eastAsia="Arial" w:hAnsi="Arial"/>
          <w:sz w:val="18"/>
          <w:szCs w:val="18"/>
          <w:color w:val="010000"/>
        </w:rPr>
      </w:pPr>
      <w:r>
        <w:rPr>
          <w:rFonts w:ascii="Arial" w:cs="Arial" w:eastAsia="Arial" w:hAnsi="Arial"/>
          <w:sz w:val="18"/>
          <w:szCs w:val="18"/>
          <w:color w:val="010000"/>
        </w:rPr>
        <w:t>With respect to the German Collateral, each Secured Party hereby authorizes and grants a power of attorney (</w:t>
      </w:r>
      <w:r>
        <w:rPr>
          <w:rFonts w:ascii="Arial" w:cs="Arial" w:eastAsia="Arial" w:hAnsi="Arial"/>
          <w:sz w:val="18"/>
          <w:szCs w:val="18"/>
          <w:i w:val="1"/>
          <w:iCs w:val="1"/>
          <w:color w:val="010000"/>
        </w:rPr>
        <w:t>Vollmacht</w:t>
      </w:r>
      <w:r>
        <w:rPr>
          <w:rFonts w:ascii="Arial" w:cs="Arial" w:eastAsia="Arial" w:hAnsi="Arial"/>
          <w:sz w:val="18"/>
          <w:szCs w:val="18"/>
          <w:color w:val="010000"/>
        </w:rPr>
        <w:t>) to the Agent (whether or not by or through employees or agents) to:</w:t>
      </w:r>
    </w:p>
    <w:p>
      <w:pPr>
        <w:spacing w:after="0" w:line="72" w:lineRule="exact"/>
        <w:rPr>
          <w:rFonts w:ascii="Arial" w:cs="Arial" w:eastAsia="Arial" w:hAnsi="Arial"/>
          <w:sz w:val="18"/>
          <w:szCs w:val="18"/>
          <w:color w:val="010000"/>
        </w:rPr>
      </w:pPr>
    </w:p>
    <w:p>
      <w:pPr>
        <w:jc w:val="both"/>
        <w:ind w:firstLine="1559"/>
        <w:spacing w:after="0" w:line="273" w:lineRule="auto"/>
        <w:tabs>
          <w:tab w:leader="none" w:pos="1764" w:val="left"/>
        </w:tabs>
        <w:numPr>
          <w:ilvl w:val="1"/>
          <w:numId w:val="143"/>
        </w:numPr>
        <w:rPr>
          <w:rFonts w:ascii="Arial" w:cs="Arial" w:eastAsia="Arial" w:hAnsi="Arial"/>
          <w:sz w:val="17"/>
          <w:szCs w:val="17"/>
          <w:color w:val="010000"/>
        </w:rPr>
      </w:pPr>
      <w:r>
        <w:rPr>
          <w:rFonts w:ascii="Arial" w:cs="Arial" w:eastAsia="Arial" w:hAnsi="Arial"/>
          <w:sz w:val="17"/>
          <w:szCs w:val="17"/>
          <w:color w:val="010000"/>
        </w:rPr>
        <w:t>accept as its representative (</w:t>
      </w:r>
      <w:r>
        <w:rPr>
          <w:rFonts w:ascii="Arial" w:cs="Arial" w:eastAsia="Arial" w:hAnsi="Arial"/>
          <w:sz w:val="17"/>
          <w:szCs w:val="17"/>
          <w:i w:val="1"/>
          <w:iCs w:val="1"/>
          <w:color w:val="010000"/>
        </w:rPr>
        <w:t>Stellvertreter</w:t>
      </w:r>
      <w:r>
        <w:rPr>
          <w:rFonts w:ascii="Arial" w:cs="Arial" w:eastAsia="Arial" w:hAnsi="Arial"/>
          <w:sz w:val="17"/>
          <w:szCs w:val="17"/>
          <w:color w:val="010000"/>
        </w:rPr>
        <w:t>) any pledge or other creation of any accessory security right granted in favor of such Secured Party in connection with the German Security Agreements and to agree to and execute on its behalf as its representative (</w:t>
      </w:r>
      <w:r>
        <w:rPr>
          <w:rFonts w:ascii="Arial" w:cs="Arial" w:eastAsia="Arial" w:hAnsi="Arial"/>
          <w:sz w:val="17"/>
          <w:szCs w:val="17"/>
          <w:i w:val="1"/>
          <w:iCs w:val="1"/>
          <w:color w:val="010000"/>
        </w:rPr>
        <w:t>Stellvertreter</w:t>
      </w:r>
      <w:r>
        <w:rPr>
          <w:rFonts w:ascii="Arial" w:cs="Arial" w:eastAsia="Arial" w:hAnsi="Arial"/>
          <w:sz w:val="17"/>
          <w:szCs w:val="17"/>
          <w:color w:val="010000"/>
        </w:rPr>
        <w:t>) any amendments and/or alterations to any German Security Agreements or any other agreement related to such German Collateral which creates a pledge or any other accessory security right (</w:t>
      </w:r>
      <w:r>
        <w:rPr>
          <w:rFonts w:ascii="Arial" w:cs="Arial" w:eastAsia="Arial" w:hAnsi="Arial"/>
          <w:sz w:val="17"/>
          <w:szCs w:val="17"/>
          <w:i w:val="1"/>
          <w:iCs w:val="1"/>
          <w:color w:val="010000"/>
        </w:rPr>
        <w:t>akzessorische Sicherheit</w:t>
      </w:r>
      <w:r>
        <w:rPr>
          <w:rFonts w:ascii="Arial" w:cs="Arial" w:eastAsia="Arial" w:hAnsi="Arial"/>
          <w:sz w:val="17"/>
          <w:szCs w:val="17"/>
          <w:color w:val="010000"/>
        </w:rPr>
        <w:t>) including the release or confirmation of release of such security;</w:t>
      </w:r>
    </w:p>
    <w:p>
      <w:pPr>
        <w:spacing w:after="0" w:line="70" w:lineRule="exact"/>
        <w:rPr>
          <w:rFonts w:ascii="Arial" w:cs="Arial" w:eastAsia="Arial" w:hAnsi="Arial"/>
          <w:sz w:val="17"/>
          <w:szCs w:val="17"/>
          <w:color w:val="010000"/>
        </w:rPr>
      </w:pPr>
    </w:p>
    <w:p>
      <w:pPr>
        <w:ind w:right="240" w:firstLine="1559"/>
        <w:spacing w:after="0" w:line="257" w:lineRule="auto"/>
        <w:tabs>
          <w:tab w:leader="none" w:pos="1814" w:val="left"/>
        </w:tabs>
        <w:numPr>
          <w:ilvl w:val="1"/>
          <w:numId w:val="143"/>
        </w:numPr>
        <w:rPr>
          <w:rFonts w:ascii="Arial" w:cs="Arial" w:eastAsia="Arial" w:hAnsi="Arial"/>
          <w:sz w:val="18"/>
          <w:szCs w:val="18"/>
          <w:color w:val="010000"/>
        </w:rPr>
      </w:pPr>
      <w:r>
        <w:rPr>
          <w:rFonts w:ascii="Arial" w:cs="Arial" w:eastAsia="Arial" w:hAnsi="Arial"/>
          <w:sz w:val="18"/>
          <w:szCs w:val="18"/>
          <w:color w:val="010000"/>
        </w:rPr>
        <w:t>execute on behalf of itself and the Secured Parties where relevant and without the need for any further referral to, or authority from, the Secured Parties or any other person all necessary releases of any such German Collateral secured under the German Security Agreements or any other agreement related to such German Collateral;</w:t>
      </w:r>
    </w:p>
    <w:p>
      <w:pPr>
        <w:spacing w:after="0" w:line="81" w:lineRule="exact"/>
        <w:rPr>
          <w:rFonts w:ascii="Arial" w:cs="Arial" w:eastAsia="Arial" w:hAnsi="Arial"/>
          <w:sz w:val="18"/>
          <w:szCs w:val="18"/>
          <w:color w:val="010000"/>
        </w:rPr>
      </w:pPr>
    </w:p>
    <w:p>
      <w:pPr>
        <w:ind w:left="1860" w:hanging="301"/>
        <w:spacing w:after="0"/>
        <w:tabs>
          <w:tab w:leader="none" w:pos="1860" w:val="left"/>
        </w:tabs>
        <w:numPr>
          <w:ilvl w:val="1"/>
          <w:numId w:val="143"/>
        </w:numPr>
        <w:rPr>
          <w:rFonts w:ascii="Arial" w:cs="Arial" w:eastAsia="Arial" w:hAnsi="Arial"/>
          <w:sz w:val="16"/>
          <w:szCs w:val="16"/>
          <w:color w:val="010000"/>
        </w:rPr>
      </w:pPr>
      <w:r>
        <w:rPr>
          <w:rFonts w:ascii="Arial" w:cs="Arial" w:eastAsia="Arial" w:hAnsi="Arial"/>
          <w:sz w:val="16"/>
          <w:szCs w:val="16"/>
          <w:color w:val="010000"/>
        </w:rPr>
        <w:t>realize such Collateral in accordance with the German Security Agreements or any other agreement securing such German Collateral;</w:t>
      </w:r>
    </w:p>
    <w:p>
      <w:pPr>
        <w:spacing w:after="0" w:line="136" w:lineRule="exact"/>
        <w:rPr>
          <w:rFonts w:ascii="Arial" w:cs="Arial" w:eastAsia="Arial" w:hAnsi="Arial"/>
          <w:sz w:val="16"/>
          <w:szCs w:val="16"/>
          <w:color w:val="010000"/>
        </w:rPr>
      </w:pPr>
    </w:p>
    <w:p>
      <w:pPr>
        <w:ind w:right="40" w:firstLine="1559"/>
        <w:spacing w:after="0" w:line="297" w:lineRule="auto"/>
        <w:tabs>
          <w:tab w:leader="none" w:pos="1853" w:val="left"/>
        </w:tabs>
        <w:numPr>
          <w:ilvl w:val="1"/>
          <w:numId w:val="143"/>
        </w:numPr>
        <w:rPr>
          <w:rFonts w:ascii="Arial" w:cs="Arial" w:eastAsia="Arial" w:hAnsi="Arial"/>
          <w:sz w:val="17"/>
          <w:szCs w:val="17"/>
          <w:color w:val="010000"/>
        </w:rPr>
      </w:pPr>
      <w:r>
        <w:rPr>
          <w:rFonts w:ascii="Arial" w:cs="Arial" w:eastAsia="Arial" w:hAnsi="Arial"/>
          <w:sz w:val="17"/>
          <w:szCs w:val="17"/>
          <w:color w:val="010000"/>
        </w:rPr>
        <w:t>make, receive all declarations and statements and undertake all other necessary actions and measures which are necessary or desirable in connection with such German Collateral or the German Security Agreements or any other agreement securing the German Collateral;</w:t>
      </w:r>
    </w:p>
    <w:p>
      <w:pPr>
        <w:spacing w:after="0" w:line="49" w:lineRule="exact"/>
        <w:rPr>
          <w:rFonts w:ascii="Arial" w:cs="Arial" w:eastAsia="Arial" w:hAnsi="Arial"/>
          <w:sz w:val="17"/>
          <w:szCs w:val="17"/>
          <w:color w:val="010000"/>
        </w:rPr>
      </w:pPr>
    </w:p>
    <w:p>
      <w:pPr>
        <w:ind w:left="1820" w:hanging="261"/>
        <w:spacing w:after="0"/>
        <w:tabs>
          <w:tab w:leader="none" w:pos="1820" w:val="left"/>
        </w:tabs>
        <w:numPr>
          <w:ilvl w:val="1"/>
          <w:numId w:val="143"/>
        </w:numPr>
        <w:rPr>
          <w:rFonts w:ascii="Arial" w:cs="Arial" w:eastAsia="Arial" w:hAnsi="Arial"/>
          <w:sz w:val="16"/>
          <w:szCs w:val="16"/>
          <w:color w:val="010000"/>
        </w:rPr>
      </w:pPr>
      <w:r>
        <w:rPr>
          <w:rFonts w:ascii="Arial" w:cs="Arial" w:eastAsia="Arial" w:hAnsi="Arial"/>
          <w:sz w:val="16"/>
          <w:szCs w:val="16"/>
          <w:color w:val="010000"/>
        </w:rPr>
        <w:t>take such action on its behalf as may from time to time be authorized under or in accordance with the German Security Agreements;</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and</w:t>
      </w:r>
    </w:p>
    <w:p>
      <w:pPr>
        <w:spacing w:after="0" w:line="102" w:lineRule="exact"/>
        <w:rPr>
          <w:rFonts w:ascii="Arial" w:cs="Arial" w:eastAsia="Arial" w:hAnsi="Arial"/>
          <w:sz w:val="16"/>
          <w:szCs w:val="16"/>
          <w:color w:val="010000"/>
        </w:rPr>
      </w:pPr>
    </w:p>
    <w:p>
      <w:pPr>
        <w:ind w:right="120" w:firstLine="1559"/>
        <w:spacing w:after="0" w:line="267" w:lineRule="auto"/>
        <w:tabs>
          <w:tab w:leader="none" w:pos="1853" w:val="left"/>
        </w:tabs>
        <w:numPr>
          <w:ilvl w:val="1"/>
          <w:numId w:val="143"/>
        </w:numPr>
        <w:rPr>
          <w:rFonts w:ascii="Arial" w:cs="Arial" w:eastAsia="Arial" w:hAnsi="Arial"/>
          <w:sz w:val="18"/>
          <w:szCs w:val="18"/>
          <w:color w:val="010000"/>
        </w:rPr>
      </w:pPr>
      <w:r>
        <w:rPr>
          <w:rFonts w:ascii="Arial" w:cs="Arial" w:eastAsia="Arial" w:hAnsi="Arial"/>
          <w:sz w:val="18"/>
          <w:szCs w:val="18"/>
          <w:color w:val="010000"/>
        </w:rPr>
        <w:t>to exercise such rights, remedies, powers and discretions as are specifically delegated to or conferred upon the Secured Parties under the German Security Agreements together with such powers and discretions as are reasonably incidental thereto.</w:t>
      </w:r>
    </w:p>
    <w:p>
      <w:pPr>
        <w:spacing w:after="0" w:line="72" w:lineRule="exact"/>
        <w:rPr>
          <w:rFonts w:ascii="Arial" w:cs="Arial" w:eastAsia="Arial" w:hAnsi="Arial"/>
          <w:sz w:val="18"/>
          <w:szCs w:val="18"/>
          <w:color w:val="010000"/>
        </w:rPr>
      </w:pPr>
    </w:p>
    <w:p>
      <w:pPr>
        <w:ind w:right="220" w:firstLine="1041"/>
        <w:spacing w:after="0" w:line="304" w:lineRule="auto"/>
        <w:tabs>
          <w:tab w:leader="none" w:pos="1276" w:val="left"/>
        </w:tabs>
        <w:numPr>
          <w:ilvl w:val="0"/>
          <w:numId w:val="143"/>
        </w:numPr>
        <w:rPr>
          <w:rFonts w:ascii="Arial" w:cs="Arial" w:eastAsia="Arial" w:hAnsi="Arial"/>
          <w:sz w:val="16"/>
          <w:szCs w:val="16"/>
          <w:color w:val="010000"/>
        </w:rPr>
      </w:pPr>
      <w:r>
        <w:rPr>
          <w:rFonts w:ascii="Arial" w:cs="Arial" w:eastAsia="Arial" w:hAnsi="Arial"/>
          <w:sz w:val="16"/>
          <w:szCs w:val="16"/>
          <w:color w:val="010000"/>
        </w:rPr>
        <w:t>Each of the Secured Parties agrees that, if the courts of Germany do not recognize or give effect to the trust expressed to be created by this Agreement or any Collateral Document, the relationship of the Secured Parties to the Agent shall be construed as one of principal and agent but, to the extent permissible under the laws of Germany, all the other provisions of this Agreement shall have full force and effect between the parties hereto.</w:t>
      </w:r>
    </w:p>
    <w:p>
      <w:pPr>
        <w:spacing w:after="0" w:line="47" w:lineRule="exact"/>
        <w:rPr>
          <w:rFonts w:ascii="Arial" w:cs="Arial" w:eastAsia="Arial" w:hAnsi="Arial"/>
          <w:sz w:val="16"/>
          <w:szCs w:val="16"/>
          <w:color w:val="010000"/>
        </w:rPr>
      </w:pPr>
    </w:p>
    <w:p>
      <w:pPr>
        <w:ind w:right="40" w:firstLine="1041"/>
        <w:spacing w:after="0" w:line="304" w:lineRule="auto"/>
        <w:tabs>
          <w:tab w:leader="none" w:pos="1286" w:val="left"/>
        </w:tabs>
        <w:numPr>
          <w:ilvl w:val="0"/>
          <w:numId w:val="143"/>
        </w:numPr>
        <w:rPr>
          <w:rFonts w:ascii="Arial" w:cs="Arial" w:eastAsia="Arial" w:hAnsi="Arial"/>
          <w:sz w:val="16"/>
          <w:szCs w:val="16"/>
          <w:color w:val="010000"/>
        </w:rPr>
      </w:pPr>
      <w:r>
        <w:rPr>
          <w:rFonts w:ascii="Arial" w:cs="Arial" w:eastAsia="Arial" w:hAnsi="Arial"/>
          <w:sz w:val="16"/>
          <w:szCs w:val="16"/>
          <w:color w:val="010000"/>
        </w:rPr>
        <w:t>Each Secured Party hereby ratifies and approves all acts and declarations previously done by the Agent on such person’s behalf (including for the avoidance of doubt the declarations made by the Agent as representative without power of attorney (</w:t>
      </w:r>
      <w:r>
        <w:rPr>
          <w:rFonts w:ascii="Arial" w:cs="Arial" w:eastAsia="Arial" w:hAnsi="Arial"/>
          <w:sz w:val="16"/>
          <w:szCs w:val="16"/>
          <w:i w:val="1"/>
          <w:iCs w:val="1"/>
          <w:color w:val="010000"/>
        </w:rPr>
        <w:t>Vertreter ohne Vertretungsmacht</w:t>
      </w:r>
      <w:r>
        <w:rPr>
          <w:rFonts w:ascii="Arial" w:cs="Arial" w:eastAsia="Arial" w:hAnsi="Arial"/>
          <w:sz w:val="16"/>
          <w:szCs w:val="16"/>
          <w:color w:val="010000"/>
        </w:rPr>
        <w:t>) in relation to the creation of any pledge (</w:t>
      </w:r>
      <w:r>
        <w:rPr>
          <w:rFonts w:ascii="Arial" w:cs="Arial" w:eastAsia="Arial" w:hAnsi="Arial"/>
          <w:sz w:val="16"/>
          <w:szCs w:val="16"/>
          <w:i w:val="1"/>
          <w:iCs w:val="1"/>
          <w:color w:val="010000"/>
        </w:rPr>
        <w:t>Pfandrecht</w:t>
      </w:r>
      <w:r>
        <w:rPr>
          <w:rFonts w:ascii="Arial" w:cs="Arial" w:eastAsia="Arial" w:hAnsi="Arial"/>
          <w:sz w:val="16"/>
          <w:szCs w:val="16"/>
          <w:color w:val="010000"/>
        </w:rPr>
        <w:t>) on behalf and for the benefit of each Secured Party as future pledgee</w:t>
      </w:r>
      <w:r>
        <w:rPr>
          <w:rFonts w:ascii="Arial" w:cs="Arial" w:eastAsia="Arial" w:hAnsi="Arial"/>
          <w:sz w:val="13"/>
          <w:szCs w:val="13"/>
          <w:color w:val="010000"/>
        </w:rPr>
        <w:t>1</w:t>
      </w:r>
      <w:r>
        <w:rPr>
          <w:rFonts w:ascii="Arial" w:cs="Arial" w:eastAsia="Arial" w:hAnsi="Arial"/>
          <w:sz w:val="16"/>
          <w:szCs w:val="16"/>
          <w:color w:val="010000"/>
        </w:rPr>
        <w:t xml:space="preserve"> or otherwise).</w:t>
      </w:r>
    </w:p>
    <w:p>
      <w:pPr>
        <w:spacing w:after="0" w:line="47" w:lineRule="exact"/>
        <w:rPr>
          <w:rFonts w:ascii="Arial" w:cs="Arial" w:eastAsia="Arial" w:hAnsi="Arial"/>
          <w:sz w:val="16"/>
          <w:szCs w:val="16"/>
          <w:color w:val="010000"/>
        </w:rPr>
      </w:pPr>
    </w:p>
    <w:p>
      <w:pPr>
        <w:ind w:right="300" w:firstLine="1041"/>
        <w:spacing w:after="0" w:line="349" w:lineRule="auto"/>
        <w:tabs>
          <w:tab w:leader="none" w:pos="1276" w:val="left"/>
        </w:tabs>
        <w:numPr>
          <w:ilvl w:val="0"/>
          <w:numId w:val="143"/>
        </w:numPr>
        <w:rPr>
          <w:rFonts w:ascii="Arial" w:cs="Arial" w:eastAsia="Arial" w:hAnsi="Arial"/>
          <w:sz w:val="14"/>
          <w:szCs w:val="14"/>
          <w:color w:val="010000"/>
        </w:rPr>
      </w:pPr>
      <w:r>
        <w:rPr>
          <w:rFonts w:ascii="Arial" w:cs="Arial" w:eastAsia="Arial" w:hAnsi="Arial"/>
          <w:sz w:val="14"/>
          <w:szCs w:val="14"/>
          <w:color w:val="010000"/>
        </w:rPr>
        <w:t>For the purpose of performing its rights and obligations as Agent and to make use of any authorization granted under the German Security Agreements, each Secured Party hereby authorizes the Agent to act as its agent (</w:t>
      </w:r>
      <w:r>
        <w:rPr>
          <w:rFonts w:ascii="Arial" w:cs="Arial" w:eastAsia="Arial" w:hAnsi="Arial"/>
          <w:sz w:val="14"/>
          <w:szCs w:val="14"/>
          <w:i w:val="1"/>
          <w:iCs w:val="1"/>
          <w:color w:val="010000"/>
        </w:rPr>
        <w:t>Stellvertreter</w:t>
      </w:r>
      <w:r>
        <w:rPr>
          <w:rFonts w:ascii="Arial" w:cs="Arial" w:eastAsia="Arial" w:hAnsi="Arial"/>
          <w:sz w:val="14"/>
          <w:szCs w:val="14"/>
          <w:color w:val="010000"/>
        </w:rPr>
        <w:t>)</w:t>
      </w:r>
      <w:r>
        <w:rPr>
          <w:rFonts w:ascii="Arial" w:cs="Arial" w:eastAsia="Arial" w:hAnsi="Arial"/>
          <w:sz w:val="14"/>
          <w:szCs w:val="14"/>
          <w:i w:val="1"/>
          <w:iCs w:val="1"/>
          <w:color w:val="010000"/>
        </w:rPr>
        <w:t>,</w:t>
      </w:r>
      <w:r>
        <w:rPr>
          <w:rFonts w:ascii="Arial" w:cs="Arial" w:eastAsia="Arial" w:hAnsi="Arial"/>
          <w:sz w:val="14"/>
          <w:szCs w:val="14"/>
          <w:color w:val="010000"/>
        </w:rPr>
        <w:t xml:space="preserve"> and releases the Agent from any restrictions on representing several persons and self-dealing under any applicable law, and in particular from the restrictions of Section 181 of the German Civil Code (</w:t>
      </w:r>
      <w:r>
        <w:rPr>
          <w:rFonts w:ascii="Arial" w:cs="Arial" w:eastAsia="Arial" w:hAnsi="Arial"/>
          <w:sz w:val="14"/>
          <w:szCs w:val="14"/>
          <w:i w:val="1"/>
          <w:iCs w:val="1"/>
          <w:color w:val="010000"/>
        </w:rPr>
        <w:t>Bürgerliches</w:t>
      </w:r>
      <w:r>
        <w:rPr>
          <w:rFonts w:ascii="Arial" w:cs="Arial" w:eastAsia="Arial" w:hAnsi="Arial"/>
          <w:sz w:val="14"/>
          <w:szCs w:val="14"/>
          <w:color w:val="010000"/>
        </w:rPr>
        <w:t xml:space="preserve"> </w:t>
      </w:r>
      <w:r>
        <w:rPr>
          <w:rFonts w:ascii="Arial" w:cs="Arial" w:eastAsia="Arial" w:hAnsi="Arial"/>
          <w:sz w:val="14"/>
          <w:szCs w:val="14"/>
          <w:i w:val="1"/>
          <w:iCs w:val="1"/>
          <w:color w:val="010000"/>
        </w:rPr>
        <w:t>Gesetzbuch</w:t>
      </w:r>
      <w:r>
        <w:rPr>
          <w:rFonts w:ascii="Arial" w:cs="Arial" w:eastAsia="Arial" w:hAnsi="Arial"/>
          <w:sz w:val="14"/>
          <w:szCs w:val="14"/>
          <w:color w:val="010000"/>
        </w:rPr>
        <w:t>)</w:t>
      </w:r>
      <w:r>
        <w:rPr>
          <w:rFonts w:ascii="Arial" w:cs="Arial" w:eastAsia="Arial" w:hAnsi="Arial"/>
          <w:sz w:val="14"/>
          <w:szCs w:val="14"/>
          <w:i w:val="1"/>
          <w:iCs w:val="1"/>
          <w:color w:val="010000"/>
        </w:rPr>
        <w:t xml:space="preserve">. </w:t>
      </w:r>
      <w:r>
        <w:rPr>
          <w:rFonts w:ascii="Arial" w:cs="Arial" w:eastAsia="Arial" w:hAnsi="Arial"/>
          <w:sz w:val="14"/>
          <w:szCs w:val="14"/>
          <w:color w:val="010000"/>
        </w:rPr>
        <w:t>The Agent has the power to grant sub-power of attorney, including the release from the restrictions of section 181 of the German Civil Code.</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8.16. </w:t>
      </w:r>
      <w:r>
        <w:rPr>
          <w:rFonts w:ascii="Arial" w:cs="Arial" w:eastAsia="Arial" w:hAnsi="Arial"/>
          <w:sz w:val="18"/>
          <w:szCs w:val="18"/>
          <w:u w:val="single" w:color="auto"/>
          <w:color w:val="010000"/>
        </w:rPr>
        <w:t>German Parallel Debt</w:t>
      </w:r>
      <w:r>
        <w:rPr>
          <w:rFonts w:ascii="Arial" w:cs="Arial" w:eastAsia="Arial" w:hAnsi="Arial"/>
          <w:sz w:val="18"/>
          <w:szCs w:val="18"/>
          <w:color w:val="010000"/>
        </w:rPr>
        <w:t>.</w:t>
      </w:r>
    </w:p>
    <w:p>
      <w:pPr>
        <w:spacing w:after="0" w:line="113" w:lineRule="exact"/>
        <w:rPr>
          <w:sz w:val="20"/>
          <w:szCs w:val="20"/>
          <w:color w:val="auto"/>
        </w:rPr>
      </w:pPr>
    </w:p>
    <w:p>
      <w:pPr>
        <w:ind w:right="120" w:firstLine="1034"/>
        <w:spacing w:after="0" w:line="254" w:lineRule="auto"/>
        <w:rPr>
          <w:sz w:val="20"/>
          <w:szCs w:val="20"/>
          <w:color w:val="auto"/>
        </w:rPr>
      </w:pPr>
      <w:r>
        <w:rPr>
          <w:rFonts w:ascii="Arial" w:cs="Arial" w:eastAsia="Arial" w:hAnsi="Arial"/>
          <w:sz w:val="18"/>
          <w:szCs w:val="18"/>
          <w:color w:val="010000"/>
        </w:rPr>
        <w:t>(a) The Borrower hereby irrevocably and unconditionally undertakes (and to the extent necessary undertakes in advance) to pay to the Agent amounts equal to any amounts owing from time to time by the Borrower to any Secured Party under this Agreement and any other Loan Document pursuant to any Obligations as and when those amounts are due under any Loan Document (such payment undertakings under this Section 8.16 and the obligations and liabilities resulting therefrom being the “Parallel Debt”).</w:t>
      </w:r>
    </w:p>
    <w:p>
      <w:pPr>
        <w:spacing w:after="0" w:line="84" w:lineRule="exact"/>
        <w:rPr>
          <w:sz w:val="20"/>
          <w:szCs w:val="20"/>
          <w:color w:val="auto"/>
        </w:rPr>
      </w:pPr>
    </w:p>
    <w:p>
      <w:pPr>
        <w:ind w:right="60" w:firstLine="1034"/>
        <w:spacing w:after="0" w:line="252" w:lineRule="auto"/>
        <w:rPr>
          <w:sz w:val="20"/>
          <w:szCs w:val="20"/>
          <w:color w:val="auto"/>
        </w:rPr>
      </w:pPr>
      <w:r>
        <w:rPr>
          <w:rFonts w:ascii="Arial" w:cs="Arial" w:eastAsia="Arial" w:hAnsi="Arial"/>
          <w:sz w:val="18"/>
          <w:szCs w:val="18"/>
          <w:color w:val="010000"/>
        </w:rPr>
        <w:t>(b) The Agent shall have its own independent right to demand payment of the Parallel Debt by the Borrower. The Borrower and the Agent acknowledge that the obligations of the Borrower under this Section 8.16 are several, separate and independent (</w:t>
      </w:r>
      <w:r>
        <w:rPr>
          <w:rFonts w:ascii="Arial" w:cs="Arial" w:eastAsia="Arial" w:hAnsi="Arial"/>
          <w:sz w:val="18"/>
          <w:szCs w:val="18"/>
          <w:i w:val="1"/>
          <w:iCs w:val="1"/>
          <w:color w:val="010000"/>
        </w:rPr>
        <w:t>selbständiges Schuldanerkenntnis</w:t>
      </w:r>
      <w:r>
        <w:rPr>
          <w:rFonts w:ascii="Arial" w:cs="Arial" w:eastAsia="Arial" w:hAnsi="Arial"/>
          <w:sz w:val="18"/>
          <w:szCs w:val="18"/>
          <w:color w:val="010000"/>
        </w:rPr>
        <w:t>) from, and shall not in any way limit or affect, the corresponding obligations of the Borrower to any Secured Party under this Agreement or any other Loan Document (the “Corresponding Debt”) nor shall the amounts for which the Borrower is liable under this Section 8.16 be limited or affected in any way by its Corresponding Debt provided that:</w:t>
      </w:r>
    </w:p>
    <w:p>
      <w:pPr>
        <w:spacing w:after="0" w:line="87" w:lineRule="exact"/>
        <w:rPr>
          <w:sz w:val="20"/>
          <w:szCs w:val="20"/>
          <w:color w:val="auto"/>
        </w:rPr>
      </w:pPr>
    </w:p>
    <w:p>
      <w:pPr>
        <w:ind w:right="220" w:firstLine="1552"/>
        <w:spacing w:after="0" w:line="267" w:lineRule="auto"/>
        <w:rPr>
          <w:sz w:val="20"/>
          <w:szCs w:val="20"/>
          <w:color w:val="auto"/>
        </w:rPr>
      </w:pPr>
      <w:r>
        <w:rPr>
          <w:rFonts w:ascii="Arial" w:cs="Arial" w:eastAsia="Arial" w:hAnsi="Arial"/>
          <w:sz w:val="18"/>
          <w:szCs w:val="18"/>
          <w:color w:val="010000"/>
        </w:rPr>
        <w:t>(i) the Parallel Debt shall be decreased to the extent that the Corresponding Debt has been irrevocably paid or discharged (other than, in each case, contingent obligations);</w:t>
      </w:r>
    </w:p>
    <w:p>
      <w:pPr>
        <w:spacing w:after="0" w:line="73" w:lineRule="exact"/>
        <w:rPr>
          <w:sz w:val="20"/>
          <w:szCs w:val="20"/>
          <w:color w:val="auto"/>
        </w:rPr>
      </w:pPr>
    </w:p>
    <w:p>
      <w:pPr>
        <w:ind w:left="1560" w:right="1160"/>
        <w:spacing w:after="0" w:line="451" w:lineRule="auto"/>
        <w:rPr>
          <w:sz w:val="20"/>
          <w:szCs w:val="20"/>
          <w:color w:val="auto"/>
        </w:rPr>
      </w:pPr>
      <w:r>
        <w:rPr>
          <w:rFonts w:ascii="Arial" w:cs="Arial" w:eastAsia="Arial" w:hAnsi="Arial"/>
          <w:sz w:val="16"/>
          <w:szCs w:val="16"/>
          <w:color w:val="010000"/>
        </w:rPr>
        <w:t>(ii) the Corresponding Debt shall be decreased to the extent that the Parallel Debt has been irrevocably paid or discharged; (iii) the amount of the Parallel Debt shall at all times be equal to the amount of the Corresponding Debt;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14478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 gesonderten Abschnitt V. dazu</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3" w:name="page134"/>
    <w:bookmarkEnd w:id="133"/>
    <w:p>
      <w:pPr>
        <w:ind w:left="1560"/>
        <w:spacing w:after="0"/>
        <w:rPr>
          <w:sz w:val="20"/>
          <w:szCs w:val="20"/>
          <w:color w:val="auto"/>
        </w:rPr>
      </w:pPr>
      <w:r>
        <w:rPr>
          <w:rFonts w:ascii="Arial" w:cs="Arial" w:eastAsia="Arial" w:hAnsi="Arial"/>
          <w:sz w:val="16"/>
          <w:szCs w:val="16"/>
          <w:color w:val="010000"/>
        </w:rPr>
        <w:t>(iv) for the avoidance of doubt, the Parallel Debt will become due and payable at the same time when the Corresponding Debt becomes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010000"/>
        </w:rPr>
        <w:t>due and payable.</w:t>
      </w:r>
    </w:p>
    <w:p>
      <w:pPr>
        <w:spacing w:after="0" w:line="102" w:lineRule="exact"/>
        <w:rPr>
          <w:sz w:val="20"/>
          <w:szCs w:val="20"/>
          <w:color w:val="auto"/>
        </w:rPr>
      </w:pPr>
    </w:p>
    <w:p>
      <w:pPr>
        <w:ind w:right="260" w:firstLine="1041"/>
        <w:spacing w:after="0" w:line="267" w:lineRule="auto"/>
        <w:tabs>
          <w:tab w:leader="none" w:pos="1276" w:val="left"/>
        </w:tabs>
        <w:numPr>
          <w:ilvl w:val="0"/>
          <w:numId w:val="144"/>
        </w:numPr>
        <w:rPr>
          <w:rFonts w:ascii="Arial" w:cs="Arial" w:eastAsia="Arial" w:hAnsi="Arial"/>
          <w:sz w:val="18"/>
          <w:szCs w:val="18"/>
          <w:color w:val="010000"/>
        </w:rPr>
      </w:pPr>
      <w:r>
        <w:rPr>
          <w:rFonts w:ascii="Arial" w:cs="Arial" w:eastAsia="Arial" w:hAnsi="Arial"/>
          <w:sz w:val="18"/>
          <w:szCs w:val="18"/>
          <w:color w:val="010000"/>
        </w:rPr>
        <w:t>The security granted under any German Security Agreement with respect to the Parallel Debt is granted to the Agent in its capacity as sole creditor of the Parallel Debt.</w:t>
      </w:r>
    </w:p>
    <w:p>
      <w:pPr>
        <w:spacing w:after="0" w:line="72" w:lineRule="exact"/>
        <w:rPr>
          <w:rFonts w:ascii="Arial" w:cs="Arial" w:eastAsia="Arial" w:hAnsi="Arial"/>
          <w:sz w:val="18"/>
          <w:szCs w:val="18"/>
          <w:color w:val="010000"/>
        </w:rPr>
      </w:pPr>
    </w:p>
    <w:p>
      <w:pPr>
        <w:ind w:right="480" w:firstLine="1041"/>
        <w:spacing w:after="0" w:line="267" w:lineRule="auto"/>
        <w:tabs>
          <w:tab w:leader="none" w:pos="1286" w:val="left"/>
        </w:tabs>
        <w:numPr>
          <w:ilvl w:val="0"/>
          <w:numId w:val="144"/>
        </w:numPr>
        <w:rPr>
          <w:rFonts w:ascii="Arial" w:cs="Arial" w:eastAsia="Arial" w:hAnsi="Arial"/>
          <w:sz w:val="18"/>
          <w:szCs w:val="18"/>
          <w:color w:val="010000"/>
        </w:rPr>
      </w:pPr>
      <w:r>
        <w:rPr>
          <w:rFonts w:ascii="Arial" w:cs="Arial" w:eastAsia="Arial" w:hAnsi="Arial"/>
          <w:sz w:val="18"/>
          <w:szCs w:val="18"/>
          <w:color w:val="010000"/>
        </w:rPr>
        <w:t>Without limiting or affecting the Agent’s rights against the Borrower (whether under this Agreement or any other Loan Document), the Borrower acknowledges that:</w:t>
      </w:r>
    </w:p>
    <w:p>
      <w:pPr>
        <w:spacing w:after="0" w:line="72" w:lineRule="exact"/>
        <w:rPr>
          <w:rFonts w:ascii="Arial" w:cs="Arial" w:eastAsia="Arial" w:hAnsi="Arial"/>
          <w:sz w:val="18"/>
          <w:szCs w:val="18"/>
          <w:color w:val="010000"/>
        </w:rPr>
      </w:pPr>
    </w:p>
    <w:p>
      <w:pPr>
        <w:ind w:left="1780" w:hanging="221"/>
        <w:spacing w:after="0"/>
        <w:tabs>
          <w:tab w:leader="none" w:pos="1780" w:val="left"/>
        </w:tabs>
        <w:numPr>
          <w:ilvl w:val="1"/>
          <w:numId w:val="144"/>
        </w:numPr>
        <w:rPr>
          <w:rFonts w:ascii="Arial" w:cs="Arial" w:eastAsia="Arial" w:hAnsi="Arial"/>
          <w:sz w:val="16"/>
          <w:szCs w:val="16"/>
          <w:color w:val="010000"/>
        </w:rPr>
      </w:pPr>
      <w:r>
        <w:rPr>
          <w:rFonts w:ascii="Arial" w:cs="Arial" w:eastAsia="Arial" w:hAnsi="Arial"/>
          <w:sz w:val="16"/>
          <w:szCs w:val="16"/>
          <w:color w:val="010000"/>
        </w:rPr>
        <w:t>Nothing in this Agreement shall impose any obligation on the Agent to advance any sum to the Borrower or otherwise under any Loan</w:t>
      </w:r>
    </w:p>
    <w:p>
      <w:pPr>
        <w:spacing w:after="0" w:line="40"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Document; and</w:t>
      </w:r>
    </w:p>
    <w:p>
      <w:pPr>
        <w:spacing w:after="0" w:line="102" w:lineRule="exact"/>
        <w:rPr>
          <w:rFonts w:ascii="Arial" w:cs="Arial" w:eastAsia="Arial" w:hAnsi="Arial"/>
          <w:sz w:val="16"/>
          <w:szCs w:val="16"/>
          <w:color w:val="010000"/>
        </w:rPr>
      </w:pPr>
    </w:p>
    <w:p>
      <w:pPr>
        <w:ind w:right="800" w:firstLine="1559"/>
        <w:spacing w:after="0" w:line="267" w:lineRule="auto"/>
        <w:tabs>
          <w:tab w:leader="none" w:pos="1814" w:val="left"/>
        </w:tabs>
        <w:numPr>
          <w:ilvl w:val="1"/>
          <w:numId w:val="144"/>
        </w:numPr>
        <w:rPr>
          <w:rFonts w:ascii="Arial" w:cs="Arial" w:eastAsia="Arial" w:hAnsi="Arial"/>
          <w:sz w:val="18"/>
          <w:szCs w:val="18"/>
          <w:color w:val="010000"/>
        </w:rPr>
      </w:pPr>
      <w:r>
        <w:rPr>
          <w:rFonts w:ascii="Arial" w:cs="Arial" w:eastAsia="Arial" w:hAnsi="Arial"/>
          <w:sz w:val="18"/>
          <w:szCs w:val="18"/>
          <w:color w:val="010000"/>
        </w:rPr>
        <w:t>for the purpose of any vote taken under any Loan Document, the Agent shall not be regarded as having any participation or commitment other than those which it has in its capacity as a Lender.</w:t>
      </w:r>
    </w:p>
    <w:p>
      <w:pPr>
        <w:spacing w:after="0" w:line="72" w:lineRule="exact"/>
        <w:rPr>
          <w:rFonts w:ascii="Arial" w:cs="Arial" w:eastAsia="Arial" w:hAnsi="Arial"/>
          <w:sz w:val="18"/>
          <w:szCs w:val="18"/>
          <w:color w:val="010000"/>
        </w:rPr>
      </w:pPr>
    </w:p>
    <w:p>
      <w:pPr>
        <w:ind w:right="420" w:firstLine="1041"/>
        <w:spacing w:after="0" w:line="267" w:lineRule="auto"/>
        <w:tabs>
          <w:tab w:leader="none" w:pos="1276" w:val="left"/>
        </w:tabs>
        <w:numPr>
          <w:ilvl w:val="0"/>
          <w:numId w:val="144"/>
        </w:numPr>
        <w:rPr>
          <w:rFonts w:ascii="Arial" w:cs="Arial" w:eastAsia="Arial" w:hAnsi="Arial"/>
          <w:sz w:val="18"/>
          <w:szCs w:val="18"/>
          <w:color w:val="010000"/>
        </w:rPr>
      </w:pPr>
      <w:r>
        <w:rPr>
          <w:rFonts w:ascii="Arial" w:cs="Arial" w:eastAsia="Arial" w:hAnsi="Arial"/>
          <w:sz w:val="18"/>
          <w:szCs w:val="18"/>
          <w:color w:val="010000"/>
        </w:rPr>
        <w:t>The parties to this Agreement acknowledge and confirm that the provisions contained in this Agreement shall not be interpreted so as to increase the maximum total amount of the Obligations.</w:t>
      </w:r>
    </w:p>
    <w:p>
      <w:pPr>
        <w:spacing w:after="0" w:line="72" w:lineRule="exact"/>
        <w:rPr>
          <w:rFonts w:ascii="Arial" w:cs="Arial" w:eastAsia="Arial" w:hAnsi="Arial"/>
          <w:sz w:val="18"/>
          <w:szCs w:val="18"/>
          <w:color w:val="010000"/>
        </w:rPr>
      </w:pPr>
    </w:p>
    <w:p>
      <w:pPr>
        <w:ind w:right="200" w:firstLine="1041"/>
        <w:spacing w:after="0" w:line="267" w:lineRule="auto"/>
        <w:tabs>
          <w:tab w:leader="none" w:pos="1256" w:val="left"/>
        </w:tabs>
        <w:numPr>
          <w:ilvl w:val="0"/>
          <w:numId w:val="144"/>
        </w:numPr>
        <w:rPr>
          <w:rFonts w:ascii="Arial" w:cs="Arial" w:eastAsia="Arial" w:hAnsi="Arial"/>
          <w:sz w:val="18"/>
          <w:szCs w:val="18"/>
          <w:color w:val="010000"/>
        </w:rPr>
      </w:pPr>
      <w:r>
        <w:rPr>
          <w:rFonts w:ascii="Arial" w:cs="Arial" w:eastAsia="Arial" w:hAnsi="Arial"/>
          <w:sz w:val="18"/>
          <w:szCs w:val="18"/>
          <w:color w:val="010000"/>
        </w:rPr>
        <w:t>The Parallel Debt shall remain effective in case a third person should assume or be entitled, partially or in whole, to any rights of any of the Lenders under any of the other Loan Documents, be it by virtue of assignment, novation or otherwise.</w:t>
      </w:r>
    </w:p>
    <w:p>
      <w:pPr>
        <w:spacing w:after="0" w:line="72" w:lineRule="exact"/>
        <w:rPr>
          <w:rFonts w:ascii="Arial" w:cs="Arial" w:eastAsia="Arial" w:hAnsi="Arial"/>
          <w:sz w:val="18"/>
          <w:szCs w:val="18"/>
          <w:color w:val="010000"/>
        </w:rPr>
      </w:pPr>
    </w:p>
    <w:p>
      <w:pPr>
        <w:ind w:firstLine="1041"/>
        <w:spacing w:after="0" w:line="267" w:lineRule="auto"/>
        <w:tabs>
          <w:tab w:leader="none" w:pos="1286" w:val="left"/>
        </w:tabs>
        <w:numPr>
          <w:ilvl w:val="0"/>
          <w:numId w:val="144"/>
        </w:numPr>
        <w:rPr>
          <w:rFonts w:ascii="Arial" w:cs="Arial" w:eastAsia="Arial" w:hAnsi="Arial"/>
          <w:sz w:val="18"/>
          <w:szCs w:val="18"/>
          <w:color w:val="010000"/>
        </w:rPr>
      </w:pPr>
      <w:r>
        <w:rPr>
          <w:rFonts w:ascii="Arial" w:cs="Arial" w:eastAsia="Arial" w:hAnsi="Arial"/>
          <w:sz w:val="18"/>
          <w:szCs w:val="18"/>
          <w:color w:val="010000"/>
        </w:rPr>
        <w:t>All monies received or recovered by the Agent pursuant to this Agreement and all amounts received or recovered by the Agent from or by the enforcement of any security granted to secure the Parallel Debt shall be applied in accordance with this Agreement.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20" w:lineRule="exact"/>
        <w:rPr>
          <w:sz w:val="20"/>
          <w:szCs w:val="20"/>
          <w:color w:val="auto"/>
        </w:rPr>
      </w:pPr>
    </w:p>
    <w:p>
      <w:pPr>
        <w:jc w:val="both"/>
        <w:ind w:right="40" w:firstLine="518"/>
        <w:spacing w:after="0" w:line="304" w:lineRule="auto"/>
        <w:rPr>
          <w:sz w:val="20"/>
          <w:szCs w:val="20"/>
          <w:color w:val="auto"/>
        </w:rPr>
      </w:pPr>
      <w:r>
        <w:rPr>
          <w:rFonts w:ascii="Arial" w:cs="Arial" w:eastAsia="Arial" w:hAnsi="Arial"/>
          <w:sz w:val="16"/>
          <w:szCs w:val="16"/>
          <w:color w:val="010000"/>
        </w:rPr>
        <w:t xml:space="preserve">SECTION 9.01. </w:t>
      </w:r>
      <w:r>
        <w:rPr>
          <w:rFonts w:ascii="Arial" w:cs="Arial" w:eastAsia="Arial" w:hAnsi="Arial"/>
          <w:sz w:val="16"/>
          <w:szCs w:val="16"/>
          <w:u w:val="single" w:color="auto"/>
          <w:color w:val="010000"/>
        </w:rPr>
        <w:t>Amendments, Waivers</w:t>
      </w:r>
      <w:r>
        <w:rPr>
          <w:rFonts w:ascii="Arial" w:cs="Arial" w:eastAsia="Arial" w:hAnsi="Arial"/>
          <w:sz w:val="16"/>
          <w:szCs w:val="16"/>
          <w:color w:val="010000"/>
        </w:rPr>
        <w:t xml:space="preserve">. No amendment or waiver of any provision of this Agreement or any of the other Loan Documents, nor consent to any departure by any Loan Party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w:t>
      </w:r>
    </w:p>
    <w:p>
      <w:pPr>
        <w:spacing w:after="0" w:line="48" w:lineRule="exact"/>
        <w:rPr>
          <w:sz w:val="20"/>
          <w:szCs w:val="20"/>
          <w:color w:val="auto"/>
        </w:rPr>
      </w:pPr>
    </w:p>
    <w:p>
      <w:pPr>
        <w:ind w:left="1280" w:hanging="239"/>
        <w:spacing w:after="0"/>
        <w:tabs>
          <w:tab w:leader="none" w:pos="1280" w:val="left"/>
        </w:tabs>
        <w:numPr>
          <w:ilvl w:val="0"/>
          <w:numId w:val="145"/>
        </w:numPr>
        <w:rPr>
          <w:rFonts w:ascii="Arial" w:cs="Arial" w:eastAsia="Arial" w:hAnsi="Arial"/>
          <w:sz w:val="18"/>
          <w:szCs w:val="18"/>
          <w:color w:val="010000"/>
        </w:rPr>
      </w:pPr>
      <w:r>
        <w:rPr>
          <w:rFonts w:ascii="Arial" w:cs="Arial" w:eastAsia="Arial" w:hAnsi="Arial"/>
          <w:sz w:val="18"/>
          <w:szCs w:val="18"/>
          <w:color w:val="010000"/>
        </w:rPr>
        <w:t>no amendment, waiver or consent shall, unless in writing and signed by all the Lenders, do any of the following:</w:t>
      </w:r>
    </w:p>
    <w:p>
      <w:pPr>
        <w:spacing w:after="0" w:line="113" w:lineRule="exact"/>
        <w:rPr>
          <w:rFonts w:ascii="Arial" w:cs="Arial" w:eastAsia="Arial" w:hAnsi="Arial"/>
          <w:sz w:val="18"/>
          <w:szCs w:val="18"/>
          <w:color w:val="010000"/>
        </w:rPr>
      </w:pPr>
    </w:p>
    <w:p>
      <w:pPr>
        <w:ind w:right="360" w:firstLine="1559"/>
        <w:spacing w:after="0" w:line="267" w:lineRule="auto"/>
        <w:tabs>
          <w:tab w:leader="none" w:pos="1764" w:val="left"/>
        </w:tabs>
        <w:numPr>
          <w:ilvl w:val="1"/>
          <w:numId w:val="145"/>
        </w:numPr>
        <w:rPr>
          <w:rFonts w:ascii="Arial" w:cs="Arial" w:eastAsia="Arial" w:hAnsi="Arial"/>
          <w:sz w:val="18"/>
          <w:szCs w:val="18"/>
          <w:color w:val="010000"/>
        </w:rPr>
      </w:pPr>
      <w:r>
        <w:rPr>
          <w:rFonts w:ascii="Arial" w:cs="Arial" w:eastAsia="Arial" w:hAnsi="Arial"/>
          <w:sz w:val="18"/>
          <w:szCs w:val="18"/>
          <w:color w:val="010000"/>
        </w:rPr>
        <w:t>change the percentage of the Commitments or of the aggregate unpaid principal amount of the Revolving Loans, or the number of Lenders, that shall be required for the Lenders or any of them to take any action hereunder,</w:t>
      </w:r>
    </w:p>
    <w:p>
      <w:pPr>
        <w:spacing w:after="0" w:line="72" w:lineRule="exact"/>
        <w:rPr>
          <w:rFonts w:ascii="Arial" w:cs="Arial" w:eastAsia="Arial" w:hAnsi="Arial"/>
          <w:sz w:val="18"/>
          <w:szCs w:val="18"/>
          <w:color w:val="010000"/>
        </w:rPr>
      </w:pPr>
    </w:p>
    <w:p>
      <w:pPr>
        <w:ind w:left="1820" w:hanging="261"/>
        <w:spacing w:after="0"/>
        <w:tabs>
          <w:tab w:leader="none" w:pos="1820" w:val="left"/>
        </w:tabs>
        <w:numPr>
          <w:ilvl w:val="1"/>
          <w:numId w:val="145"/>
        </w:numPr>
        <w:rPr>
          <w:rFonts w:ascii="Arial" w:cs="Arial" w:eastAsia="Arial" w:hAnsi="Arial"/>
          <w:sz w:val="18"/>
          <w:szCs w:val="18"/>
          <w:color w:val="010000"/>
        </w:rPr>
      </w:pPr>
      <w:r>
        <w:rPr>
          <w:rFonts w:ascii="Arial" w:cs="Arial" w:eastAsia="Arial" w:hAnsi="Arial"/>
          <w:sz w:val="18"/>
          <w:szCs w:val="18"/>
          <w:color w:val="010000"/>
        </w:rPr>
        <w:t>release all or substantially all of the Collateral in any transaction or series of related transactions,</w:t>
      </w:r>
    </w:p>
    <w:p>
      <w:pPr>
        <w:spacing w:after="0" w:line="113" w:lineRule="exact"/>
        <w:rPr>
          <w:rFonts w:ascii="Arial" w:cs="Arial" w:eastAsia="Arial" w:hAnsi="Arial"/>
          <w:sz w:val="18"/>
          <w:szCs w:val="18"/>
          <w:color w:val="010000"/>
        </w:rPr>
      </w:pPr>
    </w:p>
    <w:p>
      <w:pPr>
        <w:ind w:right="60" w:firstLine="1559"/>
        <w:spacing w:after="0" w:line="257" w:lineRule="auto"/>
        <w:tabs>
          <w:tab w:leader="none" w:pos="1863" w:val="left"/>
        </w:tabs>
        <w:numPr>
          <w:ilvl w:val="1"/>
          <w:numId w:val="145"/>
        </w:numPr>
        <w:rPr>
          <w:rFonts w:ascii="Arial" w:cs="Arial" w:eastAsia="Arial" w:hAnsi="Arial"/>
          <w:sz w:val="18"/>
          <w:szCs w:val="18"/>
          <w:color w:val="010000"/>
        </w:rPr>
      </w:pPr>
      <w:r>
        <w:rPr>
          <w:rFonts w:ascii="Arial" w:cs="Arial" w:eastAsia="Arial" w:hAnsi="Arial"/>
          <w:sz w:val="18"/>
          <w:szCs w:val="18"/>
          <w:color w:val="010000"/>
        </w:rPr>
        <w:t>release one or more Guarantors (or otherwise limit such Guarantors’ liability with respect to the Obligations owing to the Agent, and the Lenders under the Guaranties) if such release or limitation is in respect of all or substantially all of the value of the Guaranties, taken as a whole, to the Lenders,</w:t>
      </w:r>
    </w:p>
    <w:p>
      <w:pPr>
        <w:spacing w:after="0" w:line="81" w:lineRule="exact"/>
        <w:rPr>
          <w:rFonts w:ascii="Arial" w:cs="Arial" w:eastAsia="Arial" w:hAnsi="Arial"/>
          <w:sz w:val="18"/>
          <w:szCs w:val="18"/>
          <w:color w:val="010000"/>
        </w:rPr>
      </w:pPr>
    </w:p>
    <w:p>
      <w:pPr>
        <w:ind w:right="140" w:firstLine="1559"/>
        <w:spacing w:after="0" w:line="257" w:lineRule="auto"/>
        <w:tabs>
          <w:tab w:leader="none" w:pos="1853" w:val="left"/>
        </w:tabs>
        <w:numPr>
          <w:ilvl w:val="1"/>
          <w:numId w:val="145"/>
        </w:numPr>
        <w:rPr>
          <w:rFonts w:ascii="Arial" w:cs="Arial" w:eastAsia="Arial" w:hAnsi="Arial"/>
          <w:sz w:val="18"/>
          <w:szCs w:val="18"/>
          <w:color w:val="010000"/>
        </w:rPr>
      </w:pPr>
      <w:r>
        <w:rPr>
          <w:rFonts w:ascii="Arial" w:cs="Arial" w:eastAsia="Arial" w:hAnsi="Arial"/>
          <w:sz w:val="18"/>
          <w:szCs w:val="18"/>
          <w:color w:val="010000"/>
        </w:rPr>
        <w:t>amend this Section 9.01 or the definition of “Required Lenders”, “Supermajority Lenders”, or any other provision hereof specifying the number or percentage of Lenders required to amend, waive or otherwise modify any rights hereunder or make any determination or grant any consent hereunder,</w:t>
      </w:r>
    </w:p>
    <w:p>
      <w:pPr>
        <w:spacing w:after="0" w:line="81" w:lineRule="exact"/>
        <w:rPr>
          <w:rFonts w:ascii="Arial" w:cs="Arial" w:eastAsia="Arial" w:hAnsi="Arial"/>
          <w:sz w:val="18"/>
          <w:szCs w:val="18"/>
          <w:color w:val="010000"/>
        </w:rPr>
      </w:pPr>
    </w:p>
    <w:p>
      <w:pPr>
        <w:ind w:left="1820" w:hanging="261"/>
        <w:spacing w:after="0"/>
        <w:tabs>
          <w:tab w:leader="none" w:pos="1820" w:val="left"/>
        </w:tabs>
        <w:numPr>
          <w:ilvl w:val="1"/>
          <w:numId w:val="145"/>
        </w:numPr>
        <w:rPr>
          <w:rFonts w:ascii="Arial" w:cs="Arial" w:eastAsia="Arial" w:hAnsi="Arial"/>
          <w:sz w:val="17"/>
          <w:szCs w:val="17"/>
          <w:color w:val="010000"/>
        </w:rPr>
      </w:pPr>
      <w:r>
        <w:rPr>
          <w:rFonts w:ascii="Arial" w:cs="Arial" w:eastAsia="Arial" w:hAnsi="Arial"/>
          <w:sz w:val="17"/>
          <w:szCs w:val="17"/>
          <w:color w:val="010000"/>
        </w:rPr>
        <w:t>change Section 2.05(a) in a manner that would alter the pro rata reduction or termination of Commitments required thereby,</w:t>
      </w:r>
    </w:p>
    <w:p>
      <w:pPr>
        <w:spacing w:after="0" w:line="124" w:lineRule="exact"/>
        <w:rPr>
          <w:rFonts w:ascii="Arial" w:cs="Arial" w:eastAsia="Arial" w:hAnsi="Arial"/>
          <w:sz w:val="17"/>
          <w:szCs w:val="17"/>
          <w:color w:val="010000"/>
        </w:rPr>
      </w:pPr>
    </w:p>
    <w:p>
      <w:pPr>
        <w:ind w:left="1860" w:hanging="301"/>
        <w:spacing w:after="0"/>
        <w:tabs>
          <w:tab w:leader="none" w:pos="1860" w:val="left"/>
        </w:tabs>
        <w:numPr>
          <w:ilvl w:val="1"/>
          <w:numId w:val="145"/>
        </w:numPr>
        <w:rPr>
          <w:rFonts w:ascii="Arial" w:cs="Arial" w:eastAsia="Arial" w:hAnsi="Arial"/>
          <w:sz w:val="18"/>
          <w:szCs w:val="18"/>
          <w:color w:val="010000"/>
        </w:rPr>
      </w:pPr>
      <w:r>
        <w:rPr>
          <w:rFonts w:ascii="Arial" w:cs="Arial" w:eastAsia="Arial" w:hAnsi="Arial"/>
          <w:sz w:val="18"/>
          <w:szCs w:val="18"/>
          <w:color w:val="010000"/>
        </w:rPr>
        <w:t>increase the advance rates set forth in the definition of “Loan Value”;</w:t>
      </w:r>
    </w:p>
    <w:p>
      <w:pPr>
        <w:spacing w:after="0" w:line="113" w:lineRule="exact"/>
        <w:rPr>
          <w:rFonts w:ascii="Arial" w:cs="Arial" w:eastAsia="Arial" w:hAnsi="Arial"/>
          <w:sz w:val="18"/>
          <w:szCs w:val="18"/>
          <w:color w:val="010000"/>
        </w:rPr>
      </w:pPr>
    </w:p>
    <w:p>
      <w:pPr>
        <w:ind w:left="1900" w:hanging="341"/>
        <w:spacing w:after="0"/>
        <w:tabs>
          <w:tab w:leader="none" w:pos="1900" w:val="left"/>
        </w:tabs>
        <w:numPr>
          <w:ilvl w:val="1"/>
          <w:numId w:val="145"/>
        </w:numPr>
        <w:rPr>
          <w:rFonts w:ascii="Arial" w:cs="Arial" w:eastAsia="Arial" w:hAnsi="Arial"/>
          <w:sz w:val="18"/>
          <w:szCs w:val="18"/>
          <w:color w:val="010000"/>
        </w:rPr>
      </w:pPr>
      <w:r>
        <w:rPr>
          <w:rFonts w:ascii="Arial" w:cs="Arial" w:eastAsia="Arial" w:hAnsi="Arial"/>
          <w:sz w:val="18"/>
          <w:szCs w:val="18"/>
          <w:color w:val="010000"/>
        </w:rPr>
        <w:t>amend, modify or change the provisions of Section 6.04 without the written consent of each Lender; or</w:t>
      </w:r>
    </w:p>
    <w:p>
      <w:pPr>
        <w:spacing w:after="0" w:line="113" w:lineRule="exact"/>
        <w:rPr>
          <w:rFonts w:ascii="Arial" w:cs="Arial" w:eastAsia="Arial" w:hAnsi="Arial"/>
          <w:sz w:val="18"/>
          <w:szCs w:val="18"/>
          <w:color w:val="010000"/>
        </w:rPr>
      </w:pPr>
    </w:p>
    <w:p>
      <w:pPr>
        <w:ind w:right="280" w:firstLine="1559"/>
        <w:spacing w:after="0" w:line="267" w:lineRule="auto"/>
        <w:tabs>
          <w:tab w:leader="none" w:pos="1952" w:val="left"/>
        </w:tabs>
        <w:numPr>
          <w:ilvl w:val="1"/>
          <w:numId w:val="145"/>
        </w:numPr>
        <w:rPr>
          <w:rFonts w:ascii="Arial" w:cs="Arial" w:eastAsia="Arial" w:hAnsi="Arial"/>
          <w:sz w:val="18"/>
          <w:szCs w:val="18"/>
          <w:color w:val="010000"/>
        </w:rPr>
      </w:pPr>
      <w:r>
        <w:rPr>
          <w:rFonts w:ascii="Arial" w:cs="Arial" w:eastAsia="Arial" w:hAnsi="Arial"/>
          <w:sz w:val="18"/>
          <w:szCs w:val="18"/>
          <w:color w:val="010000"/>
        </w:rPr>
        <w:t>except as expressly permitted herein or in any other Loan Document, subordinate the Obligations hereunder or the Liens granted hereunder or under the other Loan Documents, to any other Debt or Lien, as the case may be,</w:t>
      </w:r>
    </w:p>
    <w:p>
      <w:pPr>
        <w:spacing w:after="0" w:line="72" w:lineRule="exact"/>
        <w:rPr>
          <w:rFonts w:ascii="Arial" w:cs="Arial" w:eastAsia="Arial" w:hAnsi="Arial"/>
          <w:sz w:val="18"/>
          <w:szCs w:val="18"/>
          <w:color w:val="010000"/>
        </w:rPr>
      </w:pPr>
    </w:p>
    <w:p>
      <w:pPr>
        <w:ind w:left="1300" w:hanging="259"/>
        <w:spacing w:after="0"/>
        <w:tabs>
          <w:tab w:leader="none" w:pos="1300" w:val="left"/>
        </w:tabs>
        <w:numPr>
          <w:ilvl w:val="0"/>
          <w:numId w:val="145"/>
        </w:numPr>
        <w:rPr>
          <w:rFonts w:ascii="Arial" w:cs="Arial" w:eastAsia="Arial" w:hAnsi="Arial"/>
          <w:sz w:val="18"/>
          <w:szCs w:val="18"/>
          <w:color w:val="010000"/>
        </w:rPr>
      </w:pPr>
      <w:r>
        <w:rPr>
          <w:rFonts w:ascii="Arial" w:cs="Arial" w:eastAsia="Arial" w:hAnsi="Arial"/>
          <w:sz w:val="18"/>
          <w:szCs w:val="18"/>
          <w:color w:val="010000"/>
        </w:rPr>
        <w:t>no amendment, waiver or consent shall, unless in writing and signed by each Lender affected thereby, do any of the following:</w:t>
      </w:r>
    </w:p>
    <w:p>
      <w:pPr>
        <w:spacing w:after="0" w:line="113" w:lineRule="exact"/>
        <w:rPr>
          <w:rFonts w:ascii="Arial" w:cs="Arial" w:eastAsia="Arial" w:hAnsi="Arial"/>
          <w:sz w:val="18"/>
          <w:szCs w:val="18"/>
          <w:color w:val="010000"/>
        </w:rPr>
      </w:pPr>
    </w:p>
    <w:p>
      <w:pPr>
        <w:ind w:left="1780" w:hanging="221"/>
        <w:spacing w:after="0"/>
        <w:tabs>
          <w:tab w:leader="none" w:pos="1780" w:val="left"/>
        </w:tabs>
        <w:numPr>
          <w:ilvl w:val="1"/>
          <w:numId w:val="145"/>
        </w:numPr>
        <w:rPr>
          <w:rFonts w:ascii="Arial" w:cs="Arial" w:eastAsia="Arial" w:hAnsi="Arial"/>
          <w:sz w:val="18"/>
          <w:szCs w:val="18"/>
          <w:color w:val="010000"/>
        </w:rPr>
      </w:pPr>
      <w:r>
        <w:rPr>
          <w:rFonts w:ascii="Arial" w:cs="Arial" w:eastAsia="Arial" w:hAnsi="Arial"/>
          <w:sz w:val="18"/>
          <w:szCs w:val="18"/>
          <w:color w:val="010000"/>
        </w:rPr>
        <w:t>increase the Commitment of such Lender,</w:t>
      </w:r>
    </w:p>
    <w:p>
      <w:pPr>
        <w:spacing w:after="0" w:line="113" w:lineRule="exact"/>
        <w:rPr>
          <w:rFonts w:ascii="Arial" w:cs="Arial" w:eastAsia="Arial" w:hAnsi="Arial"/>
          <w:sz w:val="18"/>
          <w:szCs w:val="18"/>
          <w:color w:val="010000"/>
        </w:rPr>
      </w:pPr>
    </w:p>
    <w:p>
      <w:pPr>
        <w:ind w:left="1820" w:hanging="261"/>
        <w:spacing w:after="0"/>
        <w:tabs>
          <w:tab w:leader="none" w:pos="1820" w:val="left"/>
        </w:tabs>
        <w:numPr>
          <w:ilvl w:val="1"/>
          <w:numId w:val="145"/>
        </w:numPr>
        <w:rPr>
          <w:rFonts w:ascii="Arial" w:cs="Arial" w:eastAsia="Arial" w:hAnsi="Arial"/>
          <w:sz w:val="18"/>
          <w:szCs w:val="18"/>
          <w:color w:val="010000"/>
        </w:rPr>
      </w:pPr>
      <w:r>
        <w:rPr>
          <w:rFonts w:ascii="Arial" w:cs="Arial" w:eastAsia="Arial" w:hAnsi="Arial"/>
          <w:sz w:val="18"/>
          <w:szCs w:val="18"/>
          <w:color w:val="010000"/>
        </w:rPr>
        <w:t>reduce or forgive the principal of, or interest on, the Revolving Loans or any fees or other amounts payable hereunder,</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134" w:name="page135"/>
    <w:bookmarkEnd w:id="134"/>
    <w:p>
      <w:pPr>
        <w:ind w:left="1560"/>
        <w:spacing w:after="0"/>
        <w:rPr>
          <w:sz w:val="20"/>
          <w:szCs w:val="20"/>
          <w:color w:val="auto"/>
        </w:rPr>
      </w:pPr>
      <w:r>
        <w:rPr>
          <w:rFonts w:ascii="Arial" w:cs="Arial" w:eastAsia="Arial" w:hAnsi="Arial"/>
          <w:sz w:val="16"/>
          <w:szCs w:val="16"/>
          <w:color w:val="010000"/>
        </w:rPr>
        <w:t>(iii) postpone any date fixed for any payment of principal of, or interest on, the Revolving Loans or any fees or other amounts payable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010000"/>
        </w:rPr>
        <w:t>hereunder, or</w:t>
      </w:r>
    </w:p>
    <w:p>
      <w:pPr>
        <w:spacing w:after="0" w:line="102" w:lineRule="exact"/>
        <w:rPr>
          <w:sz w:val="20"/>
          <w:szCs w:val="20"/>
          <w:color w:val="auto"/>
        </w:rPr>
      </w:pPr>
    </w:p>
    <w:p>
      <w:pPr>
        <w:ind w:right="320" w:firstLine="1559"/>
        <w:spacing w:after="0" w:line="267" w:lineRule="auto"/>
        <w:tabs>
          <w:tab w:leader="none" w:pos="1853" w:val="left"/>
        </w:tabs>
        <w:numPr>
          <w:ilvl w:val="1"/>
          <w:numId w:val="146"/>
        </w:numPr>
        <w:rPr>
          <w:rFonts w:ascii="Arial" w:cs="Arial" w:eastAsia="Arial" w:hAnsi="Arial"/>
          <w:sz w:val="18"/>
          <w:szCs w:val="18"/>
          <w:color w:val="010000"/>
        </w:rPr>
      </w:pPr>
      <w:r>
        <w:rPr>
          <w:rFonts w:ascii="Arial" w:cs="Arial" w:eastAsia="Arial" w:hAnsi="Arial"/>
          <w:sz w:val="18"/>
          <w:szCs w:val="18"/>
          <w:color w:val="010000"/>
        </w:rPr>
        <w:t>change the order of application of any reduction in the Commitments or any prepayment of Revolving Loans among the Facilities from the application thereof set forth in Section 6.04, or</w:t>
      </w:r>
    </w:p>
    <w:p>
      <w:pPr>
        <w:spacing w:after="0" w:line="72" w:lineRule="exact"/>
        <w:rPr>
          <w:rFonts w:ascii="Arial" w:cs="Arial" w:eastAsia="Arial" w:hAnsi="Arial"/>
          <w:sz w:val="18"/>
          <w:szCs w:val="18"/>
          <w:color w:val="010000"/>
        </w:rPr>
      </w:pPr>
    </w:p>
    <w:p>
      <w:pPr>
        <w:ind w:firstLine="1041"/>
        <w:spacing w:after="0" w:line="266" w:lineRule="auto"/>
        <w:tabs>
          <w:tab w:leader="none" w:pos="1276" w:val="left"/>
        </w:tabs>
        <w:numPr>
          <w:ilvl w:val="0"/>
          <w:numId w:val="147"/>
        </w:numPr>
        <w:rPr>
          <w:rFonts w:ascii="Arial" w:cs="Arial" w:eastAsia="Arial" w:hAnsi="Arial"/>
          <w:sz w:val="17"/>
          <w:szCs w:val="17"/>
          <w:color w:val="010000"/>
        </w:rPr>
      </w:pPr>
      <w:r>
        <w:rPr>
          <w:rFonts w:ascii="Arial" w:cs="Arial" w:eastAsia="Arial" w:hAnsi="Arial"/>
          <w:sz w:val="17"/>
          <w:szCs w:val="17"/>
          <w:color w:val="010000"/>
        </w:rPr>
        <w:t xml:space="preserve">no amendment, waiver or consent shall, unless in writing and signed by the Supermajority Lenders, add new asset categories to the Borrowing Base or otherwise cause the Borrowing Base or availability under the Revolving Credit Facility provided for herein to be increased (other than changes in Reserves implemented by the Agent in its Permitted Discretion, and the changes to the advance rates set forth in the definition of Loan Value);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further</w:t>
      </w:r>
      <w:r>
        <w:rPr>
          <w:rFonts w:ascii="Arial" w:cs="Arial" w:eastAsia="Arial" w:hAnsi="Arial"/>
          <w:sz w:val="17"/>
          <w:szCs w:val="17"/>
          <w:color w:val="010000"/>
        </w:rPr>
        <w:t xml:space="preserve">, that (x) no amendment, waiver or consent shall, unless in writing and signed by the Agent in addition to the Lenders required above to take such action, affect the rights or duties of the Agent under this Agreement or any Note and (y) no amendment, waiver or consent shall, unless in writing and signed by the Issuing Banks in addition to the Lenders required above to take such action, adversely affect the rights or obligations of the Issuing Banks in their capacities as such under this Agreement,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notwithstanding clauses (ii) and (iii) of clause (a) above, no consent or waiver or other approval of any Lender shall be required for any release of a Guaranty or Guaranty Supplement as provided in Section 7.07 or any release of Collateral as provided in Section 9.16 or in any Collateral Document.</w:t>
      </w:r>
    </w:p>
    <w:p>
      <w:pPr>
        <w:spacing w:after="0" w:line="184" w:lineRule="exact"/>
        <w:rPr>
          <w:sz w:val="20"/>
          <w:szCs w:val="20"/>
          <w:color w:val="auto"/>
        </w:rPr>
      </w:pPr>
    </w:p>
    <w:p>
      <w:pPr>
        <w:ind w:right="80" w:hanging="106"/>
        <w:spacing w:after="0" w:line="257" w:lineRule="auto"/>
        <w:rPr>
          <w:sz w:val="20"/>
          <w:szCs w:val="20"/>
          <w:color w:val="auto"/>
        </w:rPr>
      </w:pPr>
      <w:r>
        <w:rPr>
          <w:rFonts w:ascii="Arial" w:cs="Arial" w:eastAsia="Arial" w:hAnsi="Arial"/>
          <w:sz w:val="18"/>
          <w:szCs w:val="18"/>
          <w:color w:val="auto"/>
        </w:rPr>
        <w:t>withstanding the foregoing, if the Agent and the Borrower shall have jointly identified any ambiguity, inconsistency, defect, typographical error or manifest error in this Agreement or any other Loan Document, then the Agent and the Borrower shall be permitted to amend such provision without any further action or consent of any other party.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9.02. </w:t>
      </w:r>
      <w:r>
        <w:rPr>
          <w:rFonts w:ascii="Arial" w:cs="Arial" w:eastAsia="Arial" w:hAnsi="Arial"/>
          <w:sz w:val="18"/>
          <w:szCs w:val="18"/>
          <w:u w:val="single" w:color="auto"/>
          <w:color w:val="010000"/>
        </w:rPr>
        <w:t>Notices, Etc</w:t>
      </w:r>
      <w:r>
        <w:rPr>
          <w:rFonts w:ascii="Arial" w:cs="Arial" w:eastAsia="Arial" w:hAnsi="Arial"/>
          <w:sz w:val="18"/>
          <w:szCs w:val="18"/>
          <w:color w:val="010000"/>
        </w:rPr>
        <w:t>.</w:t>
      </w:r>
    </w:p>
    <w:p>
      <w:pPr>
        <w:spacing w:after="0" w:line="113" w:lineRule="exact"/>
        <w:rPr>
          <w:sz w:val="20"/>
          <w:szCs w:val="20"/>
          <w:color w:val="auto"/>
        </w:rPr>
      </w:pPr>
    </w:p>
    <w:p>
      <w:pPr>
        <w:ind w:right="140" w:firstLine="1041"/>
        <w:spacing w:after="0" w:line="254" w:lineRule="auto"/>
        <w:tabs>
          <w:tab w:leader="none" w:pos="1276"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010000"/>
        </w:rPr>
        <w:t>Notices Generally</w:t>
      </w:r>
      <w:r>
        <w:rPr>
          <w:rFonts w:ascii="Arial" w:cs="Arial" w:eastAsia="Arial" w:hAnsi="Arial"/>
          <w:sz w:val="18"/>
          <w:szCs w:val="18"/>
          <w:color w:val="010000"/>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83" w:lineRule="exact"/>
        <w:rPr>
          <w:rFonts w:ascii="Arial" w:cs="Arial" w:eastAsia="Arial" w:hAnsi="Arial"/>
          <w:sz w:val="18"/>
          <w:szCs w:val="18"/>
          <w:color w:val="010000"/>
        </w:rPr>
      </w:pPr>
    </w:p>
    <w:p>
      <w:pPr>
        <w:ind w:right="660" w:firstLine="1559"/>
        <w:spacing w:after="0" w:line="267" w:lineRule="auto"/>
        <w:tabs>
          <w:tab w:leader="none" w:pos="1764" w:val="left"/>
        </w:tabs>
        <w:numPr>
          <w:ilvl w:val="1"/>
          <w:numId w:val="148"/>
        </w:numPr>
        <w:rPr>
          <w:rFonts w:ascii="Arial" w:cs="Arial" w:eastAsia="Arial" w:hAnsi="Arial"/>
          <w:sz w:val="18"/>
          <w:szCs w:val="18"/>
          <w:color w:val="010000"/>
        </w:rPr>
      </w:pPr>
      <w:r>
        <w:rPr>
          <w:rFonts w:ascii="Arial" w:cs="Arial" w:eastAsia="Arial" w:hAnsi="Arial"/>
          <w:sz w:val="18"/>
          <w:szCs w:val="18"/>
          <w:color w:val="010000"/>
        </w:rPr>
        <w:t xml:space="preserve">if to Borrower, the Agent, or any Issuing Bank, to the address, telecopier number, electronic mail address or telephone number specified for such Person on </w:t>
      </w:r>
      <w:r>
        <w:rPr>
          <w:rFonts w:ascii="Arial" w:cs="Arial" w:eastAsia="Arial" w:hAnsi="Arial"/>
          <w:sz w:val="18"/>
          <w:szCs w:val="18"/>
          <w:u w:val="single" w:color="auto"/>
          <w:color w:val="010000"/>
        </w:rPr>
        <w:t>Schedule 9.02</w:t>
      </w:r>
      <w:r>
        <w:rPr>
          <w:rFonts w:ascii="Arial" w:cs="Arial" w:eastAsia="Arial" w:hAnsi="Arial"/>
          <w:sz w:val="18"/>
          <w:szCs w:val="18"/>
          <w:color w:val="010000"/>
        </w:rPr>
        <w:t>; and</w:t>
      </w:r>
    </w:p>
    <w:p>
      <w:pPr>
        <w:spacing w:after="0" w:line="72" w:lineRule="exact"/>
        <w:rPr>
          <w:rFonts w:ascii="Arial" w:cs="Arial" w:eastAsia="Arial" w:hAnsi="Arial"/>
          <w:sz w:val="18"/>
          <w:szCs w:val="18"/>
          <w:color w:val="010000"/>
        </w:rPr>
      </w:pPr>
    </w:p>
    <w:p>
      <w:pPr>
        <w:ind w:right="40" w:firstLine="1559"/>
        <w:spacing w:after="0" w:line="257" w:lineRule="auto"/>
        <w:tabs>
          <w:tab w:leader="none" w:pos="1814" w:val="left"/>
        </w:tabs>
        <w:numPr>
          <w:ilvl w:val="1"/>
          <w:numId w:val="148"/>
        </w:numPr>
        <w:rPr>
          <w:rFonts w:ascii="Arial" w:cs="Arial" w:eastAsia="Arial" w:hAnsi="Arial"/>
          <w:sz w:val="18"/>
          <w:szCs w:val="18"/>
          <w:color w:val="010000"/>
        </w:rPr>
      </w:pPr>
      <w:r>
        <w:rPr>
          <w:rFonts w:ascii="Arial" w:cs="Arial" w:eastAsia="Arial" w:hAnsi="Arial"/>
          <w:sz w:val="18"/>
          <w:szCs w:val="18"/>
          <w:color w:val="010000"/>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Borrower).</w:t>
      </w:r>
    </w:p>
    <w:p>
      <w:pPr>
        <w:spacing w:after="0" w:line="188" w:lineRule="exact"/>
        <w:rPr>
          <w:sz w:val="20"/>
          <w:szCs w:val="20"/>
          <w:color w:val="auto"/>
        </w:rPr>
      </w:pPr>
    </w:p>
    <w:p>
      <w:pPr>
        <w:ind w:right="140" w:firstLine="518"/>
        <w:spacing w:after="0" w:line="252"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87" w:lineRule="exact"/>
        <w:rPr>
          <w:sz w:val="20"/>
          <w:szCs w:val="20"/>
          <w:color w:val="auto"/>
        </w:rPr>
      </w:pPr>
    </w:p>
    <w:p>
      <w:pPr>
        <w:ind w:right="100" w:firstLine="1041"/>
        <w:spacing w:after="0" w:line="251" w:lineRule="auto"/>
        <w:tabs>
          <w:tab w:leader="none" w:pos="1286" w:val="left"/>
        </w:tabs>
        <w:numPr>
          <w:ilvl w:val="0"/>
          <w:numId w:val="149"/>
        </w:numPr>
        <w:rPr>
          <w:rFonts w:ascii="Arial" w:cs="Arial" w:eastAsia="Arial" w:hAnsi="Arial"/>
          <w:sz w:val="18"/>
          <w:szCs w:val="18"/>
          <w:color w:val="010000"/>
        </w:rPr>
      </w:pPr>
      <w:r>
        <w:rPr>
          <w:rFonts w:ascii="Arial" w:cs="Arial" w:eastAsia="Arial" w:hAnsi="Arial"/>
          <w:sz w:val="18"/>
          <w:szCs w:val="18"/>
          <w:color w:val="010000"/>
        </w:rPr>
        <w:t xml:space="preserve">Notices and other communications to the Lenders and the Issuing Banks hereunder may be delivered or furnished by electronic communication (including e-mail and Internet or intranet websites) pursuant to procedures approved by the Agent,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xml:space="preserve">, the foregoing shall not apply to notices to any Lender or Issuing Bank pursuant to Article II if such Lender or Issuing Bank, as applicable, has notified the Agent that it is incapable of receiving notices under such Article by electronic communication. The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approval of such procedures may be limited to particular notices or communications.</w:t>
      </w:r>
    </w:p>
    <w:p>
      <w:pPr>
        <w:spacing w:after="0" w:line="87" w:lineRule="exact"/>
        <w:rPr>
          <w:rFonts w:ascii="Arial" w:cs="Arial" w:eastAsia="Arial" w:hAnsi="Arial"/>
          <w:sz w:val="18"/>
          <w:szCs w:val="18"/>
          <w:color w:val="010000"/>
        </w:rPr>
      </w:pPr>
    </w:p>
    <w:p>
      <w:pPr>
        <w:ind w:right="80" w:firstLine="1041"/>
        <w:spacing w:after="0" w:line="288" w:lineRule="auto"/>
        <w:tabs>
          <w:tab w:leader="none" w:pos="1276" w:val="left"/>
        </w:tabs>
        <w:numPr>
          <w:ilvl w:val="0"/>
          <w:numId w:val="149"/>
        </w:numPr>
        <w:rPr>
          <w:rFonts w:ascii="Arial" w:cs="Arial" w:eastAsia="Arial" w:hAnsi="Arial"/>
          <w:sz w:val="16"/>
          <w:szCs w:val="16"/>
          <w:color w:val="010000"/>
        </w:rPr>
      </w:pPr>
      <w:r>
        <w:rPr>
          <w:rFonts w:ascii="Arial" w:cs="Arial" w:eastAsia="Arial" w:hAnsi="Arial"/>
          <w:sz w:val="16"/>
          <w:szCs w:val="16"/>
          <w:u w:val="single" w:color="auto"/>
          <w:color w:val="010000"/>
        </w:rPr>
        <w:t>Electronic Communications</w:t>
      </w:r>
      <w:r>
        <w:rPr>
          <w:rFonts w:ascii="Arial" w:cs="Arial" w:eastAsia="Arial" w:hAnsi="Arial"/>
          <w:sz w:val="16"/>
          <w:szCs w:val="16"/>
          <w:color w:val="010000"/>
        </w:rPr>
        <w:t xml:space="preserve">. 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5" w:name="page136"/>
    <w:bookmarkEnd w:id="135"/>
    <w:p>
      <w:pPr>
        <w:ind w:right="40" w:firstLine="1041"/>
        <w:spacing w:after="0" w:line="265" w:lineRule="auto"/>
        <w:tabs>
          <w:tab w:leader="none" w:pos="1286" w:val="left"/>
        </w:tabs>
        <w:numPr>
          <w:ilvl w:val="0"/>
          <w:numId w:val="150"/>
        </w:numPr>
        <w:rPr>
          <w:rFonts w:ascii="Arial" w:cs="Arial" w:eastAsia="Arial" w:hAnsi="Arial"/>
          <w:sz w:val="17"/>
          <w:szCs w:val="17"/>
          <w:color w:val="010000"/>
        </w:rPr>
      </w:pPr>
      <w:r>
        <w:rPr>
          <w:rFonts w:ascii="Arial" w:cs="Arial" w:eastAsia="Arial" w:hAnsi="Arial"/>
          <w:sz w:val="17"/>
          <w:szCs w:val="17"/>
          <w:u w:val="single" w:color="auto"/>
          <w:color w:val="010000"/>
        </w:rPr>
        <w:t>The Platform</w:t>
      </w:r>
      <w:r>
        <w:rPr>
          <w:rFonts w:ascii="Arial" w:cs="Arial" w:eastAsia="Arial" w:hAnsi="Arial"/>
          <w:sz w:val="17"/>
          <w:szCs w:val="17"/>
          <w:color w:val="010000"/>
        </w:rPr>
        <w:t>. THE PLATFORM IS PROVIDED “AS IS” AND “AS AVAILABLE.” THE AGENT PARTIES (AS DEFINED BELOW) DO NOT WARRANT THE ACCURACY OR COMPLETENESS OF THE LOAN PARTY MATERIALS OR THE ADEQUACY OF THE PLATFORM, AND EXPRESSLY DISCLAIM LIABILITY FOR ERRORS IN OR OMISSIONS FROM THE LOAN PARTY MATERIALS. NO WARRANTY OF ANY KIND, EXPRESS, IMPLIED OR STATUTORY, INCLUDING ANY WARRANTY OF MERCHANTABILITY, FITNESS FOR A PARTICULAR PURPOSE, NON-INFRINGEMENT OF THIRD PARTY RIGHTS OR FREEDOM FROM VIRUSES OR OTHER CODE DEFECTS, IS MADE BY ANY AGENT PARTY IN CONNECTION WITH THE LOAN PARTY MATERIALS OR THE PLATFORM. In no event shall the Agent, any Arranger or any of their respective Related Parties (collectively, the “</w:t>
      </w:r>
      <w:r>
        <w:rPr>
          <w:rFonts w:ascii="Arial" w:cs="Arial" w:eastAsia="Arial" w:hAnsi="Arial"/>
          <w:sz w:val="17"/>
          <w:szCs w:val="17"/>
          <w:u w:val="single" w:color="auto"/>
          <w:color w:val="010000"/>
        </w:rPr>
        <w:t>Agent Parties</w:t>
      </w:r>
      <w:r>
        <w:rPr>
          <w:rFonts w:ascii="Arial" w:cs="Arial" w:eastAsia="Arial" w:hAnsi="Arial"/>
          <w:sz w:val="17"/>
          <w:szCs w:val="17"/>
          <w:color w:val="010000"/>
        </w:rPr>
        <w:t xml:space="preserve">”) have any liability to the Borrower, any Lender, any Issuing Bank or any other Person for losses, claims, damages, liabilities or expenses of any kind (whether in tort, contract or otherwise) arising out of the Borrower’s or the Agent’s or the Arrangers’ transmission of Loan Party Materials through the Internet, except to the extent that such losses, claims, damages, liabilities or expenses are determined by a court of competent jurisdiction by a final and nonappealable judgment to have resulted from the bad faith, gross negligence or willful misconduct of such Agent Party;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that in no event shall any Agent Party have any liability to the Borrower, any Lender, any Issuing Bank or any other Person for indirect, special, incidental, consequential or punitive damages (as opposed to direct or actual damages).</w:t>
      </w:r>
    </w:p>
    <w:p>
      <w:pPr>
        <w:spacing w:after="0" w:line="76" w:lineRule="exact"/>
        <w:rPr>
          <w:rFonts w:ascii="Arial" w:cs="Arial" w:eastAsia="Arial" w:hAnsi="Arial"/>
          <w:sz w:val="17"/>
          <w:szCs w:val="17"/>
          <w:color w:val="010000"/>
        </w:rPr>
      </w:pPr>
    </w:p>
    <w:p>
      <w:pPr>
        <w:ind w:firstLine="1041"/>
        <w:spacing w:after="0" w:line="265" w:lineRule="auto"/>
        <w:tabs>
          <w:tab w:leader="none" w:pos="1276" w:val="left"/>
        </w:tabs>
        <w:numPr>
          <w:ilvl w:val="0"/>
          <w:numId w:val="150"/>
        </w:numPr>
        <w:rPr>
          <w:rFonts w:ascii="Arial" w:cs="Arial" w:eastAsia="Arial" w:hAnsi="Arial"/>
          <w:sz w:val="17"/>
          <w:szCs w:val="17"/>
          <w:color w:val="010000"/>
        </w:rPr>
      </w:pPr>
      <w:r>
        <w:rPr>
          <w:rFonts w:ascii="Arial" w:cs="Arial" w:eastAsia="Arial" w:hAnsi="Arial"/>
          <w:sz w:val="17"/>
          <w:szCs w:val="17"/>
          <w:u w:val="single" w:color="auto"/>
          <w:color w:val="010000"/>
        </w:rPr>
        <w:t>Change of Address, Etc</w:t>
      </w:r>
      <w:r>
        <w:rPr>
          <w:rFonts w:ascii="Arial" w:cs="Arial" w:eastAsia="Arial" w:hAnsi="Arial"/>
          <w:sz w:val="17"/>
          <w:szCs w:val="17"/>
          <w:color w:val="010000"/>
        </w:rPr>
        <w:t>. Each of the Borrower, the Agent and each Issuing Bank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and the Agent. In addition, each Lender agrees to notify the Agent from time to time to ensure that the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Loan Party Materials that are not made available through the “Public Side Information” portion of the Platform and that may contain material non-public information with respect to the Borrower or their securities for purposes of United States Federal or state securities laws.</w:t>
      </w:r>
    </w:p>
    <w:p>
      <w:pPr>
        <w:spacing w:after="0" w:line="81" w:lineRule="exact"/>
        <w:rPr>
          <w:rFonts w:ascii="Arial" w:cs="Arial" w:eastAsia="Arial" w:hAnsi="Arial"/>
          <w:sz w:val="17"/>
          <w:szCs w:val="17"/>
          <w:color w:val="010000"/>
        </w:rPr>
      </w:pPr>
    </w:p>
    <w:p>
      <w:pPr>
        <w:ind w:right="140" w:firstLine="1041"/>
        <w:spacing w:after="0" w:line="250" w:lineRule="auto"/>
        <w:tabs>
          <w:tab w:leader="none" w:pos="1256" w:val="left"/>
        </w:tabs>
        <w:numPr>
          <w:ilvl w:val="0"/>
          <w:numId w:val="150"/>
        </w:numPr>
        <w:rPr>
          <w:rFonts w:ascii="Arial" w:cs="Arial" w:eastAsia="Arial" w:hAnsi="Arial"/>
          <w:sz w:val="18"/>
          <w:szCs w:val="18"/>
          <w:color w:val="010000"/>
        </w:rPr>
      </w:pPr>
      <w:r>
        <w:rPr>
          <w:rFonts w:ascii="Arial" w:cs="Arial" w:eastAsia="Arial" w:hAnsi="Arial"/>
          <w:sz w:val="18"/>
          <w:szCs w:val="18"/>
          <w:u w:val="single" w:color="auto"/>
          <w:color w:val="010000"/>
        </w:rPr>
        <w:t>Reliance by Agent, Issuing Banks and Lenders</w:t>
      </w:r>
      <w:r>
        <w:rPr>
          <w:rFonts w:ascii="Arial" w:cs="Arial" w:eastAsia="Arial" w:hAnsi="Arial"/>
          <w:sz w:val="18"/>
          <w:szCs w:val="18"/>
          <w:color w:val="010000"/>
        </w:rPr>
        <w:t>. The Agent, the Issuing Banks and the Lenders shall be entitled to rely and act upon any notices (including telephonic Notices of Borrowing)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Agent, each Issuing Bank, each Lender and the Related Parties of each of them from all losses, costs, expenses and liabilities resulting from the reliance by such Person on each notice purportedly given by or on behalf of Borrower. All telephonic notices to and other telephonic communications with the Agent may be recorded by the Agent, and each of the parties hereto hereby consents to such recording.</w:t>
      </w:r>
    </w:p>
    <w:p>
      <w:pPr>
        <w:spacing w:after="0" w:line="19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010000"/>
        </w:rPr>
        <w:t xml:space="preserve">SECTION 9.03. No </w:t>
      </w:r>
      <w:r>
        <w:rPr>
          <w:rFonts w:ascii="Arial" w:cs="Arial" w:eastAsia="Arial" w:hAnsi="Arial"/>
          <w:sz w:val="17"/>
          <w:szCs w:val="17"/>
          <w:u w:val="single" w:color="auto"/>
          <w:color w:val="010000"/>
        </w:rPr>
        <w:t>Waiver; Remedies</w:t>
      </w:r>
      <w:r>
        <w:rPr>
          <w:rFonts w:ascii="Arial" w:cs="Arial" w:eastAsia="Arial" w:hAnsi="Arial"/>
          <w:sz w:val="17"/>
          <w:szCs w:val="17"/>
          <w:color w:val="010000"/>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 in accordance with Section 6.01 for the benefit of all the Lenders and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Agent from exercising on its own behalf the rights and remedies that inure to its benefit (solely in its capacity as Agent) hereunder and under the other Loan Documents, (b) each Issuing Bank from exercising the rights and remedies that inure to its benefit (solely in its capacity as an Issuing Bank, as the case may be) hereunder and under the other Loan Documents, (c) any Lender from exercising setoff rights in accordance with Section 9.06 (subject to the terms of Section 2.15), or (d) any Lender from filing proofs of claim or appearing and filing pleadings on its own behalf during the pendency of a proceeding relative to any Loan Party under any Bankruptcy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is no Person acting as Agent hereunder and under the other Loan Documents, then (i) the Required Lenders shall have the rights otherwise ascribed to the Agent pursuant to Article VI and (ii) in addition to the matters set forth in clauses (b), (c) and (d) of the preceding proviso and subject to Section 2.15, any Lender may, with the consent of the Required Lenders, enforce any rights and remedies available to it and as authorized by the Required Lenders.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6" w:name="page137"/>
    <w:bookmarkEnd w:id="136"/>
    <w:p>
      <w:pPr>
        <w:ind w:left="500"/>
        <w:spacing w:after="0"/>
        <w:rPr>
          <w:sz w:val="20"/>
          <w:szCs w:val="20"/>
          <w:color w:val="auto"/>
        </w:rPr>
      </w:pPr>
      <w:r>
        <w:rPr>
          <w:rFonts w:ascii="Arial" w:cs="Arial" w:eastAsia="Arial" w:hAnsi="Arial"/>
          <w:sz w:val="18"/>
          <w:szCs w:val="18"/>
          <w:color w:val="010000"/>
        </w:rPr>
        <w:t xml:space="preserve">SECTION 9.04. </w:t>
      </w:r>
      <w:r>
        <w:rPr>
          <w:rFonts w:ascii="Arial" w:cs="Arial" w:eastAsia="Arial" w:hAnsi="Arial"/>
          <w:sz w:val="18"/>
          <w:szCs w:val="18"/>
          <w:u w:val="single" w:color="auto"/>
          <w:color w:val="010000"/>
        </w:rPr>
        <w:t>Costs and Expenses</w:t>
      </w:r>
      <w:r>
        <w:rPr>
          <w:rFonts w:ascii="Arial" w:cs="Arial" w:eastAsia="Arial" w:hAnsi="Arial"/>
          <w:sz w:val="18"/>
          <w:szCs w:val="18"/>
          <w:color w:val="010000"/>
        </w:rPr>
        <w:t>.</w:t>
      </w:r>
    </w:p>
    <w:p>
      <w:pPr>
        <w:spacing w:after="0" w:line="113" w:lineRule="exact"/>
        <w:rPr>
          <w:sz w:val="20"/>
          <w:szCs w:val="20"/>
          <w:color w:val="auto"/>
        </w:rPr>
      </w:pPr>
    </w:p>
    <w:p>
      <w:pPr>
        <w:ind w:left="-20" w:firstLine="1041"/>
        <w:spacing w:after="0" w:line="281" w:lineRule="auto"/>
        <w:tabs>
          <w:tab w:leader="none" w:pos="1256" w:val="left"/>
        </w:tabs>
        <w:numPr>
          <w:ilvl w:val="0"/>
          <w:numId w:val="151"/>
        </w:numPr>
        <w:rPr>
          <w:rFonts w:ascii="Arial" w:cs="Arial" w:eastAsia="Arial" w:hAnsi="Arial"/>
          <w:sz w:val="16"/>
          <w:szCs w:val="16"/>
          <w:color w:val="010000"/>
        </w:rPr>
      </w:pPr>
      <w:r>
        <w:rPr>
          <w:rFonts w:ascii="Arial" w:cs="Arial" w:eastAsia="Arial" w:hAnsi="Arial"/>
          <w:sz w:val="16"/>
          <w:szCs w:val="16"/>
          <w:color w:val="010000"/>
        </w:rPr>
        <w:t xml:space="preserve">The Company agrees to pay on demand all reasonable out of pocket costs and expenses of the Agent, and each Issuing Bank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computer, duplication, appraisal, consultant, and audit expenses, (B) the reasonable fees and expenses of counsel for the Agent, and each Issuing Bank with respect thereto, (C) fees and expenses incurred in connection with the creation, perfection or protection of the liens under the Loan Documents (including all reasonable search, filing and recording fees) and (D) costs associated with insurance reviews, Collateral audits, field exams, collateral valuations and collateral reviews to the extent provided herein,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the Company shall not be required to pay fees or expenses of more than one counsel in any jurisdiction where the Collateral is located, with respect to advising such Agent, and each Issuing Bank as to its rights and responsibilities, or the perfection, protection or preservation of rights or interests, under the Loan Documents, with respect to negotiations with any Loan Party or with other creditors of any Loan Party or any of its Subsidiaries arising out of any Default or any events or circumstances that may give rise to a Default and with respect to presenting claims in or otherwise participating in or monitoring any bankruptcy, insolvency or other similar proceeding involving creditors’ rights generally and any proceeding ancillary thereto. The Company further agrees to pay on demand all costs and expenses of the Agent, each Issuing Bank and each Lender, if any (including, without limitation, reasonable counsel fees and expenses), in connection with the enforcement (whether through negotiations, legal proceedings or otherwise) of the Loan Documents, whether in any action, suit or litigation, or any bankruptcy, insolvency or other similar proceeding affecting creditors’ rights generally, including, without limitation, reasonable fees and expenses of counsel for the Agent, each Issuing Bank and each Lender in connection with the enforcement of rights under this Agreement and the other Loan Documents.</w:t>
      </w:r>
    </w:p>
    <w:p>
      <w:pPr>
        <w:spacing w:after="0" w:line="73" w:lineRule="exact"/>
        <w:rPr>
          <w:rFonts w:ascii="Arial" w:cs="Arial" w:eastAsia="Arial" w:hAnsi="Arial"/>
          <w:sz w:val="16"/>
          <w:szCs w:val="16"/>
          <w:color w:val="010000"/>
        </w:rPr>
      </w:pPr>
    </w:p>
    <w:p>
      <w:pPr>
        <w:ind w:left="-20" w:firstLine="1041"/>
        <w:spacing w:after="0" w:line="282" w:lineRule="auto"/>
        <w:tabs>
          <w:tab w:leader="none" w:pos="1266" w:val="left"/>
        </w:tabs>
        <w:numPr>
          <w:ilvl w:val="0"/>
          <w:numId w:val="151"/>
        </w:numPr>
        <w:rPr>
          <w:rFonts w:ascii="Arial" w:cs="Arial" w:eastAsia="Arial" w:hAnsi="Arial"/>
          <w:sz w:val="16"/>
          <w:szCs w:val="16"/>
          <w:color w:val="010000"/>
        </w:rPr>
      </w:pPr>
      <w:r>
        <w:rPr>
          <w:rFonts w:ascii="Arial" w:cs="Arial" w:eastAsia="Arial" w:hAnsi="Arial"/>
          <w:sz w:val="16"/>
          <w:szCs w:val="16"/>
          <w:color w:val="010000"/>
        </w:rPr>
        <w:t>The Company agrees to indemnify and hold harmless the Agent, each Arranger, each Issuing Bank and each Lender and each of their Related Parties (each, an “</w:t>
      </w:r>
      <w:r>
        <w:rPr>
          <w:rFonts w:ascii="Arial" w:cs="Arial" w:eastAsia="Arial" w:hAnsi="Arial"/>
          <w:sz w:val="16"/>
          <w:szCs w:val="16"/>
          <w:u w:val="single" w:color="auto"/>
          <w:color w:val="010000"/>
        </w:rPr>
        <w:t>Indemnified Party</w:t>
      </w:r>
      <w:r>
        <w:rPr>
          <w:rFonts w:ascii="Arial" w:cs="Arial" w:eastAsia="Arial" w:hAnsi="Arial"/>
          <w:sz w:val="16"/>
          <w:szCs w:val="16"/>
          <w:color w:val="010000"/>
        </w:rPr>
        <w:t>”) from and against any and all claims, damages, losses, liabilities and expenses (including, without limitation, reasonable fees and expenses of outside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(i) the Notes, this Agreement, any of the transactions contemplated herein or the actual or proposed use of the proceeds of the Revolving Loans or Letters of Credit (which, for the avoidance of doubt, does not include any Taxes or Other Taxes which shall be governed by Section 2.14) or (ii) the actual or alleged presence of Hazardous Materials on any property of the Company or any of its Subsidiaries or any Environmental Action relating in any way to the Company or any of its Subsidiaries, except to the extent such claim, damage, loss, liability or expense resulted from such Indemnified Party’s gross negligence or willful misconduct as found in a non-appealable judgment by a court of competent jurisdiction. In the case of an investigation, litigation or other proceeding to which the indemnity in this Section 9.04(b) applies, such indemnity shall be effective whether or not such investigation, litigation or proceeding is brought by any Loan Party, its directors, equityholders or creditors or an Indemnified Party or any other Person, whether or not any Indemnified Party is otherwise a party thereto and whether or not the transactions contemplated hereby are consummated. The Company and each Indemnified Party agrees not to assert any claim for special, indirect, consequential or punitive damages against the Company, the Agent, any Lender,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Revolving Loans.</w:t>
      </w:r>
    </w:p>
    <w:p>
      <w:pPr>
        <w:spacing w:after="0" w:line="64" w:lineRule="exact"/>
        <w:rPr>
          <w:rFonts w:ascii="Arial" w:cs="Arial" w:eastAsia="Arial" w:hAnsi="Arial"/>
          <w:sz w:val="16"/>
          <w:szCs w:val="16"/>
          <w:color w:val="010000"/>
        </w:rPr>
      </w:pPr>
    </w:p>
    <w:p>
      <w:pPr>
        <w:ind w:left="-20" w:firstLine="1041"/>
        <w:spacing w:after="0" w:line="285" w:lineRule="auto"/>
        <w:tabs>
          <w:tab w:leader="none" w:pos="1256" w:val="left"/>
        </w:tabs>
        <w:numPr>
          <w:ilvl w:val="0"/>
          <w:numId w:val="151"/>
        </w:numPr>
        <w:rPr>
          <w:rFonts w:ascii="Arial" w:cs="Arial" w:eastAsia="Arial" w:hAnsi="Arial"/>
          <w:sz w:val="16"/>
          <w:szCs w:val="16"/>
          <w:color w:val="010000"/>
        </w:rPr>
      </w:pPr>
      <w:r>
        <w:rPr>
          <w:rFonts w:ascii="Arial" w:cs="Arial" w:eastAsia="Arial" w:hAnsi="Arial"/>
          <w:sz w:val="16"/>
          <w:szCs w:val="16"/>
          <w:color w:val="010000"/>
        </w:rPr>
        <w:t>If any payment of principal of, or Conversion of, any Eurodollar Rate Revolving Loan is made by Borrower to or for the account of a Lender other than on the last day of the Interest Period for such Revolving Loan, as a result of a payment or Conversion pursuant to Section 2.08(d) or (e), 2.10 or 2.12, acceleration of the maturity of the Notes pursuant to Section 6.01 or for any other reason, or by an Eligible Assignee to a Lender other than on the last day of the Interest Period for such Revolving Loan upon an assignment of rights and obligations under this Agreement pursuant to Section 9.08 as a result of a demand by the Company pursuant to Section 9.08(a),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Revolving Loan.</w:t>
      </w:r>
    </w:p>
    <w:p>
      <w:pPr>
        <w:spacing w:after="0" w:line="65" w:lineRule="exact"/>
        <w:rPr>
          <w:rFonts w:ascii="Arial" w:cs="Arial" w:eastAsia="Arial" w:hAnsi="Arial"/>
          <w:sz w:val="16"/>
          <w:szCs w:val="16"/>
          <w:color w:val="010000"/>
        </w:rPr>
      </w:pPr>
    </w:p>
    <w:p>
      <w:pPr>
        <w:ind w:left="-20" w:firstLine="1041"/>
        <w:spacing w:after="0" w:line="257" w:lineRule="auto"/>
        <w:tabs>
          <w:tab w:leader="none" w:pos="1266" w:val="left"/>
        </w:tabs>
        <w:numPr>
          <w:ilvl w:val="0"/>
          <w:numId w:val="151"/>
        </w:numPr>
        <w:rPr>
          <w:rFonts w:ascii="Arial" w:cs="Arial" w:eastAsia="Arial" w:hAnsi="Arial"/>
          <w:sz w:val="18"/>
          <w:szCs w:val="18"/>
          <w:color w:val="010000"/>
        </w:rPr>
      </w:pPr>
      <w:r>
        <w:rPr>
          <w:rFonts w:ascii="Arial" w:cs="Arial" w:eastAsia="Arial" w:hAnsi="Arial"/>
          <w:sz w:val="18"/>
          <w:szCs w:val="18"/>
          <w:color w:val="010000"/>
        </w:rPr>
        <w:t>Without prejudice to the survival of any other agreement of any Loan Party hereunder or under any other Loan Document, the agreements and obligations of the Borrower contained in Sections 2.11, 2.14 and 9.04 shall survive the payment in full of principal, interest and all other amounts payable hereunder and under the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66675</wp:posOffset>
            </wp:positionV>
            <wp:extent cx="729043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60" w:top="554" w:right="259" w:bottom="1440" w:gutter="0" w:footer="0" w:header="0"/>
        </w:sectPr>
      </w:pPr>
    </w:p>
    <w:bookmarkStart w:id="137" w:name="page138"/>
    <w:bookmarkEnd w:id="137"/>
    <w:p>
      <w:pPr>
        <w:ind w:right="80" w:firstLine="1041"/>
        <w:spacing w:after="0" w:line="252" w:lineRule="auto"/>
        <w:tabs>
          <w:tab w:leader="none" w:pos="1276" w:val="left"/>
        </w:tabs>
        <w:numPr>
          <w:ilvl w:val="0"/>
          <w:numId w:val="152"/>
        </w:numPr>
        <w:rPr>
          <w:rFonts w:ascii="Arial" w:cs="Arial" w:eastAsia="Arial" w:hAnsi="Arial"/>
          <w:sz w:val="18"/>
          <w:szCs w:val="18"/>
          <w:color w:val="010000"/>
        </w:rPr>
      </w:pPr>
      <w:r>
        <w:rPr>
          <w:rFonts w:ascii="Arial" w:cs="Arial" w:eastAsia="Arial" w:hAnsi="Arial"/>
          <w:sz w:val="18"/>
          <w:szCs w:val="18"/>
          <w:color w:val="010000"/>
        </w:rPr>
        <w:t>No Indemnified Party referred to in subsection (b) above shall be liable for any damages arising from the use by unintended recipients of any information or other materials distributed to such unintended recipients by such Indemnified Party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Indemnified Party as determined by a final and nonappealable judgment of a court of competent jurisdiction.</w:t>
      </w:r>
    </w:p>
    <w:p>
      <w:pPr>
        <w:spacing w:after="0" w:line="86" w:lineRule="exact"/>
        <w:rPr>
          <w:rFonts w:ascii="Arial" w:cs="Arial" w:eastAsia="Arial" w:hAnsi="Arial"/>
          <w:sz w:val="18"/>
          <w:szCs w:val="18"/>
          <w:color w:val="010000"/>
        </w:rPr>
      </w:pPr>
    </w:p>
    <w:p>
      <w:pPr>
        <w:ind w:left="1260" w:hanging="219"/>
        <w:spacing w:after="0"/>
        <w:tabs>
          <w:tab w:leader="none" w:pos="1260" w:val="left"/>
        </w:tabs>
        <w:numPr>
          <w:ilvl w:val="0"/>
          <w:numId w:val="152"/>
        </w:numPr>
        <w:rPr>
          <w:rFonts w:ascii="Arial" w:cs="Arial" w:eastAsia="Arial" w:hAnsi="Arial"/>
          <w:sz w:val="18"/>
          <w:szCs w:val="18"/>
          <w:color w:val="010000"/>
        </w:rPr>
      </w:pPr>
      <w:r>
        <w:rPr>
          <w:rFonts w:ascii="Arial" w:cs="Arial" w:eastAsia="Arial" w:hAnsi="Arial"/>
          <w:sz w:val="18"/>
          <w:szCs w:val="18"/>
          <w:color w:val="010000"/>
        </w:rPr>
        <w:t>All amounts due under this Section shall be payable not later than ten Business Days after demand therefor.</w:t>
      </w:r>
    </w:p>
    <w:p>
      <w:pPr>
        <w:spacing w:after="0" w:line="113" w:lineRule="exact"/>
        <w:rPr>
          <w:rFonts w:ascii="Arial" w:cs="Arial" w:eastAsia="Arial" w:hAnsi="Arial"/>
          <w:sz w:val="18"/>
          <w:szCs w:val="18"/>
          <w:color w:val="010000"/>
        </w:rPr>
      </w:pPr>
    </w:p>
    <w:p>
      <w:pPr>
        <w:ind w:right="780" w:firstLine="1041"/>
        <w:spacing w:after="0" w:line="267" w:lineRule="auto"/>
        <w:tabs>
          <w:tab w:leader="none" w:pos="1286" w:val="left"/>
        </w:tabs>
        <w:numPr>
          <w:ilvl w:val="0"/>
          <w:numId w:val="152"/>
        </w:numPr>
        <w:rPr>
          <w:rFonts w:ascii="Arial" w:cs="Arial" w:eastAsia="Arial" w:hAnsi="Arial"/>
          <w:sz w:val="18"/>
          <w:szCs w:val="18"/>
          <w:color w:val="010000"/>
        </w:rPr>
      </w:pPr>
      <w:r>
        <w:rPr>
          <w:rFonts w:ascii="Arial" w:cs="Arial" w:eastAsia="Arial" w:hAnsi="Arial"/>
          <w:sz w:val="18"/>
          <w:szCs w:val="18"/>
          <w:color w:val="010000"/>
        </w:rPr>
        <w:t>The agreements in this Section shall survive the resignation of the Agent, and any Issuing Bank, the replacement of any Lender, the termination of the aggregate Commitments and the repayment, satisfaction or discharge of all the other Obligations.</w:t>
      </w:r>
    </w:p>
    <w:p>
      <w:pPr>
        <w:spacing w:after="0" w:line="180"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010000"/>
        </w:rPr>
        <w:t xml:space="preserve">SECTION 9.05. </w:t>
      </w:r>
      <w:r>
        <w:rPr>
          <w:rFonts w:ascii="Arial" w:cs="Arial" w:eastAsia="Arial" w:hAnsi="Arial"/>
          <w:sz w:val="16"/>
          <w:szCs w:val="16"/>
          <w:u w:val="single" w:color="auto"/>
          <w:color w:val="010000"/>
        </w:rPr>
        <w:t>Payments Set Aside</w:t>
      </w:r>
      <w:r>
        <w:rPr>
          <w:rFonts w:ascii="Arial" w:cs="Arial" w:eastAsia="Arial" w:hAnsi="Arial"/>
          <w:sz w:val="16"/>
          <w:szCs w:val="16"/>
          <w:color w:val="010000"/>
        </w:rPr>
        <w:t>. To the extent that any payment by or on behalf of Borrower is made to the Agent, any Issuing Bank or any Lender, or the Agent, any Issuing Bank or any Lender exercises its right of setoff, and such payment or the proceeds of such setoff or any part thereof is subsequently invalidated, declared to be fraudulent or preferential, set aside or required (including pursuant to any settlement entered into by the Agent, such Issuing Bank or such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Agent upon demand its applicable share (without duplication) of any amount so recovered from or repaid by the Agent, plus interest thereon from the date of such demand to the date such payment is made at a rate per annum equal to the Federal Funds Rate from time to time in effect. The obligations of the Lenders and the Issuing Banks under clause (b) of the preceding sentence shall survive the payment in full of the Obligations and the termination of this Agreement.</w:t>
      </w:r>
    </w:p>
    <w:p>
      <w:pPr>
        <w:spacing w:after="0" w:line="174" w:lineRule="exact"/>
        <w:rPr>
          <w:sz w:val="20"/>
          <w:szCs w:val="20"/>
          <w:color w:val="auto"/>
        </w:rPr>
      </w:pPr>
    </w:p>
    <w:p>
      <w:pPr>
        <w:ind w:right="180" w:firstLine="518"/>
        <w:spacing w:after="0" w:line="285" w:lineRule="auto"/>
        <w:rPr>
          <w:sz w:val="20"/>
          <w:szCs w:val="20"/>
          <w:color w:val="auto"/>
        </w:rPr>
      </w:pPr>
      <w:r>
        <w:rPr>
          <w:rFonts w:ascii="Arial" w:cs="Arial" w:eastAsia="Arial" w:hAnsi="Arial"/>
          <w:sz w:val="16"/>
          <w:szCs w:val="16"/>
          <w:color w:val="010000"/>
        </w:rPr>
        <w:t xml:space="preserve">SECTION 9.06. </w:t>
      </w:r>
      <w:r>
        <w:rPr>
          <w:rFonts w:ascii="Arial" w:cs="Arial" w:eastAsia="Arial" w:hAnsi="Arial"/>
          <w:sz w:val="16"/>
          <w:szCs w:val="16"/>
          <w:u w:val="single" w:color="auto"/>
          <w:color w:val="010000"/>
        </w:rPr>
        <w:t>Right of Set-off</w:t>
      </w:r>
      <w:r>
        <w:rPr>
          <w:rFonts w:ascii="Arial" w:cs="Arial" w:eastAsia="Arial" w:hAnsi="Arial"/>
          <w:sz w:val="16"/>
          <w:szCs w:val="16"/>
          <w:color w:val="010000"/>
        </w:rPr>
        <w:t>. Upon (i) the occurrence and during the continuance of any Event of Default and (ii) the making of the request or the granting of the consent specified by Section 6.01 to authorize the Agent to declare the Revolving Loans due and payable pursuant to the provisions of Section</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010000"/>
        </w:rPr>
        <w:t xml:space="preserve">6.01, the Agent, each Issuing Bank, and each Lender and each of their respective Affiliates is hereby authorized at any time and from time to time, to the fullest extent permitted by law, to set off and apply any and all deposits (general or special, time or demand, provisional or final) at any time held and other indebtedness at any time owing by the Agent, such Issuing Bank, or such Lender or such Affiliate to or for the credit or the account of Borrower against any and all of the obligations of Borrower now or hereafter existing under this Agreement and any Note held by the Agent, such Issuing Bank, or such Lender, whether or not such Lender shall have made any demand under this Agreement or such Note and although such obligations may be unmatured,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xml:space="preserve">, that no such right shall exist against any deposit designated as being for the benefit of any Governmental Authority,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further</w:t>
      </w:r>
      <w:r>
        <w:rPr>
          <w:rFonts w:ascii="Arial" w:cs="Arial" w:eastAsia="Arial" w:hAnsi="Arial"/>
          <w:sz w:val="16"/>
          <w:szCs w:val="16"/>
          <w:color w:val="010000"/>
        </w:rPr>
        <w:t xml:space="preserve">, that in the event that any Defaulting Lender shall exercise any such right of setoff, (x) all amounts so set off shall be paid over immediately to the Agent for further application in accordance with the provisions of Section 2.19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Each Lender agrees promptly to notify the Borrower after any such set-off and application,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the failure to give such notice shall not affect the validity of such set-off and application. The rights of each Lender, the Agent, each Issuing Bank, and each such Affiliate under this Section are in addition to other rights and remedies (including, without limitation, other rights of set-off) that the Agent, the Issuing Banks, the Lenders or such Affiliates may have.</w:t>
      </w:r>
    </w:p>
    <w:p>
      <w:pPr>
        <w:spacing w:after="0" w:line="176"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010000"/>
        </w:rPr>
        <w:t xml:space="preserve">SECTION 9.07. </w:t>
      </w:r>
      <w:r>
        <w:rPr>
          <w:rFonts w:ascii="Arial" w:cs="Arial" w:eastAsia="Arial" w:hAnsi="Arial"/>
          <w:sz w:val="18"/>
          <w:szCs w:val="18"/>
          <w:u w:val="single" w:color="auto"/>
          <w:color w:val="010000"/>
        </w:rPr>
        <w:t>Binding Effect</w:t>
      </w:r>
      <w:r>
        <w:rPr>
          <w:rFonts w:ascii="Arial" w:cs="Arial" w:eastAsia="Arial" w:hAnsi="Arial"/>
          <w:sz w:val="18"/>
          <w:szCs w:val="18"/>
          <w:color w:val="010000"/>
        </w:rPr>
        <w:t>. This Agreement shall become effective in accordance with Section 3.01 and thereafter shall be binding upon and inure to the benefit of the Borrower, the Agent, and each Lender and their respective successors and assigns, except that Borrower shall not have the right to assign its rights hereunder or any interest herein without the prior written consent of all of the Lenders.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9.08. </w:t>
      </w:r>
      <w:r>
        <w:rPr>
          <w:rFonts w:ascii="Arial" w:cs="Arial" w:eastAsia="Arial" w:hAnsi="Arial"/>
          <w:sz w:val="18"/>
          <w:szCs w:val="18"/>
          <w:u w:val="single" w:color="auto"/>
          <w:color w:val="010000"/>
        </w:rPr>
        <w:t>Assignments and Participations</w:t>
      </w:r>
      <w:r>
        <w:rPr>
          <w:rFonts w:ascii="Arial" w:cs="Arial" w:eastAsia="Arial" w:hAnsi="Arial"/>
          <w:sz w:val="18"/>
          <w:szCs w:val="18"/>
          <w:color w:val="010000"/>
        </w:rPr>
        <w:t>.</w:t>
      </w:r>
    </w:p>
    <w:p>
      <w:pPr>
        <w:spacing w:after="0" w:line="113" w:lineRule="exact"/>
        <w:rPr>
          <w:sz w:val="20"/>
          <w:szCs w:val="20"/>
          <w:color w:val="auto"/>
        </w:rPr>
      </w:pPr>
    </w:p>
    <w:p>
      <w:pPr>
        <w:ind w:right="20" w:firstLine="1041"/>
        <w:spacing w:after="0" w:line="266" w:lineRule="auto"/>
        <w:tabs>
          <w:tab w:leader="none" w:pos="1276" w:val="left"/>
        </w:tabs>
        <w:numPr>
          <w:ilvl w:val="0"/>
          <w:numId w:val="153"/>
        </w:numPr>
        <w:rPr>
          <w:rFonts w:ascii="Arial" w:cs="Arial" w:eastAsia="Arial" w:hAnsi="Arial"/>
          <w:sz w:val="17"/>
          <w:szCs w:val="17"/>
          <w:color w:val="010000"/>
        </w:rPr>
      </w:pPr>
      <w:r>
        <w:rPr>
          <w:rFonts w:ascii="Arial" w:cs="Arial" w:eastAsia="Arial" w:hAnsi="Arial"/>
          <w:sz w:val="17"/>
          <w:szCs w:val="17"/>
          <w:color w:val="010000"/>
        </w:rPr>
        <w:t xml:space="preserve">Each Lender may, with the consent of the Agent (not to be unreasonably withheld or delayed) in the case of an assignment to a Person who is not an Affiliate of such Lender and, if demanded by the Company so long as no Event of Default shall have occurred and be continuing and only with respect to any Affected Lender, upon at least five Business Days’ notice to such Lender and the Agent, shall, assign to one or more Eligible Assignees all or a portion of its rights and obligations under this Agreement (including, without limitation, all or a portion of its Commitment or Commitments, the Revolving Loans owing to it, its participations in Letters of Credit, if any, and the Note or Notes held by it);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that (i) each such assignment shall be of a constant, and not a varying, percentage of all rights and obligations under this Agreement with respect to one or more Facilities, (ii) except in the case of an assignment to a Lender, an Affiliate of a Lender or an Approved Fund with respect to a Lender, or an assignment of all of a Lender’s rights and obligations under this Agreement, the amount of (x) the Revolving Credit Commitment of the assigning Lender being assigned pursuant to each such assignment (determined as of the date of the Assignment and Acceptance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8" w:name="page139"/>
    <w:bookmarkEnd w:id="138"/>
    <w:p>
      <w:pPr>
        <w:spacing w:after="0" w:line="279" w:lineRule="auto"/>
        <w:rPr>
          <w:sz w:val="20"/>
          <w:szCs w:val="20"/>
          <w:color w:val="auto"/>
        </w:rPr>
      </w:pPr>
      <w:r>
        <w:rPr>
          <w:rFonts w:ascii="Arial" w:cs="Arial" w:eastAsia="Arial" w:hAnsi="Arial"/>
          <w:sz w:val="16"/>
          <w:szCs w:val="16"/>
          <w:color w:val="010000"/>
        </w:rPr>
        <w:t xml:space="preserve">with respect to such assignment) shall in no event be less than $10,000,000 or an integral multiple of $1,000,000 in excess thereof and (y) the Unissued Letter of Credit Commitment of the assigning Lender being assigned pursuant to each such assignment (determined as of the date of the Assignment and Acceptance with respect to such assignment) shall in no event be less than $1,000,000 or an integral multiple of $1,000,000 in excess thereof, in each case, unless the Company and the Agent otherwise agree, (iii) each such assignment shall be to an Eligible Assignee, (iv) each such assignment made as a result of a demand by the Company pursuant to this Section 9.08(a) shall be arranged by the Company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Company pursuant to this Section 9.08(a) unless and until such Lender shall have received one or more payments from either the Borrower or one or more Eligible Assignees in an aggregate amount at least equal to the aggregate outstanding principal amount of the Revolving Loans owing to such Lender, together with accrued interest thereon to the date of payment of such principal amount and all other amounts payable to such Lender under this Agreement, and (vi) the parties to each such assignment shall execute and deliver to the Agent, for its acceptance and recording in the Register, an Assignment and Acceptance (and the assignee, if it is not a Lender, shall deliver to the Agent an Administrative Questionnaire), together with any Note subject to such assignment and a processing and recordation fee of $3,500 payable by the parties to each such assignment;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(x) only one such fee shall be payable in connection with simultaneous assignments to or by two or more Approved Funds with respect to a Lender and (y) in the case of each assignment made as a result of a demand by the Company, such recordation fee shall be payable by the Company except that no such recordation fee shall be payable in the case of an assignment made at the request of the Company to an Eligible Assignee that is an existing Lender. Upon such execution, delivery, acceptance and recording, from and after the effective date specified in each Assignment and Acceptance,</w:t>
      </w:r>
    </w:p>
    <w:p>
      <w:pPr>
        <w:spacing w:after="0" w:line="2" w:lineRule="exact"/>
        <w:rPr>
          <w:sz w:val="20"/>
          <w:szCs w:val="20"/>
          <w:color w:val="auto"/>
        </w:rPr>
      </w:pPr>
    </w:p>
    <w:p>
      <w:pPr>
        <w:ind w:firstLine="7"/>
        <w:spacing w:after="0" w:line="248" w:lineRule="auto"/>
        <w:tabs>
          <w:tab w:leader="none" w:pos="252" w:val="left"/>
        </w:tabs>
        <w:numPr>
          <w:ilvl w:val="0"/>
          <w:numId w:val="154"/>
        </w:numPr>
        <w:rPr>
          <w:rFonts w:ascii="Arial" w:cs="Arial" w:eastAsia="Arial" w:hAnsi="Arial"/>
          <w:sz w:val="18"/>
          <w:szCs w:val="18"/>
          <w:color w:val="010000"/>
        </w:rPr>
      </w:pPr>
      <w:r>
        <w:rPr>
          <w:rFonts w:ascii="Arial" w:cs="Arial" w:eastAsia="Arial" w:hAnsi="Arial"/>
          <w:sz w:val="18"/>
          <w:szCs w:val="18"/>
          <w:color w:val="010000"/>
        </w:rPr>
        <w:t>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(other than its rights under Sections 2.11, 2.14 and 9.04 to the extent any claim thereunder relates to an event arising prior to such assignment) and be released from its obligations (other than its obligations under Section 9.06 to the extent any claim thereunder relates to an event arising prior to such assignment) under this Agreement (and, in the case of an Assignment and Acceptance covering all or the remaining portion of an assigning Lender’s rights and obligations under this Agreement, such Lender shall cease to be a party hereto).</w:t>
      </w:r>
    </w:p>
    <w:p>
      <w:pPr>
        <w:spacing w:after="0" w:line="91" w:lineRule="exact"/>
        <w:rPr>
          <w:rFonts w:ascii="Arial" w:cs="Arial" w:eastAsia="Arial" w:hAnsi="Arial"/>
          <w:sz w:val="18"/>
          <w:szCs w:val="18"/>
          <w:color w:val="010000"/>
        </w:rPr>
      </w:pPr>
    </w:p>
    <w:p>
      <w:pPr>
        <w:ind w:firstLine="1041"/>
        <w:spacing w:after="0" w:line="282" w:lineRule="auto"/>
        <w:tabs>
          <w:tab w:leader="none" w:pos="1286" w:val="left"/>
        </w:tabs>
        <w:numPr>
          <w:ilvl w:val="1"/>
          <w:numId w:val="154"/>
        </w:numPr>
        <w:rPr>
          <w:rFonts w:ascii="Arial" w:cs="Arial" w:eastAsia="Arial" w:hAnsi="Arial"/>
          <w:sz w:val="16"/>
          <w:szCs w:val="16"/>
          <w:color w:val="010000"/>
        </w:rPr>
      </w:pPr>
      <w:r>
        <w:rPr>
          <w:rFonts w:ascii="Arial" w:cs="Arial" w:eastAsia="Arial" w:hAnsi="Arial"/>
          <w:sz w:val="16"/>
          <w:szCs w:val="16"/>
          <w:color w:val="010000"/>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or the perfection or priority of any lien or security interest created or purported to be created under or in connection with, this Agreement or any other instrument or document furnished pursuant hereto; (ii) such assigning Lender makes no representation or warranty and assumes no responsibility with respect to the financial condition of any Loan Party or the performance or observance by any Loan Party of any of its obligations under any Loan Document or any other instrument or document furnished pursuant hereto; (iii) such assignee confirms that it has received a copy of this Agreement, together with copies of the financial statements referred to in Section 5.01(h)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and the other Loan Documents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64" w:lineRule="exact"/>
        <w:rPr>
          <w:rFonts w:ascii="Arial" w:cs="Arial" w:eastAsia="Arial" w:hAnsi="Arial"/>
          <w:sz w:val="16"/>
          <w:szCs w:val="16"/>
          <w:color w:val="010000"/>
        </w:rPr>
      </w:pPr>
    </w:p>
    <w:p>
      <w:pPr>
        <w:ind w:right="320" w:firstLine="1041"/>
        <w:spacing w:after="0" w:line="254" w:lineRule="auto"/>
        <w:tabs>
          <w:tab w:leader="none" w:pos="1276" w:val="left"/>
        </w:tabs>
        <w:numPr>
          <w:ilvl w:val="1"/>
          <w:numId w:val="154"/>
        </w:numPr>
        <w:rPr>
          <w:rFonts w:ascii="Arial" w:cs="Arial" w:eastAsia="Arial" w:hAnsi="Arial"/>
          <w:sz w:val="18"/>
          <w:szCs w:val="18"/>
          <w:color w:val="010000"/>
        </w:rPr>
      </w:pPr>
      <w:r>
        <w:rPr>
          <w:rFonts w:ascii="Arial" w:cs="Arial" w:eastAsia="Arial" w:hAnsi="Arial"/>
          <w:sz w:val="18"/>
          <w:szCs w:val="18"/>
          <w:color w:val="010000"/>
        </w:rPr>
        <w:t xml:space="preserve">Upon its receipt of an Assignment and Acceptance executed by an assigning Lender and an assignee representing that it is an Eligible Assignee, together with any Note or Notes subject to such assignment, the Agent shall, if such Assignment and Acceptance has been completed and is in substantially the form of </w:t>
      </w:r>
      <w:r>
        <w:rPr>
          <w:rFonts w:ascii="Arial" w:cs="Arial" w:eastAsia="Arial" w:hAnsi="Arial"/>
          <w:sz w:val="18"/>
          <w:szCs w:val="18"/>
          <w:u w:val="single" w:color="auto"/>
          <w:color w:val="010000"/>
        </w:rPr>
        <w:t>Exhibit C</w:t>
      </w:r>
      <w:r>
        <w:rPr>
          <w:rFonts w:ascii="Arial" w:cs="Arial" w:eastAsia="Arial" w:hAnsi="Arial"/>
          <w:sz w:val="18"/>
          <w:szCs w:val="18"/>
          <w:color w:val="010000"/>
        </w:rPr>
        <w:t xml:space="preserve"> hereto, (i) accept such Assignment and Acceptance, (ii) record the information contained therein in the Register and (iii) give prompt notice thereof to the Company</w:t>
      </w:r>
    </w:p>
    <w:p>
      <w:pPr>
        <w:spacing w:after="0" w:line="83" w:lineRule="exact"/>
        <w:rPr>
          <w:rFonts w:ascii="Arial" w:cs="Arial" w:eastAsia="Arial" w:hAnsi="Arial"/>
          <w:sz w:val="18"/>
          <w:szCs w:val="18"/>
          <w:color w:val="010000"/>
        </w:rPr>
      </w:pPr>
    </w:p>
    <w:p>
      <w:pPr>
        <w:ind w:right="40" w:firstLine="1041"/>
        <w:spacing w:after="0" w:line="287" w:lineRule="auto"/>
        <w:tabs>
          <w:tab w:leader="none" w:pos="1286" w:val="left"/>
        </w:tabs>
        <w:numPr>
          <w:ilvl w:val="1"/>
          <w:numId w:val="154"/>
        </w:numPr>
        <w:rPr>
          <w:rFonts w:ascii="Arial" w:cs="Arial" w:eastAsia="Arial" w:hAnsi="Arial"/>
          <w:sz w:val="16"/>
          <w:szCs w:val="16"/>
          <w:color w:val="010000"/>
        </w:rPr>
      </w:pPr>
      <w:r>
        <w:rPr>
          <w:rFonts w:ascii="Arial" w:cs="Arial" w:eastAsia="Arial" w:hAnsi="Arial"/>
          <w:sz w:val="16"/>
          <w:szCs w:val="16"/>
          <w:color w:val="010000"/>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pro rata share of Revolving Loans previously requested but not funded by the Defaulting Lender, to each of which the applicable assignee and assignor hereby irrevocably consent), to (x) pay and satisfy in full all payment liabilities then owed by such Defaulting Lender to the Agent or any Lender hereunder (and interest accrued thereon) and (y) acquire (and fund as appropriate) its full pro rata share of all Revolving Loans and participations in Letters of Credit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139" w:name="page140"/>
    <w:bookmarkEnd w:id="139"/>
    <w:p>
      <w:pPr>
        <w:ind w:right="380"/>
        <w:spacing w:after="0" w:line="257" w:lineRule="auto"/>
        <w:rPr>
          <w:sz w:val="20"/>
          <w:szCs w:val="20"/>
          <w:color w:val="auto"/>
        </w:rPr>
      </w:pPr>
      <w:r>
        <w:rPr>
          <w:rFonts w:ascii="Arial" w:cs="Arial" w:eastAsia="Arial" w:hAnsi="Arial"/>
          <w:sz w:val="18"/>
          <w:szCs w:val="18"/>
          <w:color w:val="010000"/>
        </w:rPr>
        <w:t>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82" w:lineRule="exact"/>
        <w:rPr>
          <w:sz w:val="20"/>
          <w:szCs w:val="20"/>
          <w:color w:val="auto"/>
        </w:rPr>
      </w:pPr>
    </w:p>
    <w:p>
      <w:pPr>
        <w:ind w:firstLine="1041"/>
        <w:spacing w:after="0" w:line="251" w:lineRule="auto"/>
        <w:tabs>
          <w:tab w:leader="none" w:pos="1276" w:val="left"/>
        </w:tabs>
        <w:numPr>
          <w:ilvl w:val="0"/>
          <w:numId w:val="155"/>
        </w:numPr>
        <w:rPr>
          <w:rFonts w:ascii="Arial" w:cs="Arial" w:eastAsia="Arial" w:hAnsi="Arial"/>
          <w:sz w:val="18"/>
          <w:szCs w:val="18"/>
          <w:color w:val="010000"/>
        </w:rPr>
      </w:pPr>
      <w:r>
        <w:rPr>
          <w:rFonts w:ascii="Arial" w:cs="Arial" w:eastAsia="Arial" w:hAnsi="Arial"/>
          <w:sz w:val="18"/>
          <w:szCs w:val="18"/>
          <w:color w:val="010000"/>
        </w:rPr>
        <w:t>The Agent shall maintain at its address referred to in Section 9.02 a copy of each Assumption Agreement and each Assignment and Acceptance delivered to and accepted by it and a register for the recordation of the names and addresses of the Lenders and the Commitment of, and principal amount of the Revolving Loans owing to, each Lender from time to time (the “</w:t>
      </w:r>
      <w:r>
        <w:rPr>
          <w:rFonts w:ascii="Arial" w:cs="Arial" w:eastAsia="Arial" w:hAnsi="Arial"/>
          <w:sz w:val="18"/>
          <w:szCs w:val="18"/>
          <w:u w:val="single" w:color="auto"/>
          <w:color w:val="010000"/>
        </w:rPr>
        <w:t>Register</w:t>
      </w:r>
      <w:r>
        <w:rPr>
          <w:rFonts w:ascii="Arial" w:cs="Arial" w:eastAsia="Arial" w:hAnsi="Arial"/>
          <w:sz w:val="18"/>
          <w:szCs w:val="18"/>
          <w:color w:val="010000"/>
        </w:rPr>
        <w:t>”).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Borrower or any Lender at any reasonable time and from time to time upon reasonable prior notice.</w:t>
      </w:r>
    </w:p>
    <w:p>
      <w:pPr>
        <w:spacing w:after="0" w:line="88" w:lineRule="exact"/>
        <w:rPr>
          <w:rFonts w:ascii="Arial" w:cs="Arial" w:eastAsia="Arial" w:hAnsi="Arial"/>
          <w:sz w:val="18"/>
          <w:szCs w:val="18"/>
          <w:color w:val="010000"/>
        </w:rPr>
      </w:pPr>
    </w:p>
    <w:p>
      <w:pPr>
        <w:ind w:firstLine="1041"/>
        <w:spacing w:after="0" w:line="283" w:lineRule="auto"/>
        <w:tabs>
          <w:tab w:leader="none" w:pos="1256" w:val="left"/>
        </w:tabs>
        <w:numPr>
          <w:ilvl w:val="0"/>
          <w:numId w:val="155"/>
        </w:numPr>
        <w:rPr>
          <w:rFonts w:ascii="Arial" w:cs="Arial" w:eastAsia="Arial" w:hAnsi="Arial"/>
          <w:sz w:val="16"/>
          <w:szCs w:val="16"/>
          <w:color w:val="010000"/>
        </w:rPr>
      </w:pPr>
      <w:r>
        <w:rPr>
          <w:rFonts w:ascii="Arial" w:cs="Arial" w:eastAsia="Arial" w:hAnsi="Arial"/>
          <w:sz w:val="16"/>
          <w:szCs w:val="16"/>
          <w:color w:val="010000"/>
        </w:rPr>
        <w:t xml:space="preserve">Each Lender may sell participations to one or more banks or other entities (other than the Company or any of its Affiliates) in or to all or a portion of its rights and obligations under this Agreement (including, without limitation, all or a portion of its Commitment, the Revolving Loans owing to it and any Note or Notes held by it);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xml:space="preserve">,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any Loan Document, or any consent to any departure by any Loan Party therefrom,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however</w:t>
      </w:r>
      <w:r>
        <w:rPr>
          <w:rFonts w:ascii="Arial" w:cs="Arial" w:eastAsia="Arial" w:hAnsi="Arial"/>
          <w:sz w:val="16"/>
          <w:szCs w:val="16"/>
          <w:color w:val="010000"/>
        </w:rPr>
        <w:t>, that any agreement between a Lender and such participant may provide that the Lender will not, without the consent of participant, agree to any such amendment, waiver or consent which would reduce the principal of, or interest on, the Revolving Loans or any fees or other amounts payable hereunder, in each case to the extent subject to such participation, or postpone any date fixed for any payment of principal of, or interest on, the Revolving Loans or any fees or other amounts payable hereunder, in each case to the extent subject to such participation.</w:t>
      </w:r>
    </w:p>
    <w:p>
      <w:pPr>
        <w:spacing w:after="0" w:line="67" w:lineRule="exact"/>
        <w:rPr>
          <w:rFonts w:ascii="Arial" w:cs="Arial" w:eastAsia="Arial" w:hAnsi="Arial"/>
          <w:sz w:val="16"/>
          <w:szCs w:val="16"/>
          <w:color w:val="010000"/>
        </w:rPr>
      </w:pPr>
    </w:p>
    <w:p>
      <w:pPr>
        <w:ind w:right="80" w:firstLine="1041"/>
        <w:spacing w:after="0" w:line="254" w:lineRule="auto"/>
        <w:tabs>
          <w:tab w:leader="none" w:pos="1286" w:val="left"/>
        </w:tabs>
        <w:numPr>
          <w:ilvl w:val="0"/>
          <w:numId w:val="155"/>
        </w:numPr>
        <w:rPr>
          <w:rFonts w:ascii="Arial" w:cs="Arial" w:eastAsia="Arial" w:hAnsi="Arial"/>
          <w:sz w:val="18"/>
          <w:szCs w:val="18"/>
          <w:color w:val="010000"/>
        </w:rPr>
      </w:pPr>
      <w:r>
        <w:rPr>
          <w:rFonts w:ascii="Arial" w:cs="Arial" w:eastAsia="Arial" w:hAnsi="Arial"/>
          <w:sz w:val="18"/>
          <w:szCs w:val="18"/>
          <w:color w:val="010000"/>
        </w:rPr>
        <w:t xml:space="preserve">Any Lender may, in connection with any assignment or participation or proposed assignment or participation pursuant to this Section 9.08, disclose to the assignee or participant or proposed assignee or participant, any information relating to the Borrower furnished to such Lender by or on behalf of the Borrower; </w:t>
      </w:r>
      <w:r>
        <w:rPr>
          <w:rFonts w:ascii="Arial" w:cs="Arial" w:eastAsia="Arial" w:hAnsi="Arial"/>
          <w:sz w:val="18"/>
          <w:szCs w:val="18"/>
          <w:u w:val="single" w:color="auto"/>
          <w:color w:val="010000"/>
        </w:rPr>
        <w:t>provided</w:t>
      </w:r>
      <w:r>
        <w:rPr>
          <w:rFonts w:ascii="Arial" w:cs="Arial" w:eastAsia="Arial" w:hAnsi="Arial"/>
          <w:sz w:val="18"/>
          <w:szCs w:val="18"/>
          <w:color w:val="010000"/>
        </w:rPr>
        <w:t xml:space="preserve">, </w:t>
      </w:r>
      <w:r>
        <w:rPr>
          <w:rFonts w:ascii="Arial" w:cs="Arial" w:eastAsia="Arial" w:hAnsi="Arial"/>
          <w:sz w:val="18"/>
          <w:szCs w:val="18"/>
          <w:u w:val="single" w:color="auto"/>
          <w:color w:val="010000"/>
        </w:rPr>
        <w:t>that</w:t>
      </w:r>
      <w:r>
        <w:rPr>
          <w:rFonts w:ascii="Arial" w:cs="Arial" w:eastAsia="Arial" w:hAnsi="Arial"/>
          <w:sz w:val="18"/>
          <w:szCs w:val="18"/>
          <w:color w:val="010000"/>
        </w:rPr>
        <w:t>, prior to any such disclosure, the assignee or participant or proposed assignee or participant shall agree to preserve the confidentiality of Borrower Information relating to the Borrower received by it from such Lender.</w:t>
      </w:r>
    </w:p>
    <w:p>
      <w:pPr>
        <w:spacing w:after="0" w:line="83" w:lineRule="exact"/>
        <w:rPr>
          <w:rFonts w:ascii="Arial" w:cs="Arial" w:eastAsia="Arial" w:hAnsi="Arial"/>
          <w:sz w:val="18"/>
          <w:szCs w:val="18"/>
          <w:color w:val="010000"/>
        </w:rPr>
      </w:pPr>
    </w:p>
    <w:p>
      <w:pPr>
        <w:ind w:right="160" w:firstLine="1041"/>
        <w:spacing w:after="0" w:line="304" w:lineRule="auto"/>
        <w:tabs>
          <w:tab w:leader="none" w:pos="1286" w:val="left"/>
        </w:tabs>
        <w:numPr>
          <w:ilvl w:val="0"/>
          <w:numId w:val="155"/>
        </w:numPr>
        <w:rPr>
          <w:rFonts w:ascii="Arial" w:cs="Arial" w:eastAsia="Arial" w:hAnsi="Arial"/>
          <w:sz w:val="16"/>
          <w:szCs w:val="16"/>
          <w:color w:val="010000"/>
        </w:rPr>
      </w:pPr>
      <w:r>
        <w:rPr>
          <w:rFonts w:ascii="Arial" w:cs="Arial" w:eastAsia="Arial" w:hAnsi="Arial"/>
          <w:sz w:val="16"/>
          <w:szCs w:val="16"/>
          <w:color w:val="010000"/>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no such pledge or assignment shall release such Lender from any of its obligations hereunder or substitute any such pledge or assignee for such Lender as a party hereto.</w:t>
      </w:r>
    </w:p>
    <w:p>
      <w:pPr>
        <w:spacing w:after="0" w:line="47" w:lineRule="exact"/>
        <w:rPr>
          <w:rFonts w:ascii="Arial" w:cs="Arial" w:eastAsia="Arial" w:hAnsi="Arial"/>
          <w:sz w:val="16"/>
          <w:szCs w:val="16"/>
          <w:color w:val="010000"/>
        </w:rPr>
      </w:pPr>
    </w:p>
    <w:p>
      <w:pPr>
        <w:ind w:right="120" w:firstLine="1041"/>
        <w:spacing w:after="0" w:line="287" w:lineRule="auto"/>
        <w:tabs>
          <w:tab w:leader="none" w:pos="1246" w:val="left"/>
        </w:tabs>
        <w:numPr>
          <w:ilvl w:val="0"/>
          <w:numId w:val="155"/>
        </w:numPr>
        <w:rPr>
          <w:rFonts w:ascii="Arial" w:cs="Arial" w:eastAsia="Arial" w:hAnsi="Arial"/>
          <w:sz w:val="16"/>
          <w:szCs w:val="16"/>
          <w:color w:val="010000"/>
        </w:rPr>
      </w:pPr>
      <w:r>
        <w:rPr>
          <w:rFonts w:ascii="Arial" w:cs="Arial" w:eastAsia="Arial" w:hAnsi="Arial"/>
          <w:sz w:val="16"/>
          <w:szCs w:val="16"/>
          <w:color w:val="010000"/>
        </w:rPr>
        <w:t>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Loans, Commitments or other obligations under this Agreement (the “</w:t>
      </w:r>
      <w:r>
        <w:rPr>
          <w:rFonts w:ascii="Arial" w:cs="Arial" w:eastAsia="Arial" w:hAnsi="Arial"/>
          <w:sz w:val="16"/>
          <w:szCs w:val="16"/>
          <w:u w:val="single" w:color="auto"/>
          <w:color w:val="010000"/>
        </w:rPr>
        <w:t>Participant Register</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the Loans are in registered form under Treas. Reg. § 5f.103-1(c). The entries in the Participant Register shall be conclusive absent manifest error, and such Lender shall treat each person whose name is recorded in the Participant Register as owner of such participation for all purposes of this Agreement.</w:t>
      </w:r>
    </w:p>
    <w:p>
      <w:pPr>
        <w:spacing w:after="0" w:line="60" w:lineRule="exact"/>
        <w:rPr>
          <w:rFonts w:ascii="Arial" w:cs="Arial" w:eastAsia="Arial" w:hAnsi="Arial"/>
          <w:sz w:val="16"/>
          <w:szCs w:val="16"/>
          <w:color w:val="010000"/>
        </w:rPr>
      </w:pPr>
    </w:p>
    <w:p>
      <w:pPr>
        <w:ind w:right="20" w:firstLine="1041"/>
        <w:spacing w:after="0" w:line="251" w:lineRule="auto"/>
        <w:tabs>
          <w:tab w:leader="none" w:pos="1246" w:val="left"/>
        </w:tabs>
        <w:numPr>
          <w:ilvl w:val="0"/>
          <w:numId w:val="155"/>
        </w:numPr>
        <w:rPr>
          <w:rFonts w:ascii="Arial" w:cs="Arial" w:eastAsia="Arial" w:hAnsi="Arial"/>
          <w:sz w:val="18"/>
          <w:szCs w:val="18"/>
          <w:color w:val="010000"/>
        </w:rPr>
      </w:pPr>
      <w:r>
        <w:rPr>
          <w:rFonts w:ascii="Arial" w:cs="Arial" w:eastAsia="Arial" w:hAnsi="Arial"/>
          <w:sz w:val="18"/>
          <w:szCs w:val="18"/>
          <w:color w:val="010000"/>
        </w:rPr>
        <w:t>The Agent may conclusively rely on the list of Disqualified Institutions provided by the Borrower (or any supplement thereto) for all purposes of this Agreement and the other Loan Documents, including in approving or declining to approve a Person as an Eligible Assignee, executing and delivering any Assignment and Acceptance, making any recording in the Register in respect of such Assignment and Acceptance or otherwise, and shall have no liability of any kind to any Loan Party or any Affiliate thereof, any Lender or any other Person if such list of Disqualified Institutions (or any supplement thereto) is incorrect or if any Person is incorrectly identified in such list of Disqualified Institutions (or any supplement thereto) as a Person to whom no assignment is to be made.</w:t>
      </w:r>
    </w:p>
    <w:p>
      <w:pPr>
        <w:spacing w:after="0" w:line="195"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010000"/>
        </w:rPr>
        <w:t xml:space="preserve">SECTION 9.09. </w:t>
      </w:r>
      <w:r>
        <w:rPr>
          <w:rFonts w:ascii="Arial" w:cs="Arial" w:eastAsia="Arial" w:hAnsi="Arial"/>
          <w:sz w:val="18"/>
          <w:szCs w:val="18"/>
          <w:u w:val="single" w:color="auto"/>
          <w:color w:val="010000"/>
        </w:rPr>
        <w:t>Confidentiality</w:t>
      </w:r>
      <w:r>
        <w:rPr>
          <w:rFonts w:ascii="Arial" w:cs="Arial" w:eastAsia="Arial" w:hAnsi="Arial"/>
          <w:sz w:val="18"/>
          <w:szCs w:val="18"/>
          <w:color w:val="010000"/>
        </w:rPr>
        <w:t>. Neither the Agent nor any Lender may disclose to any Person any confidential, proprietary or non-public information of any Loan Party furnished to the Agent or the Lenders by any Loan Party, including, without limitation (1) earnings and other financial information and forecasts, budgets, projections, plans, (including, without limitation, any confirmations of publicly disclosed advice regarding any material matter); (2) mergers, acquisitions, tender offers, joint ventures or changes in assets; (3) new products or discoveries or developments regarding any Loan Party’s customers or suppliers; (4) changes in control or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140" w:name="page141"/>
    <w:bookmarkEnd w:id="140"/>
    <w:p>
      <w:pPr>
        <w:ind w:right="20"/>
        <w:spacing w:after="0" w:line="280" w:lineRule="auto"/>
        <w:rPr>
          <w:sz w:val="20"/>
          <w:szCs w:val="20"/>
          <w:color w:val="auto"/>
        </w:rPr>
      </w:pPr>
      <w:r>
        <w:rPr>
          <w:rFonts w:ascii="Arial" w:cs="Arial" w:eastAsia="Arial" w:hAnsi="Arial"/>
          <w:sz w:val="16"/>
          <w:szCs w:val="16"/>
          <w:color w:val="010000"/>
        </w:rPr>
        <w:t>management; (5) changes in auditors or auditor notifications to the Loan Party; (6) securities redemptions, splits, repurchase plans, changes in dividends, changes in rights of holders or sales of additional securities; and (7) negative news relating to such matters as physical damage to properties from significant events, loss of significant contractual relationship, material litigation, defaults under contracts or securities, bankruptcy or receivership (such information being referred to collectively herein as the “</w:t>
      </w:r>
      <w:r>
        <w:rPr>
          <w:rFonts w:ascii="Arial" w:cs="Arial" w:eastAsia="Arial" w:hAnsi="Arial"/>
          <w:sz w:val="16"/>
          <w:szCs w:val="16"/>
          <w:u w:val="single" w:color="auto"/>
          <w:color w:val="010000"/>
        </w:rPr>
        <w:t>Borrower Information</w:t>
      </w:r>
      <w:r>
        <w:rPr>
          <w:rFonts w:ascii="Arial" w:cs="Arial" w:eastAsia="Arial" w:hAnsi="Arial"/>
          <w:sz w:val="16"/>
          <w:szCs w:val="16"/>
          <w:color w:val="010000"/>
        </w:rPr>
        <w:t xml:space="preserve">”), except that each of the Agent, and each of the Lenders may disclose Borrower Information (i) to its Affiliates and to its and its Affiliates’ managers, administrators, partners, employees, trustees, officers, directors, agents, advisors and other representatives solely for purposes of this Agreement, any Notes and the transactions contemplated hereby (it being understood that the Persons to whom such disclosure is made will be informed of the confidential nature of Borrower Information and instructed to keep such Borrower Information confidential on terms substantially no less restrictive than those provided herein), (ii) to the extent requested by any regulatory authority purporting to have jurisdiction over it (including any self-regulating authority, such as the National Association of Insurance Commissioners),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to the extent permitted by law and practicable under the circumstances, the Agent or such Lender shall provide the Company with prompt notice of such requested disclosure so that the Company may seek a protective order prior to the time when the Agent or such Lender is required to make such disclosure, (iii) to the extent required by applicable laws or regulations or by any subpoena or similar legal process,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to the extent permitted by law and practicable under the circumstances, the Agent or such Lender shall provide the Company with prompt notice of such requested disclosure so that the Company may seek a protective order prior to the time when the Agent or such Lender is required to make such disclosure, (iv) subject to this Section 9.09, to any other Lender to this Agreement which has requested such information, (v) in connection with the exercise of any remedies hereunder or any suit, action or proceeding relating to this Agreement or the enforcement of rights hereunder, (vi) subject to an agreement containing provisions no less restrictive than those of this Section 9.09, to any assignee or participant or prospective assignee or participant or any pledge referred to in Section 9.08(h), (vii) to the extent such Borrower Information (A) is or becomes generally available to the public on a non-confidential basis other than as a result of a breach of this Section 9.09 by the Agent or such Lender, or (B) is or becomes legally available to the Agent or such Lender on a nonconfidential basis from a source other than a Loan Party,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the source of such information was not known by the Agent or such Lender to be bound by a confidentiality agreement with or other contractual, legal or fiduciary obligations of confidentiality to a Loan Party or any other party with respect to such information, (viii) with the consent of the Company, (ix) to any party hereto and (x) subject to the Agent’s or the applicable Lender’s receipt of an agreement containing provisions no less restrictive than those of this Section, to any actual or prospective party (or its managers, administrators, trustees, partners, directors, officers, employees, agents, advisors and other representatives) to any swap, derivative or other transaction under which payments are to be made by reference to the Company and its Obligations, this Agreement or payments hereunder. Any Person required to maintain the confidentiality of Borrower Information as provided in this Section shall be considered to have complied with its obligation to do so if such Person has exercised the same degree of care to maintain the confidentiality of such Borrower Information as such Person would accord to its own confidential information.</w:t>
      </w:r>
    </w:p>
    <w:p>
      <w:pPr>
        <w:spacing w:after="0" w:line="393" w:lineRule="exact"/>
        <w:rPr>
          <w:sz w:val="20"/>
          <w:szCs w:val="20"/>
          <w:color w:val="auto"/>
        </w:rPr>
      </w:pPr>
    </w:p>
    <w:p>
      <w:pPr>
        <w:ind w:left="520"/>
        <w:spacing w:after="0"/>
        <w:rPr>
          <w:sz w:val="20"/>
          <w:szCs w:val="20"/>
          <w:color w:val="auto"/>
        </w:rPr>
      </w:pPr>
      <w:r>
        <w:rPr>
          <w:rFonts w:ascii="Arial" w:cs="Arial" w:eastAsia="Arial" w:hAnsi="Arial"/>
          <w:sz w:val="16"/>
          <w:szCs w:val="16"/>
          <w:color w:val="010000"/>
        </w:rPr>
        <w:t xml:space="preserve">SECTION 9.10. </w:t>
      </w:r>
      <w:r>
        <w:rPr>
          <w:rFonts w:ascii="Arial" w:cs="Arial" w:eastAsia="Arial" w:hAnsi="Arial"/>
          <w:sz w:val="16"/>
          <w:szCs w:val="16"/>
          <w:u w:val="single" w:color="auto"/>
          <w:color w:val="010000"/>
        </w:rPr>
        <w:t>Execution in Counterparts</w:t>
      </w:r>
      <w:r>
        <w:rPr>
          <w:rFonts w:ascii="Arial" w:cs="Arial" w:eastAsia="Arial" w:hAnsi="Arial"/>
          <w:sz w:val="16"/>
          <w:szCs w:val="16"/>
          <w:color w:val="010000"/>
        </w:rPr>
        <w:t>. This Agreement may be executed in any number of counterparts and by different parties hereto in separate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010000"/>
        </w:rPr>
        <w:t>counterparts, each of which when so executed shall be deemed to be an original and all of which taken together shall constitute one and the same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010000"/>
        </w:rPr>
        <w:t>agreement. Delivery of an executed counterpart of a signature page to this Agreement by telecopier or in .pdf (or similar electronic format) shall be effective as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010000"/>
        </w:rPr>
        <w:t>delivery of a manually executed counterpart of this Agreement.</w:t>
      </w:r>
    </w:p>
    <w:p>
      <w:pPr>
        <w:spacing w:after="0" w:line="20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010000"/>
        </w:rPr>
        <w:t xml:space="preserve">SECTION 9.11. </w:t>
      </w:r>
      <w:r>
        <w:rPr>
          <w:rFonts w:ascii="Arial" w:cs="Arial" w:eastAsia="Arial" w:hAnsi="Arial"/>
          <w:sz w:val="16"/>
          <w:szCs w:val="16"/>
          <w:u w:val="single" w:color="auto"/>
          <w:color w:val="010000"/>
        </w:rPr>
        <w:t>Survival of Representations and Warranties</w:t>
      </w:r>
      <w:r>
        <w:rPr>
          <w:rFonts w:ascii="Arial" w:cs="Arial" w:eastAsia="Arial" w:hAnsi="Arial"/>
          <w:sz w:val="16"/>
          <w:szCs w:val="16"/>
          <w:color w:val="010000"/>
        </w:rPr>
        <w:t>. All representations and warranties made hereunder and in any other Loan Document or other document delivered pursuant hereto or thereto shall survive the execution and delivery hereof and thereof. Such representations and warranties have been or will be relied upon by the Agent, and each Lender, regardless of any investigation made by the Agent or any Lender or on their behalf and notwithstanding that the Agent, or any Lender may have had notice or knowledge of any Default at the time of any Revolving Loan, and shall continue in full force and effect as long as any Revolving Loan or any other Obligation hereunder shall remain unpaid or unsatisfied or any Letter of Credit shall remain outstanding.</w:t>
      </w:r>
    </w:p>
    <w:p>
      <w:pPr>
        <w:spacing w:after="0" w:line="165" w:lineRule="exact"/>
        <w:rPr>
          <w:sz w:val="20"/>
          <w:szCs w:val="20"/>
          <w:color w:val="auto"/>
        </w:rPr>
      </w:pPr>
    </w:p>
    <w:p>
      <w:pPr>
        <w:ind w:right="100" w:firstLine="518"/>
        <w:spacing w:after="0" w:line="285" w:lineRule="auto"/>
        <w:rPr>
          <w:sz w:val="20"/>
          <w:szCs w:val="20"/>
          <w:color w:val="auto"/>
        </w:rPr>
      </w:pPr>
      <w:r>
        <w:rPr>
          <w:rFonts w:ascii="Arial" w:cs="Arial" w:eastAsia="Arial" w:hAnsi="Arial"/>
          <w:sz w:val="16"/>
          <w:szCs w:val="16"/>
          <w:color w:val="010000"/>
        </w:rPr>
        <w:t xml:space="preserve">SECTION 9.12. </w:t>
      </w:r>
      <w:r>
        <w:rPr>
          <w:rFonts w:ascii="Arial" w:cs="Arial" w:eastAsia="Arial" w:hAnsi="Arial"/>
          <w:sz w:val="16"/>
          <w:szCs w:val="16"/>
          <w:u w:val="single" w:color="auto"/>
          <w:color w:val="010000"/>
        </w:rPr>
        <w:t>Severability</w:t>
      </w:r>
      <w:r>
        <w:rPr>
          <w:rFonts w:ascii="Arial" w:cs="Arial" w:eastAsia="Arial" w:hAnsi="Arial"/>
          <w:sz w:val="16"/>
          <w:szCs w:val="16"/>
          <w:color w:val="010000"/>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spacing w:after="0" w:line="1" w:lineRule="exact"/>
        <w:rPr>
          <w:sz w:val="20"/>
          <w:szCs w:val="20"/>
          <w:color w:val="auto"/>
        </w:rPr>
      </w:pPr>
    </w:p>
    <w:p>
      <w:pPr>
        <w:ind w:right="100" w:firstLine="7"/>
        <w:spacing w:after="0" w:line="287" w:lineRule="auto"/>
        <w:tabs>
          <w:tab w:leader="none" w:pos="252" w:val="left"/>
        </w:tabs>
        <w:numPr>
          <w:ilvl w:val="0"/>
          <w:numId w:val="156"/>
        </w:numPr>
        <w:rPr>
          <w:rFonts w:ascii="Arial" w:cs="Arial" w:eastAsia="Arial" w:hAnsi="Arial"/>
          <w:sz w:val="16"/>
          <w:szCs w:val="16"/>
          <w:color w:val="010000"/>
        </w:rPr>
      </w:pPr>
      <w:r>
        <w:rPr>
          <w:rFonts w:ascii="Arial" w:cs="Arial" w:eastAsia="Arial" w:hAnsi="Arial"/>
          <w:sz w:val="16"/>
          <w:szCs w:val="16"/>
          <w:color w:val="010000"/>
        </w:rPr>
        <w:t>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Bankruptcy Laws, as determined in good faith by the Agent or the Issuing Banks, as applicable, then such provisions shall be deemed to be in effect only to the extent not so limited.</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9.13. </w:t>
      </w:r>
      <w:r>
        <w:rPr>
          <w:rFonts w:ascii="Arial" w:cs="Arial" w:eastAsia="Arial" w:hAnsi="Arial"/>
          <w:sz w:val="18"/>
          <w:szCs w:val="18"/>
          <w:u w:val="single" w:color="auto"/>
          <w:color w:val="010000"/>
        </w:rPr>
        <w:t>Jurisdiction</w:t>
      </w:r>
      <w:r>
        <w:rPr>
          <w:rFonts w:ascii="Arial" w:cs="Arial" w:eastAsia="Arial" w:hAnsi="Arial"/>
          <w:sz w:val="18"/>
          <w:szCs w:val="18"/>
          <w:color w:val="010000"/>
        </w:rPr>
        <w:t>.</w:t>
      </w:r>
    </w:p>
    <w:p>
      <w:pPr>
        <w:spacing w:after="0" w:line="113" w:lineRule="exact"/>
        <w:rPr>
          <w:sz w:val="20"/>
          <w:szCs w:val="20"/>
          <w:color w:val="auto"/>
        </w:rPr>
      </w:pPr>
    </w:p>
    <w:p>
      <w:pPr>
        <w:ind w:right="220" w:firstLine="1041"/>
        <w:spacing w:after="0" w:line="267" w:lineRule="auto"/>
        <w:tabs>
          <w:tab w:leader="none" w:pos="1276" w:val="left"/>
        </w:tabs>
        <w:numPr>
          <w:ilvl w:val="0"/>
          <w:numId w:val="157"/>
        </w:numPr>
        <w:rPr>
          <w:rFonts w:ascii="Arial" w:cs="Arial" w:eastAsia="Arial" w:hAnsi="Arial"/>
          <w:sz w:val="18"/>
          <w:szCs w:val="18"/>
          <w:color w:val="010000"/>
        </w:rPr>
      </w:pPr>
      <w:r>
        <w:rPr>
          <w:rFonts w:ascii="Arial" w:cs="Arial" w:eastAsia="Arial" w:hAnsi="Arial"/>
          <w:sz w:val="18"/>
          <w:szCs w:val="18"/>
          <w:color w:val="010000"/>
        </w:rPr>
        <w:t>GOVERNING LAW. THIS AGREEMENT SHALL BE GOVERNED BY, AND CONSTRUED IN ACCORDANCE WITH, THE LAWS OF THE STATE OF NEW YORK.</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141" w:name="page142"/>
    <w:bookmarkEnd w:id="141"/>
    <w:p>
      <w:pPr>
        <w:ind w:firstLine="1041"/>
        <w:spacing w:after="0" w:line="249" w:lineRule="auto"/>
        <w:tabs>
          <w:tab w:leader="none" w:pos="1286" w:val="left"/>
        </w:tabs>
        <w:numPr>
          <w:ilvl w:val="0"/>
          <w:numId w:val="158"/>
        </w:numPr>
        <w:rPr>
          <w:rFonts w:ascii="Arial" w:cs="Arial" w:eastAsia="Arial" w:hAnsi="Arial"/>
          <w:sz w:val="18"/>
          <w:szCs w:val="18"/>
          <w:color w:val="010000"/>
        </w:rPr>
      </w:pPr>
      <w:r>
        <w:rPr>
          <w:rFonts w:ascii="Arial" w:cs="Arial" w:eastAsia="Arial" w:hAnsi="Arial"/>
          <w:sz w:val="18"/>
          <w:szCs w:val="18"/>
          <w:color w:val="010000"/>
        </w:rPr>
        <w:t>SUBMISSION TO JURISDICTION. BORROWER AND EACH OTHER LOAN PARTY IRREVOCABLY AND UNCONDITIONALLY SUBMITS, FOR ITSELF AND ITS PROPERTY, TO THE EXCLUSIVE JURISDICTION OF THE COURTS OF THE STATE OF NEW YORK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AGENT, ANY LENDER OR ANY ISSUING BANK MAY OTHERWISE HAVE TO BRING ANY ACTION OR PROCEEDING RELATING TO THIS AGREEMENT OR ANY OTHER LOAN DOCUMENT AGAINST THE BORROWER OR ANY OTHER LOAN PARTIES OR ITS PROPERTIES IN THE COURTS OF ANY JURISDICTION.</w:t>
      </w:r>
    </w:p>
    <w:p>
      <w:pPr>
        <w:spacing w:after="0" w:line="88" w:lineRule="exact"/>
        <w:rPr>
          <w:rFonts w:ascii="Arial" w:cs="Arial" w:eastAsia="Arial" w:hAnsi="Arial"/>
          <w:sz w:val="18"/>
          <w:szCs w:val="18"/>
          <w:color w:val="010000"/>
        </w:rPr>
      </w:pPr>
    </w:p>
    <w:p>
      <w:pPr>
        <w:ind w:right="160" w:firstLine="1041"/>
        <w:spacing w:after="0" w:line="251" w:lineRule="auto"/>
        <w:tabs>
          <w:tab w:leader="none" w:pos="1276" w:val="left"/>
        </w:tabs>
        <w:numPr>
          <w:ilvl w:val="0"/>
          <w:numId w:val="158"/>
        </w:numPr>
        <w:rPr>
          <w:rFonts w:ascii="Arial" w:cs="Arial" w:eastAsia="Arial" w:hAnsi="Arial"/>
          <w:sz w:val="18"/>
          <w:szCs w:val="18"/>
          <w:color w:val="010000"/>
        </w:rPr>
      </w:pPr>
      <w:r>
        <w:rPr>
          <w:rFonts w:ascii="Arial" w:cs="Arial" w:eastAsia="Arial" w:hAnsi="Arial"/>
          <w:sz w:val="18"/>
          <w:szCs w:val="18"/>
          <w:color w:val="010000"/>
        </w:rPr>
        <w:t>WAIVER OF VENUE.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88" w:lineRule="exact"/>
        <w:rPr>
          <w:rFonts w:ascii="Arial" w:cs="Arial" w:eastAsia="Arial" w:hAnsi="Arial"/>
          <w:sz w:val="18"/>
          <w:szCs w:val="18"/>
          <w:color w:val="010000"/>
        </w:rPr>
      </w:pPr>
    </w:p>
    <w:p>
      <w:pPr>
        <w:ind w:right="100" w:firstLine="1041"/>
        <w:spacing w:after="0" w:line="257" w:lineRule="auto"/>
        <w:tabs>
          <w:tab w:leader="none" w:pos="1286" w:val="left"/>
        </w:tabs>
        <w:numPr>
          <w:ilvl w:val="0"/>
          <w:numId w:val="158"/>
        </w:numPr>
        <w:rPr>
          <w:rFonts w:ascii="Arial" w:cs="Arial" w:eastAsia="Arial" w:hAnsi="Arial"/>
          <w:sz w:val="18"/>
          <w:szCs w:val="18"/>
          <w:color w:val="010000"/>
        </w:rPr>
      </w:pPr>
      <w:r>
        <w:rPr>
          <w:rFonts w:ascii="Arial" w:cs="Arial" w:eastAsia="Arial" w:hAnsi="Arial"/>
          <w:sz w:val="18"/>
          <w:szCs w:val="18"/>
          <w:color w:val="010000"/>
        </w:rPr>
        <w:t>SERVICE OF PROCESS. EACH PARTY HERETO IRREVOCABLY CONSENTS TO SERVICE OF PROCESS IN THE MANNER PROVIDED FOR NOTICES IN SECTION 9.02. NOTHING IN THIS AGREEMENT WILL AFFECT THE RIGHT OF ANY PARTY HERETO TO SERVE PROCESS IN ANY OTHER MANNER PERMITTED BY APPLICABLE LAW.</w:t>
      </w:r>
    </w:p>
    <w:p>
      <w:pPr>
        <w:spacing w:after="0" w:line="81" w:lineRule="exact"/>
        <w:rPr>
          <w:rFonts w:ascii="Arial" w:cs="Arial" w:eastAsia="Arial" w:hAnsi="Arial"/>
          <w:sz w:val="18"/>
          <w:szCs w:val="18"/>
          <w:color w:val="010000"/>
        </w:rPr>
      </w:pPr>
    </w:p>
    <w:p>
      <w:pPr>
        <w:ind w:right="80" w:firstLine="1041"/>
        <w:spacing w:after="0" w:line="250" w:lineRule="auto"/>
        <w:tabs>
          <w:tab w:leader="none" w:pos="1276" w:val="left"/>
        </w:tabs>
        <w:numPr>
          <w:ilvl w:val="0"/>
          <w:numId w:val="158"/>
        </w:numPr>
        <w:rPr>
          <w:rFonts w:ascii="Arial" w:cs="Arial" w:eastAsia="Arial" w:hAnsi="Arial"/>
          <w:sz w:val="18"/>
          <w:szCs w:val="18"/>
          <w:color w:val="010000"/>
        </w:rPr>
      </w:pPr>
      <w:r>
        <w:rPr>
          <w:rFonts w:ascii="Arial" w:cs="Arial" w:eastAsia="Arial" w:hAnsi="Arial"/>
          <w:sz w:val="18"/>
          <w:szCs w:val="18"/>
          <w:color w:val="010000"/>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5" w:lineRule="exact"/>
        <w:rPr>
          <w:sz w:val="20"/>
          <w:szCs w:val="20"/>
          <w:color w:val="auto"/>
        </w:rPr>
      </w:pPr>
    </w:p>
    <w:p>
      <w:pPr>
        <w:ind w:right="60" w:firstLine="518"/>
        <w:spacing w:after="0" w:line="281" w:lineRule="auto"/>
        <w:rPr>
          <w:sz w:val="20"/>
          <w:szCs w:val="20"/>
          <w:color w:val="auto"/>
        </w:rPr>
      </w:pPr>
      <w:r>
        <w:rPr>
          <w:rFonts w:ascii="Arial" w:cs="Arial" w:eastAsia="Arial" w:hAnsi="Arial"/>
          <w:sz w:val="16"/>
          <w:szCs w:val="16"/>
          <w:color w:val="010000"/>
        </w:rPr>
        <w:t xml:space="preserve">SECTION 9.14. </w:t>
      </w:r>
      <w:r>
        <w:rPr>
          <w:rFonts w:ascii="Arial" w:cs="Arial" w:eastAsia="Arial" w:hAnsi="Arial"/>
          <w:sz w:val="16"/>
          <w:szCs w:val="16"/>
          <w:u w:val="single" w:color="auto"/>
          <w:color w:val="010000"/>
        </w:rPr>
        <w:t>No Liability of the Issuing Banks</w:t>
      </w:r>
      <w:r>
        <w:rPr>
          <w:rFonts w:ascii="Arial" w:cs="Arial" w:eastAsia="Arial" w:hAnsi="Arial"/>
          <w:sz w:val="16"/>
          <w:szCs w:val="16"/>
          <w:color w:val="010000"/>
        </w:rPr>
        <w:t xml:space="preserve">. Each Lender and each Loan Party agree that, in paying any drawing under a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Each Loan Party assumes all risks of the acts or omissions of any beneficiary or transferee of any Letter of Credit with respect to its use of such Letter of Credit. Neither an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but not consequential, damages suffered by the Company that the Company proves were caused by such Issuing Bank’s willful misconduct or gross negligence as found in a final non-appealable judgment by a court of competent jurisdiction.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Arial" w:cs="Arial" w:eastAsia="Arial" w:hAnsi="Arial"/>
          <w:sz w:val="16"/>
          <w:szCs w:val="16"/>
          <w:u w:val="single" w:color="auto"/>
          <w:color w:val="010000"/>
        </w:rPr>
        <w:t>provided</w:t>
      </w:r>
      <w:r>
        <w:rPr>
          <w:rFonts w:ascii="Arial" w:cs="Arial" w:eastAsia="Arial" w:hAnsi="Arial"/>
          <w:sz w:val="16"/>
          <w:szCs w:val="16"/>
          <w:color w:val="010000"/>
        </w:rPr>
        <w:t xml:space="preserve">, </w:t>
      </w:r>
      <w:r>
        <w:rPr>
          <w:rFonts w:ascii="Arial" w:cs="Arial" w:eastAsia="Arial" w:hAnsi="Arial"/>
          <w:sz w:val="16"/>
          <w:szCs w:val="16"/>
          <w:u w:val="single" w:color="auto"/>
          <w:color w:val="010000"/>
        </w:rPr>
        <w:t>that</w:t>
      </w:r>
      <w:r>
        <w:rPr>
          <w:rFonts w:ascii="Arial" w:cs="Arial" w:eastAsia="Arial" w:hAnsi="Arial"/>
          <w:sz w:val="16"/>
          <w:szCs w:val="16"/>
          <w:color w:val="010000"/>
        </w:rPr>
        <w:t>, nothing herein shall be deemed to excuse such Issuing Bank if it acts with gross negligence or willful misconduct in accepting such documents as found in a final non-appealable judgment by a court of competent jurisdiction.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42" w:name="page143"/>
    <w:bookmarkEnd w:id="142"/>
    <w:p>
      <w:pPr>
        <w:ind w:right="100" w:firstLine="518"/>
        <w:spacing w:after="0" w:line="269" w:lineRule="auto"/>
        <w:rPr>
          <w:sz w:val="20"/>
          <w:szCs w:val="20"/>
          <w:color w:val="auto"/>
        </w:rPr>
      </w:pPr>
      <w:r>
        <w:rPr>
          <w:rFonts w:ascii="Arial" w:cs="Arial" w:eastAsia="Arial" w:hAnsi="Arial"/>
          <w:sz w:val="17"/>
          <w:szCs w:val="17"/>
          <w:color w:val="010000"/>
        </w:rPr>
        <w:t xml:space="preserve">SECTION 9.15. </w:t>
      </w:r>
      <w:r>
        <w:rPr>
          <w:rFonts w:ascii="Arial" w:cs="Arial" w:eastAsia="Arial" w:hAnsi="Arial"/>
          <w:sz w:val="17"/>
          <w:szCs w:val="17"/>
          <w:u w:val="single" w:color="auto"/>
          <w:color w:val="010000"/>
        </w:rPr>
        <w:t>PATRIOT Act Notice</w:t>
      </w:r>
      <w:r>
        <w:rPr>
          <w:rFonts w:ascii="Arial" w:cs="Arial" w:eastAsia="Arial" w:hAnsi="Arial"/>
          <w:sz w:val="17"/>
          <w:szCs w:val="17"/>
          <w:color w:val="010000"/>
        </w:rPr>
        <w:t>. Each Lender, and the Agent (for itself and not on behalf of any Lender)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or the Agent, as applicable, to identify such Loan Party in accordance with the PATRIOT Act. Each Loan Party shall provide such information and take such actions as are reasonably requested by the Agent or any Lenders in order to assist the Agent and the Lenders in maintaining compliance with its ongoing obligations under applicable “know your customer” and anti-money laundering rules and regulations, including the PATRIOT Act.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9.16. </w:t>
      </w:r>
      <w:r>
        <w:rPr>
          <w:rFonts w:ascii="Arial" w:cs="Arial" w:eastAsia="Arial" w:hAnsi="Arial"/>
          <w:sz w:val="18"/>
          <w:szCs w:val="18"/>
          <w:u w:val="single" w:color="auto"/>
          <w:color w:val="010000"/>
        </w:rPr>
        <w:t>Release of Collateral; Termination of Loan Documents</w:t>
      </w:r>
      <w:r>
        <w:rPr>
          <w:rFonts w:ascii="Arial" w:cs="Arial" w:eastAsia="Arial" w:hAnsi="Arial"/>
          <w:sz w:val="18"/>
          <w:szCs w:val="18"/>
          <w:color w:val="010000"/>
        </w:rPr>
        <w:t>.</w:t>
      </w:r>
    </w:p>
    <w:p>
      <w:pPr>
        <w:spacing w:after="0" w:line="113" w:lineRule="exact"/>
        <w:rPr>
          <w:sz w:val="20"/>
          <w:szCs w:val="20"/>
          <w:color w:val="auto"/>
        </w:rPr>
      </w:pPr>
    </w:p>
    <w:p>
      <w:pPr>
        <w:ind w:right="20" w:firstLine="1041"/>
        <w:spacing w:after="0" w:line="284" w:lineRule="auto"/>
        <w:tabs>
          <w:tab w:leader="none" w:pos="1276" w:val="left"/>
        </w:tabs>
        <w:numPr>
          <w:ilvl w:val="0"/>
          <w:numId w:val="159"/>
        </w:numPr>
        <w:rPr>
          <w:rFonts w:ascii="Arial" w:cs="Arial" w:eastAsia="Arial" w:hAnsi="Arial"/>
          <w:sz w:val="16"/>
          <w:szCs w:val="16"/>
          <w:color w:val="010000"/>
        </w:rPr>
      </w:pPr>
      <w:r>
        <w:rPr>
          <w:rFonts w:ascii="Arial" w:cs="Arial" w:eastAsia="Arial" w:hAnsi="Arial"/>
          <w:sz w:val="16"/>
          <w:szCs w:val="16"/>
          <w:color w:val="010000"/>
        </w:rPr>
        <w:t>(i) Upon the sale, lease, transfer or other Disposition of any item of Collateral of any Loan Party in accordance with the terms of the Loan Documents, including, without limitation, as a result of the sale, in accordance with the terms of the Loan Documents, of the Loan Party that owns such Collateral, (ii) upon a Subsidiary being designated an Immaterial Subsidiary or an Excluded Subsidiary, in accordance with the Loan Documents, (iii) at any time a Loan Party’s guarantee of the obligations under the Loan Documents ceases as provided in Section 7.07, the security interests granted by the Loan Documents with respect to such items of Collateral and/or Loan Party shall immediately terminate and automatically be released (so long as in the case of Dispositions by any Loan Party pursuant to the terms of the Loan Documents (other than Dispositions of Collateral not comprising TMM Assets) and in respect of clauses (ii) and (iii) above, Agent has received a written certification by Borrower that such Disposition or other transaction, as applicable is permitted under the terms of the Loan Documents (and Agent shall be entitled to rely conclusively upon such certification without further inquiry)), and the Agent will, at the Company’s expense, execute and deliver to such Loan Party such documents as such Loan Party may reasonably request to evidence the release of such item of Collateral from the assignment and security interest granted under the Collateral Documents.</w:t>
      </w:r>
    </w:p>
    <w:p>
      <w:pPr>
        <w:spacing w:after="0" w:line="63" w:lineRule="exact"/>
        <w:rPr>
          <w:rFonts w:ascii="Arial" w:cs="Arial" w:eastAsia="Arial" w:hAnsi="Arial"/>
          <w:sz w:val="16"/>
          <w:szCs w:val="16"/>
          <w:color w:val="010000"/>
        </w:rPr>
      </w:pPr>
    </w:p>
    <w:p>
      <w:pPr>
        <w:ind w:firstLine="1041"/>
        <w:spacing w:after="0" w:line="265" w:lineRule="auto"/>
        <w:tabs>
          <w:tab w:leader="none" w:pos="1286" w:val="left"/>
        </w:tabs>
        <w:numPr>
          <w:ilvl w:val="0"/>
          <w:numId w:val="159"/>
        </w:numPr>
        <w:rPr>
          <w:rFonts w:ascii="Arial" w:cs="Arial" w:eastAsia="Arial" w:hAnsi="Arial"/>
          <w:sz w:val="17"/>
          <w:szCs w:val="17"/>
          <w:color w:val="010000"/>
        </w:rPr>
      </w:pPr>
      <w:r>
        <w:rPr>
          <w:rFonts w:ascii="Arial" w:cs="Arial" w:eastAsia="Arial" w:hAnsi="Arial"/>
          <w:sz w:val="17"/>
          <w:szCs w:val="17"/>
          <w:color w:val="010000"/>
        </w:rPr>
        <w:t xml:space="preserve">Upon the latest of (i) the payment in full in cash of all Obligations under the Loan Documents, (ii) the termination in full of the Commitments and (iii) the latest date of expiration or termination of all Letters of Credit (or receipt by the Agent of an irrevocable notice from each Issuing Bank with a Letter of Credit outstanding that it will not seek to enforce any rights that it has or may have in accordance with Section 2.03 against the Agent or the Lenders), (x) except as otherwise specifically stated in this Agreement or the other Loan Documents, this Agreement and the other Loan Documents shall terminate and be of no further force or effect, (y) the Agent shall release or cause the release of all Collateral from the Liens of the Loan Documents and the Guarantors of all Obligations under each Guaranty, and will, at the Company’s expense, execute and deliver such documents as the Company may reasonably request to evidence the release of Collateral from the assignment and security interest granted under the Collateral Documents and the obligations of the Guarantors and (z) each Lender that has requested and received a Note shall return such Note to the Company marked “cancelled” or “paid in full”; </w:t>
      </w:r>
      <w:r>
        <w:rPr>
          <w:rFonts w:ascii="Arial" w:cs="Arial" w:eastAsia="Arial" w:hAnsi="Arial"/>
          <w:sz w:val="17"/>
          <w:szCs w:val="17"/>
          <w:u w:val="single" w:color="auto"/>
          <w:color w:val="010000"/>
        </w:rPr>
        <w:t>provided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however</w:t>
      </w:r>
      <w:r>
        <w:rPr>
          <w:rFonts w:ascii="Arial" w:cs="Arial" w:eastAsia="Arial" w:hAnsi="Arial"/>
          <w:sz w:val="17"/>
          <w:szCs w:val="17"/>
          <w:color w:val="010000"/>
        </w:rPr>
        <w:t>, that the Lenders’ obligations under Section 9.09 shall continue until the earlier of (x) the date that is three years after the termination of this Agreement and (y) the date that is three months after the latest date that is the subject of the Projections delivered in accordance with Section 5.01(h)(viii), and the Lender’s obligations under this Section 9.16 shall survive until satisfied.</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010000"/>
        </w:rPr>
        <w:t xml:space="preserve">SECTION 9.17. </w:t>
      </w:r>
      <w:r>
        <w:rPr>
          <w:rFonts w:ascii="Arial" w:cs="Arial" w:eastAsia="Arial" w:hAnsi="Arial"/>
          <w:sz w:val="18"/>
          <w:szCs w:val="18"/>
          <w:u w:val="single" w:color="auto"/>
          <w:color w:val="010000"/>
        </w:rPr>
        <w:t>Judgment Currency</w:t>
      </w:r>
      <w:r>
        <w:rPr>
          <w:rFonts w:ascii="Arial" w:cs="Arial" w:eastAsia="Arial" w:hAnsi="Arial"/>
          <w:sz w:val="18"/>
          <w:szCs w:val="18"/>
          <w:color w:val="010000"/>
        </w:rPr>
        <w:t>.</w:t>
      </w:r>
    </w:p>
    <w:p>
      <w:pPr>
        <w:spacing w:after="0" w:line="113" w:lineRule="exact"/>
        <w:rPr>
          <w:sz w:val="20"/>
          <w:szCs w:val="20"/>
          <w:color w:val="auto"/>
        </w:rPr>
      </w:pPr>
    </w:p>
    <w:p>
      <w:pPr>
        <w:ind w:firstLine="1041"/>
        <w:spacing w:after="0" w:line="254" w:lineRule="auto"/>
        <w:tabs>
          <w:tab w:leader="none" w:pos="1276" w:val="left"/>
        </w:tabs>
        <w:numPr>
          <w:ilvl w:val="0"/>
          <w:numId w:val="160"/>
        </w:numPr>
        <w:rPr>
          <w:rFonts w:ascii="Arial" w:cs="Arial" w:eastAsia="Arial" w:hAnsi="Arial"/>
          <w:sz w:val="18"/>
          <w:szCs w:val="18"/>
          <w:color w:val="010000"/>
        </w:rPr>
      </w:pPr>
      <w:r>
        <w:rPr>
          <w:rFonts w:ascii="Arial" w:cs="Arial" w:eastAsia="Arial" w:hAnsi="Arial"/>
          <w:sz w:val="18"/>
          <w:szCs w:val="18"/>
          <w:color w:val="010000"/>
        </w:rPr>
        <w:t>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the exchange rate on the Business Day preceding that on which final judgment is given.</w:t>
      </w:r>
    </w:p>
    <w:p>
      <w:pPr>
        <w:spacing w:after="0" w:line="83" w:lineRule="exact"/>
        <w:rPr>
          <w:rFonts w:ascii="Arial" w:cs="Arial" w:eastAsia="Arial" w:hAnsi="Arial"/>
          <w:sz w:val="18"/>
          <w:szCs w:val="18"/>
          <w:color w:val="010000"/>
        </w:rPr>
      </w:pPr>
    </w:p>
    <w:p>
      <w:pPr>
        <w:ind w:right="100" w:firstLine="1041"/>
        <w:spacing w:after="0" w:line="285" w:lineRule="auto"/>
        <w:tabs>
          <w:tab w:leader="none" w:pos="1286" w:val="left"/>
        </w:tabs>
        <w:numPr>
          <w:ilvl w:val="0"/>
          <w:numId w:val="160"/>
        </w:numPr>
        <w:rPr>
          <w:rFonts w:ascii="Arial" w:cs="Arial" w:eastAsia="Arial" w:hAnsi="Arial"/>
          <w:sz w:val="16"/>
          <w:szCs w:val="16"/>
          <w:color w:val="010000"/>
        </w:rPr>
      </w:pPr>
      <w:r>
        <w:rPr>
          <w:rFonts w:ascii="Arial" w:cs="Arial" w:eastAsia="Arial" w:hAnsi="Arial"/>
          <w:sz w:val="16"/>
          <w:szCs w:val="16"/>
          <w:color w:val="010000"/>
        </w:rPr>
        <w:t>The obligation of each Loan Party in respect of any sum due from it in any currency (the “</w:t>
      </w:r>
      <w:r>
        <w:rPr>
          <w:rFonts w:ascii="Arial" w:cs="Arial" w:eastAsia="Arial" w:hAnsi="Arial"/>
          <w:sz w:val="16"/>
          <w:szCs w:val="16"/>
          <w:u w:val="single" w:color="auto"/>
          <w:color w:val="010000"/>
        </w:rPr>
        <w:t>Primary Currency</w:t>
      </w:r>
      <w:r>
        <w:rPr>
          <w:rFonts w:ascii="Arial" w:cs="Arial" w:eastAsia="Arial" w:hAnsi="Arial"/>
          <w:sz w:val="16"/>
          <w:szCs w:val="16"/>
          <w:color w:val="010000"/>
        </w:rPr>
        <w:t>”) to any Lender or the Agent hereunder shall, notwithstanding any judgment in any other currency, be discharged only to the extent that on the Business Day following receipt by such Lender or the Agent (as the case may be), of any sum adjudged to be so due in such other currency, such Lender or the Agent (as the case may be) may in accordance with normal banking procedures purchase the applicable Primary Currency with such other currency; if the amount of the applicable Primary Currency so purchased is less than such sum due to such Lender or the Agent (as the case may be) in the applicable Primary Currency, each Loan Party agrees, as a separate obligation and notwithstanding any such judgment, to indemnify such Lender or the Agent (as the case may be) against such loss, and if the amount of the applicable Primary Currency so purchased exceeds such sum due to any Lender or the Agent (as the case may be) in the applicable Primary Currency, such Lender or the Agent (as the case may be) agrees to remit to such Loan Party such excess.</w:t>
      </w:r>
    </w:p>
    <w:p>
      <w:pPr>
        <w:spacing w:after="0" w:line="172"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010000"/>
        </w:rPr>
        <w:t xml:space="preserve">SECTION 9.18. </w:t>
      </w:r>
      <w:r>
        <w:rPr>
          <w:rFonts w:ascii="Arial" w:cs="Arial" w:eastAsia="Arial" w:hAnsi="Arial"/>
          <w:sz w:val="16"/>
          <w:szCs w:val="16"/>
          <w:u w:val="single" w:color="auto"/>
          <w:color w:val="010000"/>
        </w:rPr>
        <w:t>No Fiduciary Duty</w:t>
      </w:r>
      <w:r>
        <w:rPr>
          <w:rFonts w:ascii="Arial" w:cs="Arial" w:eastAsia="Arial" w:hAnsi="Arial"/>
          <w:sz w:val="16"/>
          <w:szCs w:val="16"/>
          <w:color w:val="010000"/>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(i) (A) the arranging and other services regarding this Agreement provided by the Agent, the Arrangers and the Lenders are arm’s-length commercial transactions between the Loan Parties and their respective Affiliates, on the one hand, and the Agent, the Arrangers and the Lenders, on the other hand, (B) each of the Loan Parties has consulted its own legal, accounting, regulatory and tax advisors to the extent it has deemed appropriate, and (C) the Loan Parties are capable of evaluating, and understand and accept, the terms, risks and conditions of the transactions contemplated hereby and by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43" w:name="page144"/>
    <w:bookmarkEnd w:id="143"/>
    <w:p>
      <w:pPr>
        <w:ind w:right="20"/>
        <w:spacing w:after="0" w:line="266" w:lineRule="auto"/>
        <w:rPr>
          <w:sz w:val="20"/>
          <w:szCs w:val="20"/>
          <w:color w:val="auto"/>
        </w:rPr>
      </w:pPr>
      <w:r>
        <w:rPr>
          <w:rFonts w:ascii="Arial" w:cs="Arial" w:eastAsia="Arial" w:hAnsi="Arial"/>
          <w:sz w:val="17"/>
          <w:szCs w:val="17"/>
          <w:color w:val="010000"/>
        </w:rPr>
        <w:t>the other Loan Documents; (ii) (A) the Agent, the Arrangers and the Lender each are and has been acting solely as a principal and, except as expressly agreed in writing by the relevant parties, have not been, are not, and will not be acting as an advisor, agent or fiduciary for the Loan Parties or any of their respective Affiliates, or any other Person and (B) neither the Agent, the Arrangers nor the Lenders have any obligation to the Loan Parties or any of their respective Affiliates with respect to the transactions contemplated hereby except those obligations expressly set forth herein and in the other Loan Documents; and (iii) the Agent, the Arrangers and the Lenders and their respective Affiliates may be engaged in a broad range of transactions that involve interests that differ from those of the Loan Parties and their respective Affiliates, and neither the Agent, the Arrangers nor the Lenders have any obligation to disclose any of such interests to the Loan Parties or their respective Affiliates. To the fullest extent permitted by law, each Loan Party hereby waives and releases any claims that it may have against the Agent, the Arrangers and the Lenders with respect to any breach or alleged breach of agency or fiduciary duty in connection with any aspect of any transaction contemplated hereby.</w:t>
      </w:r>
    </w:p>
    <w:p>
      <w:pPr>
        <w:spacing w:after="0" w:line="184"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010000"/>
        </w:rPr>
        <w:t xml:space="preserve">SECTION 9.19. </w:t>
      </w:r>
      <w:r>
        <w:rPr>
          <w:rFonts w:ascii="Arial" w:cs="Arial" w:eastAsia="Arial" w:hAnsi="Arial"/>
          <w:sz w:val="17"/>
          <w:szCs w:val="17"/>
          <w:u w:val="single" w:color="auto"/>
          <w:color w:val="010000"/>
        </w:rPr>
        <w:t>Electronic Execution of Assignments and Certain Other Documents</w:t>
      </w:r>
      <w:r>
        <w:rPr>
          <w:rFonts w:ascii="Arial" w:cs="Arial" w:eastAsia="Arial" w:hAnsi="Arial"/>
          <w:sz w:val="17"/>
          <w:szCs w:val="17"/>
          <w:color w:val="010000"/>
        </w:rPr>
        <w:t>. The words “execution,” “signed,” “signature,” and words of like import in any Assumption Agreement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or similar foreign laws.</w:t>
      </w:r>
    </w:p>
    <w:p>
      <w:pPr>
        <w:spacing w:after="0" w:line="179"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010000"/>
        </w:rPr>
        <w:t xml:space="preserve">SECTION 9.20. </w:t>
      </w:r>
      <w:r>
        <w:rPr>
          <w:rFonts w:ascii="Arial" w:cs="Arial" w:eastAsia="Arial" w:hAnsi="Arial"/>
          <w:sz w:val="16"/>
          <w:szCs w:val="16"/>
          <w:u w:val="single" w:color="auto"/>
          <w:color w:val="010000"/>
        </w:rPr>
        <w:t>Acknowledgement and Consent to Bail-In of EEA Financial Institutions</w:t>
      </w:r>
      <w:r>
        <w:rPr>
          <w:rFonts w:ascii="Arial" w:cs="Arial" w:eastAsia="Arial" w:hAnsi="Arial"/>
          <w:sz w:val="16"/>
          <w:szCs w:val="16"/>
          <w:color w:val="010000"/>
        </w:rPr>
        <w:t>. Notwithstanding anything to the contrary in any Loan Document or in any other agreement, arrangement or understanding among the parties, each party hereto (including each Secured Party) acknowledges that any liability arising under a Loan Document of any Secured Party that is an EEA Financial Institution, to the extent such liability is unsecured, may be subject to the Write-Down and Conversion Powers of an EEA Resolution Authority, and agrees and consents to, and acknowledges and agrees to be bound by:</w:t>
      </w:r>
    </w:p>
    <w:p>
      <w:pPr>
        <w:spacing w:after="0" w:line="56" w:lineRule="exact"/>
        <w:rPr>
          <w:sz w:val="20"/>
          <w:szCs w:val="20"/>
          <w:color w:val="auto"/>
        </w:rPr>
      </w:pPr>
    </w:p>
    <w:p>
      <w:pPr>
        <w:ind w:right="300" w:firstLine="1041"/>
        <w:spacing w:after="0" w:line="267" w:lineRule="auto"/>
        <w:tabs>
          <w:tab w:leader="none" w:pos="127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under any Loan Documents which may be payable to it by any Secured Party that is an EEA Financial Institution; and</w:t>
      </w:r>
    </w:p>
    <w:p>
      <w:pPr>
        <w:spacing w:after="0" w:line="72" w:lineRule="exact"/>
        <w:rPr>
          <w:rFonts w:ascii="Arial" w:cs="Arial" w:eastAsia="Arial" w:hAnsi="Arial"/>
          <w:sz w:val="18"/>
          <w:szCs w:val="18"/>
          <w:color w:val="auto"/>
        </w:rPr>
      </w:pPr>
    </w:p>
    <w:p>
      <w:pPr>
        <w:ind w:left="1300" w:hanging="259"/>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w:t>
      </w:r>
    </w:p>
    <w:p>
      <w:pPr>
        <w:spacing w:after="0" w:line="113" w:lineRule="exact"/>
        <w:rPr>
          <w:rFonts w:ascii="Arial" w:cs="Arial" w:eastAsia="Arial" w:hAnsi="Arial"/>
          <w:sz w:val="18"/>
          <w:szCs w:val="18"/>
          <w:color w:val="auto"/>
        </w:rPr>
      </w:pPr>
    </w:p>
    <w:p>
      <w:pPr>
        <w:ind w:left="1780" w:hanging="221"/>
        <w:spacing w:after="0"/>
        <w:tabs>
          <w:tab w:leader="none" w:pos="17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3" w:lineRule="exact"/>
        <w:rPr>
          <w:rFonts w:ascii="Arial" w:cs="Arial" w:eastAsia="Arial" w:hAnsi="Arial"/>
          <w:sz w:val="18"/>
          <w:szCs w:val="18"/>
          <w:color w:val="auto"/>
        </w:rPr>
      </w:pPr>
    </w:p>
    <w:p>
      <w:pPr>
        <w:ind w:right="40" w:firstLine="1559"/>
        <w:spacing w:after="0" w:line="257" w:lineRule="auto"/>
        <w:tabs>
          <w:tab w:leader="none" w:pos="181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any Loan Document; or</w:t>
      </w:r>
    </w:p>
    <w:p>
      <w:pPr>
        <w:spacing w:after="0" w:line="81" w:lineRule="exact"/>
        <w:rPr>
          <w:rFonts w:ascii="Arial" w:cs="Arial" w:eastAsia="Arial" w:hAnsi="Arial"/>
          <w:sz w:val="18"/>
          <w:szCs w:val="18"/>
          <w:color w:val="auto"/>
        </w:rPr>
      </w:pPr>
    </w:p>
    <w:p>
      <w:pPr>
        <w:ind w:left="1860" w:hanging="301"/>
        <w:spacing w:after="0"/>
        <w:tabs>
          <w:tab w:leader="none" w:pos="18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any EEA</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Resolution Authority.</w:t>
      </w:r>
    </w:p>
    <w:p>
      <w:pPr>
        <w:spacing w:after="0" w:line="209" w:lineRule="exact"/>
        <w:rPr>
          <w:sz w:val="20"/>
          <w:szCs w:val="20"/>
          <w:color w:val="auto"/>
        </w:rPr>
      </w:pPr>
    </w:p>
    <w:p>
      <w:pPr>
        <w:ind w:firstLine="518"/>
        <w:spacing w:after="0" w:line="264" w:lineRule="auto"/>
        <w:rPr>
          <w:sz w:val="20"/>
          <w:szCs w:val="20"/>
          <w:color w:val="auto"/>
        </w:rPr>
      </w:pPr>
      <w:r>
        <w:rPr>
          <w:rFonts w:ascii="Arial" w:cs="Arial" w:eastAsia="Arial" w:hAnsi="Arial"/>
          <w:sz w:val="17"/>
          <w:szCs w:val="17"/>
          <w:color w:val="010000"/>
        </w:rPr>
        <w:t xml:space="preserve">SECTION 9.21. </w:t>
      </w:r>
      <w:r>
        <w:rPr>
          <w:rFonts w:ascii="Arial" w:cs="Arial" w:eastAsia="Arial" w:hAnsi="Arial"/>
          <w:sz w:val="17"/>
          <w:szCs w:val="17"/>
          <w:u w:val="single" w:color="auto"/>
          <w:color w:val="010000"/>
        </w:rPr>
        <w:t>No Novation</w:t>
      </w:r>
      <w:r>
        <w:rPr>
          <w:rFonts w:ascii="Arial" w:cs="Arial" w:eastAsia="Arial" w:hAnsi="Arial"/>
          <w:sz w:val="17"/>
          <w:szCs w:val="17"/>
          <w:color w:val="010000"/>
        </w:rPr>
        <w:t>. The terms and conditions of the Existing Credit Agreement are amended as set forth in, and restated in their entirety and superseded by, this Agreement. Nothing in this Agreement shall be deemed to be a novation of any of the Obligations as defined in the Existing Credit Agreement or in any way impair or otherwise affect the rights or obligations of the parties thereunder (including with respect to Revolving Loans and representations and warranties made thereunder) except as such rights or obligations are amended or modified hereby.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Credit Agreement. The Existing Credit Agreement as amended and restated hereby shall be deemed to be a continuing agreement among the parties, and all documents, instruments and agreements delivered pursuant to or in connection with the Existing Credit Agreement not amended and restated in connection with the entry of the parties into this Agreement shall remain in full force and effect, each in accordance with its terms, as of the date of delivery or such other date as contemplated by such document, instrument or agreement to the same extent as if the modifications to the Existing Credit Agreement contained herein were set forth in an amendment to the Existing Credit Agreement in a customary form, unless such document, instrument or agreement has otherwise been terminated or has expired in accordance with or pursuant to the terms of this Agreement, the Existing Credit Agreement or such document, instrument or agreement or as otherwise agreed by the required parties hereto or thereto. From and after the Closing Date, each reference to the “Agreement”, “Credit Agreement” or other reference originally applicable to the Existing Credit Agreement contained in any Loan Document shall be a reference to this Agreement, as amended, supplemented, restated or otherwise modified from time to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44" w:name="page145"/>
    <w:bookmarkEnd w:id="144"/>
    <w:p>
      <w:pPr>
        <w:ind w:right="80" w:firstLine="518"/>
        <w:spacing w:after="0" w:line="26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8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EASTMAN KODAK COMPANY</w:t>
      </w:r>
    </w:p>
    <w:p>
      <w:pPr>
        <w:spacing w:after="0" w:line="220" w:lineRule="exact"/>
        <w:rPr>
          <w:sz w:val="20"/>
          <w:szCs w:val="20"/>
          <w:color w:val="auto"/>
        </w:rPr>
      </w:pPr>
    </w:p>
    <w:tbl>
      <w:tblPr>
        <w:tblLayout w:type="fixed"/>
        <w:tblInd w:w="67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Love</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William G. Love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FAR EAST DEVELOPMENT LTD.</w:t>
      </w:r>
    </w:p>
    <w:p>
      <w:pPr>
        <w:spacing w:after="0" w:line="1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FPC INC.</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KODAK (NEAR EAST), INC.</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KODAK AMERICAS, LTD.</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KODAK REALTY, INC.</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LASER-PACIFIC MEDIA CORPORATION</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QUALEX INC.</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KODAK PHILIPPINES, LTD.</w:t>
      </w:r>
    </w:p>
    <w:p>
      <w:pPr>
        <w:spacing w:after="0" w:line="209" w:lineRule="exact"/>
        <w:rPr>
          <w:sz w:val="20"/>
          <w:szCs w:val="20"/>
          <w:color w:val="auto"/>
        </w:rPr>
      </w:pPr>
    </w:p>
    <w:tbl>
      <w:tblPr>
        <w:tblLayout w:type="fixed"/>
        <w:tblInd w:w="67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Love</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William G. Love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Treasurer</w:t>
            </w:r>
          </w:p>
        </w:tc>
      </w:tr>
      <w:tr>
        <w:trPr>
          <w:trHeight w:val="427"/>
        </w:trPr>
        <w:tc>
          <w:tcPr>
            <w:tcW w:w="4700" w:type="dxa"/>
            <w:vAlign w:val="bottom"/>
            <w:gridSpan w:val="2"/>
          </w:tcPr>
          <w:p>
            <w:pPr>
              <w:spacing w:after="0"/>
              <w:rPr>
                <w:sz w:val="20"/>
                <w:szCs w:val="20"/>
                <w:color w:val="auto"/>
              </w:rPr>
            </w:pPr>
            <w:r>
              <w:rPr>
                <w:rFonts w:ascii="Arial" w:cs="Arial" w:eastAsia="Arial" w:hAnsi="Arial"/>
                <w:sz w:val="18"/>
                <w:szCs w:val="18"/>
                <w:color w:val="auto"/>
              </w:rPr>
              <w:t>NPEC INC.</w:t>
            </w:r>
          </w:p>
        </w:tc>
      </w:tr>
      <w:tr>
        <w:trPr>
          <w:trHeight w:val="42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Love</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William G. Love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45" w:name="page146"/>
    <w:bookmarkEnd w:id="145"/>
    <w:p>
      <w:pPr>
        <w:ind w:left="5520"/>
        <w:spacing w:after="0"/>
        <w:rPr>
          <w:sz w:val="20"/>
          <w:szCs w:val="20"/>
          <w:color w:val="auto"/>
        </w:rPr>
      </w:pPr>
      <w:r>
        <w:rPr>
          <w:rFonts w:ascii="Arial" w:cs="Arial" w:eastAsia="Arial" w:hAnsi="Arial"/>
          <w:sz w:val="16"/>
          <w:szCs w:val="16"/>
          <w:color w:val="auto"/>
        </w:rPr>
        <w:t>BANK OF AMERICA, N.A., as Agent, Issuing Bank and Lender</w:t>
      </w:r>
    </w:p>
    <w:p>
      <w:pPr>
        <w:spacing w:after="0" w:line="243" w:lineRule="exact"/>
        <w:rPr>
          <w:sz w:val="20"/>
          <w:szCs w:val="20"/>
          <w:color w:val="auto"/>
        </w:rPr>
      </w:pPr>
    </w:p>
    <w:tbl>
      <w:tblPr>
        <w:tblLayout w:type="fixed"/>
        <w:tblInd w:w="55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T. O’Keefe</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Matthew T. O’Keefe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554" w:right="239" w:bottom="1440" w:gutter="0" w:footer="0" w:header="0"/>
        </w:sectPr>
      </w:pPr>
    </w:p>
    <w:bookmarkStart w:id="146" w:name="page147"/>
    <w:bookmarkEnd w:id="146"/>
    <w:p>
      <w:pPr>
        <w:ind w:left="5520"/>
        <w:spacing w:after="0"/>
        <w:rPr>
          <w:sz w:val="20"/>
          <w:szCs w:val="20"/>
          <w:color w:val="auto"/>
        </w:rPr>
      </w:pPr>
      <w:r>
        <w:rPr>
          <w:rFonts w:ascii="Arial" w:cs="Arial" w:eastAsia="Arial" w:hAnsi="Arial"/>
          <w:sz w:val="18"/>
          <w:szCs w:val="18"/>
          <w:color w:val="auto"/>
        </w:rPr>
        <w:t>CREDIT SUISSE AG, CAYMAN ISLANDS BRANCH, as</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Lender</w:t>
      </w:r>
    </w:p>
    <w:p>
      <w:pPr>
        <w:spacing w:after="0" w:line="209" w:lineRule="exact"/>
        <w:rPr>
          <w:sz w:val="20"/>
          <w:szCs w:val="20"/>
          <w:color w:val="auto"/>
        </w:rPr>
      </w:pPr>
    </w:p>
    <w:tbl>
      <w:tblPr>
        <w:tblLayout w:type="fixed"/>
        <w:tblInd w:w="55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Hetu</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Robert Hetu</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2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Warren Van Heyst</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Warren Van Heyst</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554" w:right="239" w:bottom="1440" w:gutter="0" w:footer="0" w:header="0"/>
        </w:sectPr>
      </w:pPr>
    </w:p>
    <w:bookmarkStart w:id="147" w:name="page148"/>
    <w:bookmarkEnd w:id="147"/>
    <w:p>
      <w:pPr>
        <w:ind w:left="5520"/>
        <w:spacing w:after="0"/>
        <w:rPr>
          <w:sz w:val="20"/>
          <w:szCs w:val="20"/>
          <w:color w:val="auto"/>
        </w:rPr>
      </w:pPr>
      <w:r>
        <w:rPr>
          <w:rFonts w:ascii="Arial" w:cs="Arial" w:eastAsia="Arial" w:hAnsi="Arial"/>
          <w:sz w:val="18"/>
          <w:szCs w:val="18"/>
          <w:color w:val="auto"/>
        </w:rPr>
        <w:t>Webster Business Credit Corporation, as Lender</w:t>
      </w:r>
    </w:p>
    <w:p>
      <w:pPr>
        <w:spacing w:after="0" w:line="220" w:lineRule="exact"/>
        <w:rPr>
          <w:sz w:val="20"/>
          <w:szCs w:val="20"/>
          <w:color w:val="auto"/>
        </w:rPr>
      </w:pPr>
    </w:p>
    <w:tbl>
      <w:tblPr>
        <w:tblLayout w:type="fixed"/>
        <w:tblInd w:w="55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 Cullen</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James G. Cullen</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VP</w:t>
            </w:r>
          </w:p>
        </w:tc>
      </w:tr>
    </w:tbl>
    <w:p>
      <w:pPr>
        <w:spacing w:after="0" w:line="200" w:lineRule="exact"/>
        <w:rPr>
          <w:sz w:val="20"/>
          <w:szCs w:val="20"/>
          <w:color w:val="auto"/>
        </w:rPr>
      </w:pPr>
    </w:p>
    <w:p>
      <w:pPr>
        <w:spacing w:after="0" w:line="21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554" w:right="239" w:bottom="1440" w:gutter="0" w:footer="0" w:header="0"/>
        </w:sectPr>
      </w:pPr>
    </w:p>
    <w:bookmarkStart w:id="148" w:name="page149"/>
    <w:bookmarkEnd w:id="148"/>
    <w:p>
      <w:pPr>
        <w:ind w:left="5520"/>
        <w:spacing w:after="0"/>
        <w:rPr>
          <w:sz w:val="20"/>
          <w:szCs w:val="20"/>
          <w:color w:val="auto"/>
        </w:rPr>
      </w:pPr>
      <w:r>
        <w:rPr>
          <w:rFonts w:ascii="Arial" w:cs="Arial" w:eastAsia="Arial" w:hAnsi="Arial"/>
          <w:sz w:val="18"/>
          <w:szCs w:val="18"/>
          <w:color w:val="auto"/>
        </w:rPr>
        <w:t>JP MORGAN CHASE BANK, N.A., as Lender</w:t>
      </w:r>
    </w:p>
    <w:p>
      <w:pPr>
        <w:spacing w:after="0" w:line="220" w:lineRule="exact"/>
        <w:rPr>
          <w:sz w:val="20"/>
          <w:szCs w:val="20"/>
          <w:color w:val="auto"/>
        </w:rPr>
      </w:pPr>
    </w:p>
    <w:tbl>
      <w:tblPr>
        <w:tblLayout w:type="fixed"/>
        <w:tblInd w:w="55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Marie C. Duhamel</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Marie C. Duhamel</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1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554" w:right="239" w:bottom="1440" w:gutter="0" w:footer="0" w:header="0"/>
        </w:sectPr>
      </w:pPr>
    </w:p>
    <w:bookmarkStart w:id="149" w:name="page150"/>
    <w:bookmarkEnd w:id="149"/>
    <w:p>
      <w:pPr>
        <w:ind w:left="5520"/>
        <w:spacing w:after="0"/>
        <w:rPr>
          <w:sz w:val="20"/>
          <w:szCs w:val="20"/>
          <w:color w:val="auto"/>
        </w:rPr>
      </w:pPr>
      <w:r>
        <w:rPr>
          <w:rFonts w:ascii="Arial" w:cs="Arial" w:eastAsia="Arial" w:hAnsi="Arial"/>
          <w:sz w:val="18"/>
          <w:szCs w:val="18"/>
          <w:color w:val="auto"/>
        </w:rPr>
        <w:t>SIEMENS FINANCIAL SERVICES, INC., as Lender</w:t>
      </w:r>
    </w:p>
    <w:p>
      <w:pPr>
        <w:spacing w:after="0" w:line="220" w:lineRule="exact"/>
        <w:rPr>
          <w:sz w:val="20"/>
          <w:szCs w:val="20"/>
          <w:color w:val="auto"/>
        </w:rPr>
      </w:pPr>
    </w:p>
    <w:tbl>
      <w:tblPr>
        <w:tblLayout w:type="fixed"/>
        <w:tblInd w:w="55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B. Iervese</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Jeffrey B. Iervese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2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Finore</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John Finore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554" w:right="239" w:bottom="1440" w:gutter="0" w:footer="0" w:header="0"/>
        </w:sectPr>
      </w:pPr>
    </w:p>
    <w:bookmarkStart w:id="150" w:name="page151"/>
    <w:bookmarkEnd w:id="150"/>
    <w:p>
      <w:pPr>
        <w:ind w:left="5520"/>
        <w:spacing w:after="0"/>
        <w:rPr>
          <w:sz w:val="20"/>
          <w:szCs w:val="20"/>
          <w:color w:val="auto"/>
        </w:rPr>
      </w:pPr>
      <w:r>
        <w:rPr>
          <w:rFonts w:ascii="Arial" w:cs="Arial" w:eastAsia="Arial" w:hAnsi="Arial"/>
          <w:sz w:val="18"/>
          <w:szCs w:val="18"/>
          <w:color w:val="auto"/>
        </w:rPr>
        <w:t>BARCLAYS BANK PLC, as a Non-Consenting Lender</w:t>
      </w:r>
    </w:p>
    <w:p>
      <w:pPr>
        <w:spacing w:after="0" w:line="220" w:lineRule="exact"/>
        <w:rPr>
          <w:sz w:val="20"/>
          <w:szCs w:val="20"/>
          <w:color w:val="auto"/>
        </w:rPr>
      </w:pPr>
    </w:p>
    <w:tbl>
      <w:tblPr>
        <w:tblLayout w:type="fixed"/>
        <w:tblInd w:w="55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Vanessa A. Kurbatskiy</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Vanessa A. Kurbatskiy</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554" w:right="239" w:bottom="1440" w:gutter="0" w:footer="0" w:header="0"/>
        </w:sectPr>
      </w:pPr>
    </w:p>
    <w:bookmarkStart w:id="151" w:name="page152"/>
    <w:bookmarkEnd w:id="151"/>
    <w:p>
      <w:pPr>
        <w:ind w:left="5520"/>
        <w:spacing w:after="0"/>
        <w:rPr>
          <w:sz w:val="20"/>
          <w:szCs w:val="20"/>
          <w:color w:val="auto"/>
        </w:rPr>
      </w:pPr>
      <w:r>
        <w:rPr>
          <w:rFonts w:ascii="Arial" w:cs="Arial" w:eastAsia="Arial" w:hAnsi="Arial"/>
          <w:sz w:val="18"/>
          <w:szCs w:val="18"/>
          <w:color w:val="auto"/>
        </w:rPr>
        <w:t>CIT Finance LLC, as a Non-Consenting Lender</w:t>
      </w:r>
    </w:p>
    <w:p>
      <w:pPr>
        <w:spacing w:after="0" w:line="220" w:lineRule="exact"/>
        <w:rPr>
          <w:sz w:val="20"/>
          <w:szCs w:val="20"/>
          <w:color w:val="auto"/>
        </w:rPr>
      </w:pPr>
    </w:p>
    <w:tbl>
      <w:tblPr>
        <w:tblLayout w:type="fixed"/>
        <w:tblInd w:w="55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H. Evans</w:t>
            </w: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Donna H. Evans</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554" w:right="239" w:bottom="1440" w:gutter="0" w:footer="0" w:header="0"/>
        </w:sectPr>
      </w:pPr>
    </w:p>
    <w:bookmarkStart w:id="152" w:name="page153"/>
    <w:bookmarkEnd w:id="152"/>
    <w:p>
      <w:pPr>
        <w:jc w:val="center"/>
        <w:ind w:right="20"/>
        <w:spacing w:after="0"/>
        <w:rPr>
          <w:sz w:val="20"/>
          <w:szCs w:val="20"/>
          <w:color w:val="auto"/>
        </w:rPr>
      </w:pPr>
      <w:r>
        <w:rPr>
          <w:rFonts w:ascii="Arial" w:cs="Arial" w:eastAsia="Arial" w:hAnsi="Arial"/>
          <w:sz w:val="18"/>
          <w:szCs w:val="18"/>
          <w:b w:val="1"/>
          <w:bCs w:val="1"/>
          <w:color w:val="auto"/>
        </w:rPr>
        <w:t>SCHEDULE 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COMMITMENTS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COMMITMENTS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6860" w:type="dxa"/>
            <w:vAlign w:val="bottom"/>
            <w:tcBorders>
              <w:top w:val="single" w:sz="8" w:color="auto"/>
              <w:left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5"/>
              </w:rPr>
              <w:t>Revolving Credit</w:t>
            </w:r>
          </w:p>
        </w:tc>
        <w:tc>
          <w:tcPr>
            <w:tcW w:w="228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4"/>
              </w:rPr>
              <w:t>Letter of Credit</w:t>
            </w:r>
          </w:p>
        </w:tc>
        <w:tc>
          <w:tcPr>
            <w:tcW w:w="20" w:type="dxa"/>
            <w:vAlign w:val="bottom"/>
          </w:tcPr>
          <w:p>
            <w:pPr>
              <w:spacing w:after="0"/>
              <w:rPr>
                <w:sz w:val="12"/>
                <w:szCs w:val="12"/>
                <w:color w:val="auto"/>
              </w:rPr>
            </w:pPr>
          </w:p>
        </w:tc>
      </w:tr>
      <w:tr>
        <w:trPr>
          <w:trHeight w:val="165"/>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Lender</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Commitment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Commitment</w:t>
            </w:r>
          </w:p>
        </w:tc>
        <w:tc>
          <w:tcPr>
            <w:tcW w:w="20" w:type="dxa"/>
            <w:vAlign w:val="bottom"/>
          </w:tcPr>
          <w:p>
            <w:pPr>
              <w:spacing w:after="0"/>
              <w:rPr>
                <w:sz w:val="14"/>
                <w:szCs w:val="14"/>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Bank of America, N.A.</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$52,000,000.00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$150,000,000.00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JPMorgan Chase Bank, N.A.</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Siemens Financial Services, Inc.</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$31,000,000.00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Webster Business Credit Corporation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$20,000,000.00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Credit Suisse AG</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$150,000,000.00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$150,000,000.00</w:t>
            </w:r>
          </w:p>
        </w:tc>
        <w:tc>
          <w:tcPr>
            <w:tcW w:w="20" w:type="dxa"/>
            <w:vAlign w:val="bottom"/>
          </w:tcPr>
          <w:p>
            <w:pPr>
              <w:spacing w:after="0"/>
              <w:rPr>
                <w:sz w:val="17"/>
                <w:szCs w:val="17"/>
                <w:color w:val="auto"/>
              </w:rPr>
            </w:pPr>
          </w:p>
        </w:tc>
      </w:tr>
      <w:tr>
        <w:trPr>
          <w:trHeight w:val="1173"/>
        </w:trPr>
        <w:tc>
          <w:tcPr>
            <w:tcW w:w="68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153" w:name="page154"/>
    <w:bookmarkEnd w:id="153"/>
    <w:p>
      <w:pPr>
        <w:jc w:val="center"/>
        <w:ind w:right="20"/>
        <w:spacing w:after="0"/>
        <w:rPr>
          <w:sz w:val="20"/>
          <w:szCs w:val="20"/>
          <w:color w:val="auto"/>
        </w:rPr>
      </w:pPr>
      <w:r>
        <w:rPr>
          <w:rFonts w:ascii="Arial" w:cs="Arial" w:eastAsia="Arial" w:hAnsi="Arial"/>
          <w:sz w:val="18"/>
          <w:szCs w:val="18"/>
          <w:b w:val="1"/>
          <w:bCs w:val="1"/>
          <w:color w:val="auto"/>
        </w:rPr>
        <w:t>SCHEDULE 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6860" w:type="dxa"/>
            <w:vAlign w:val="bottom"/>
            <w:tcBorders>
              <w:top w:val="single" w:sz="8" w:color="auto"/>
              <w:left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5"/>
              </w:rPr>
              <w:t>Revolving Credit</w:t>
            </w:r>
          </w:p>
        </w:tc>
        <w:tc>
          <w:tcPr>
            <w:tcW w:w="228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4"/>
              </w:rPr>
              <w:t>Letter of Credit</w:t>
            </w:r>
          </w:p>
        </w:tc>
        <w:tc>
          <w:tcPr>
            <w:tcW w:w="20" w:type="dxa"/>
            <w:vAlign w:val="bottom"/>
          </w:tcPr>
          <w:p>
            <w:pPr>
              <w:spacing w:after="0"/>
              <w:rPr>
                <w:sz w:val="12"/>
                <w:szCs w:val="12"/>
                <w:color w:val="auto"/>
              </w:rPr>
            </w:pPr>
          </w:p>
        </w:tc>
      </w:tr>
      <w:tr>
        <w:trPr>
          <w:trHeight w:val="165"/>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Lender</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Commitment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Commitment</w:t>
            </w:r>
          </w:p>
        </w:tc>
        <w:tc>
          <w:tcPr>
            <w:tcW w:w="20" w:type="dxa"/>
            <w:vAlign w:val="bottom"/>
          </w:tcPr>
          <w:p>
            <w:pPr>
              <w:spacing w:after="0"/>
              <w:rPr>
                <w:sz w:val="14"/>
                <w:szCs w:val="14"/>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Bank of America, N.A.</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$52,000,000.00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$150,000,000.00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JPMorgan Chase Bank, N.A.</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Siemens Financial Services, Inc.</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$31,000,000.00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Webster Business Credit Corporation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$20,000,000.00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Credit Suisse AG</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20" w:type="dxa"/>
            <w:vAlign w:val="bottom"/>
          </w:tcPr>
          <w:p>
            <w:pPr>
              <w:spacing w:after="0"/>
              <w:rPr>
                <w:sz w:val="17"/>
                <w:szCs w:val="17"/>
                <w:color w:val="auto"/>
              </w:rPr>
            </w:pPr>
          </w:p>
        </w:tc>
      </w:tr>
      <w:tr>
        <w:trPr>
          <w:trHeight w:val="207"/>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$150,000,000.00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$150,000,000.00</w:t>
            </w:r>
          </w:p>
        </w:tc>
        <w:tc>
          <w:tcPr>
            <w:tcW w:w="20" w:type="dxa"/>
            <w:vAlign w:val="bottom"/>
          </w:tcPr>
          <w:p>
            <w:pPr>
              <w:spacing w:after="0"/>
              <w:rPr>
                <w:sz w:val="17"/>
                <w:szCs w:val="17"/>
                <w:color w:val="auto"/>
              </w:rPr>
            </w:pPr>
          </w:p>
        </w:tc>
      </w:tr>
      <w:tr>
        <w:trPr>
          <w:trHeight w:val="1173"/>
        </w:trPr>
        <w:tc>
          <w:tcPr>
            <w:tcW w:w="68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154" w:name="page155"/>
    <w:bookmarkEnd w:id="154"/>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SUBSIDIARY GUARANTORS AND RESTRICTED SUBSIDIARIES</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EASTMAN KODAK COMPANY SUBSIDIARY GUARANTORS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660" w:type="dxa"/>
            <w:vAlign w:val="bottom"/>
            <w:tcBorders>
              <w:top w:val="single" w:sz="8" w:color="auto"/>
              <w:left w:val="single" w:sz="8" w:color="auto"/>
              <w:right w:val="single" w:sz="8" w:color="auto"/>
            </w:tcBorders>
          </w:tcPr>
          <w:p>
            <w:pPr>
              <w:spacing w:after="0"/>
              <w:rPr>
                <w:sz w:val="11"/>
                <w:szCs w:val="11"/>
                <w:color w:val="auto"/>
              </w:rPr>
            </w:pPr>
          </w:p>
        </w:tc>
        <w:tc>
          <w:tcPr>
            <w:tcW w:w="1440" w:type="dxa"/>
            <w:vAlign w:val="bottom"/>
            <w:tcBorders>
              <w:top w:val="single" w:sz="8" w:color="auto"/>
              <w:right w:val="single" w:sz="8" w:color="auto"/>
            </w:tcBorders>
          </w:tcPr>
          <w:p>
            <w:pPr>
              <w:spacing w:after="0"/>
              <w:rPr>
                <w:sz w:val="11"/>
                <w:szCs w:val="11"/>
                <w:color w:val="auto"/>
              </w:rPr>
            </w:pPr>
          </w:p>
        </w:tc>
        <w:tc>
          <w:tcPr>
            <w:tcW w:w="136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spacing w:after="0"/>
              <w:rPr>
                <w:sz w:val="11"/>
                <w:szCs w:val="11"/>
                <w:color w:val="auto"/>
              </w:rPr>
            </w:pPr>
          </w:p>
        </w:tc>
        <w:tc>
          <w:tcPr>
            <w:tcW w:w="1500" w:type="dxa"/>
            <w:vAlign w:val="bottom"/>
            <w:tcBorders>
              <w:top w:val="single" w:sz="8" w:color="auto"/>
              <w:right w:val="single" w:sz="8" w:color="auto"/>
            </w:tcBorders>
          </w:tcPr>
          <w:p>
            <w:pPr>
              <w:spacing w:after="0"/>
              <w:rPr>
                <w:sz w:val="11"/>
                <w:szCs w:val="11"/>
                <w:color w:val="auto"/>
              </w:rPr>
            </w:pP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380" w:type="dxa"/>
            <w:vAlign w:val="bottom"/>
            <w:tcBorders>
              <w:top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jc w:val="center"/>
              <w:ind w:right="3"/>
              <w:spacing w:after="0" w:line="13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166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Jurisdiction</w:t>
            </w:r>
          </w:p>
        </w:tc>
        <w:tc>
          <w:tcPr>
            <w:tcW w:w="13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Borders>
              <w:right w:val="single" w:sz="8" w:color="auto"/>
            </w:tcBorders>
            <w:vMerge w:val="restart"/>
          </w:tcPr>
          <w:p>
            <w:pPr>
              <w:jc w:val="center"/>
              <w:ind w:right="2"/>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7"/>
        </w:trPr>
        <w:tc>
          <w:tcPr>
            <w:tcW w:w="166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Class of</w:t>
            </w:r>
          </w:p>
        </w:tc>
        <w:tc>
          <w:tcPr>
            <w:tcW w:w="142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Covered by all</w:t>
            </w:r>
          </w:p>
        </w:tc>
        <w:tc>
          <w:tcPr>
            <w:tcW w:w="0" w:type="dxa"/>
            <w:vAlign w:val="bottom"/>
          </w:tcPr>
          <w:p>
            <w:pPr>
              <w:spacing w:after="0"/>
              <w:rPr>
                <w:sz w:val="1"/>
                <w:szCs w:val="1"/>
                <w:color w:val="auto"/>
              </w:rPr>
            </w:pPr>
          </w:p>
        </w:tc>
      </w:tr>
      <w:tr>
        <w:trPr>
          <w:trHeight w:val="147"/>
        </w:trPr>
        <w:tc>
          <w:tcPr>
            <w:tcW w:w="16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Subsidiary</w:t>
            </w:r>
          </w:p>
        </w:tc>
        <w:tc>
          <w:tcPr>
            <w:tcW w:w="14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136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00" w:type="dxa"/>
            <w:vAlign w:val="bottom"/>
            <w:tcBorders>
              <w:right w:val="single" w:sz="8" w:color="auto"/>
            </w:tcBorders>
          </w:tcPr>
          <w:p>
            <w:pPr>
              <w:jc w:val="center"/>
              <w:ind w:right="3"/>
              <w:spacing w:after="0" w:line="147" w:lineRule="exact"/>
              <w:rPr>
                <w:sz w:val="20"/>
                <w:szCs w:val="20"/>
                <w:color w:val="auto"/>
              </w:rPr>
            </w:pPr>
            <w:r>
              <w:rPr>
                <w:rFonts w:ascii="Arial" w:cs="Arial" w:eastAsia="Arial" w:hAnsi="Arial"/>
                <w:sz w:val="14"/>
                <w:szCs w:val="14"/>
                <w:b w:val="1"/>
                <w:bCs w:val="1"/>
                <w:color w:val="auto"/>
                <w:w w:val="92"/>
              </w:rPr>
              <w:t>Owned by</w:t>
            </w:r>
          </w:p>
        </w:tc>
        <w:tc>
          <w:tcPr>
            <w:tcW w:w="13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Parent Entity</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Formation</w:t>
            </w:r>
          </w:p>
        </w:tc>
        <w:tc>
          <w:tcPr>
            <w:tcW w:w="13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auto"/>
              </w:rPr>
              <w:t>Equity</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Parent Entity</w:t>
            </w:r>
          </w:p>
        </w:tc>
        <w:tc>
          <w:tcPr>
            <w:tcW w:w="1380" w:type="dxa"/>
            <w:vAlign w:val="bottom"/>
            <w:tcBorders>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83"/>
        </w:trPr>
        <w:tc>
          <w:tcPr>
            <w:tcW w:w="1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6"/>
              </w:rPr>
              <w:t>Far East Development</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Delaware</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 stock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1,000</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10</w:t>
            </w:r>
          </w:p>
        </w:tc>
        <w:tc>
          <w:tcPr>
            <w:tcW w:w="1300" w:type="dxa"/>
            <w:vAlign w:val="bottom"/>
            <w:tcBorders>
              <w:right w:val="single" w:sz="8" w:color="auto"/>
            </w:tcBorders>
          </w:tcPr>
          <w:p>
            <w:pPr>
              <w:jc w:val="right"/>
              <w:ind w:right="803"/>
              <w:spacing w:after="0"/>
              <w:rPr>
                <w:sz w:val="20"/>
                <w:szCs w:val="20"/>
                <w:color w:val="auto"/>
              </w:rPr>
            </w:pPr>
            <w:r>
              <w:rPr>
                <w:rFonts w:ascii="Arial" w:cs="Arial" w:eastAsia="Arial" w:hAnsi="Arial"/>
                <w:sz w:val="16"/>
                <w:szCs w:val="16"/>
                <w:color w:val="auto"/>
                <w:w w:val="97"/>
              </w:rPr>
              <w:t>100%</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Eastman Kodak</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Ltd.</w:t>
            </w: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Company</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FPC Inc.</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California</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 stock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7,500</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80</w:t>
            </w:r>
          </w:p>
        </w:tc>
        <w:tc>
          <w:tcPr>
            <w:tcW w:w="1300" w:type="dxa"/>
            <w:vAlign w:val="bottom"/>
            <w:tcBorders>
              <w:right w:val="single" w:sz="8" w:color="auto"/>
            </w:tcBorders>
          </w:tcPr>
          <w:p>
            <w:pPr>
              <w:jc w:val="right"/>
              <w:ind w:right="803"/>
              <w:spacing w:after="0"/>
              <w:rPr>
                <w:sz w:val="20"/>
                <w:szCs w:val="20"/>
                <w:color w:val="auto"/>
              </w:rPr>
            </w:pPr>
            <w:r>
              <w:rPr>
                <w:rFonts w:ascii="Arial" w:cs="Arial" w:eastAsia="Arial" w:hAnsi="Arial"/>
                <w:sz w:val="16"/>
                <w:szCs w:val="16"/>
                <w:color w:val="auto"/>
                <w:w w:val="97"/>
              </w:rPr>
              <w:t>100%</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Laser-Pacific</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7"/>
              </w:rPr>
              <w:t>Media Corporation</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Kodak (Near East), Inc.</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New York</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Capital stock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12,000</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5,000</w:t>
            </w:r>
          </w:p>
        </w:tc>
        <w:tc>
          <w:tcPr>
            <w:tcW w:w="1300" w:type="dxa"/>
            <w:vAlign w:val="bottom"/>
            <w:tcBorders>
              <w:right w:val="single" w:sz="8" w:color="auto"/>
            </w:tcBorders>
          </w:tcPr>
          <w:p>
            <w:pPr>
              <w:jc w:val="right"/>
              <w:ind w:right="803"/>
              <w:spacing w:after="0"/>
              <w:rPr>
                <w:sz w:val="20"/>
                <w:szCs w:val="20"/>
                <w:color w:val="auto"/>
              </w:rPr>
            </w:pPr>
            <w:r>
              <w:rPr>
                <w:rFonts w:ascii="Arial" w:cs="Arial" w:eastAsia="Arial" w:hAnsi="Arial"/>
                <w:sz w:val="16"/>
                <w:szCs w:val="16"/>
                <w:color w:val="auto"/>
                <w:w w:val="97"/>
              </w:rPr>
              <w:t>100%</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Eastman Kodak</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Company</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Kodak Americas, Ltd.</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New York</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 stock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34,500</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34,500</w:t>
            </w:r>
          </w:p>
        </w:tc>
        <w:tc>
          <w:tcPr>
            <w:tcW w:w="1300" w:type="dxa"/>
            <w:vAlign w:val="bottom"/>
            <w:tcBorders>
              <w:right w:val="single" w:sz="8" w:color="auto"/>
            </w:tcBorders>
          </w:tcPr>
          <w:p>
            <w:pPr>
              <w:jc w:val="right"/>
              <w:ind w:right="803"/>
              <w:spacing w:after="0"/>
              <w:rPr>
                <w:sz w:val="20"/>
                <w:szCs w:val="20"/>
                <w:color w:val="auto"/>
              </w:rPr>
            </w:pPr>
            <w:r>
              <w:rPr>
                <w:rFonts w:ascii="Arial" w:cs="Arial" w:eastAsia="Arial" w:hAnsi="Arial"/>
                <w:sz w:val="16"/>
                <w:szCs w:val="16"/>
                <w:color w:val="auto"/>
                <w:w w:val="97"/>
              </w:rPr>
              <w:t>100%</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Eastman Kodak</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Company</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4"/>
              </w:rPr>
              <w:t>Kodak Philippines, Ltd.</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New York</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Capital stock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18,000</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6,000</w:t>
            </w:r>
          </w:p>
        </w:tc>
        <w:tc>
          <w:tcPr>
            <w:tcW w:w="1300" w:type="dxa"/>
            <w:vAlign w:val="bottom"/>
            <w:tcBorders>
              <w:right w:val="single" w:sz="8" w:color="auto"/>
            </w:tcBorders>
          </w:tcPr>
          <w:p>
            <w:pPr>
              <w:jc w:val="right"/>
              <w:ind w:right="803"/>
              <w:spacing w:after="0"/>
              <w:rPr>
                <w:sz w:val="20"/>
                <w:szCs w:val="20"/>
                <w:color w:val="auto"/>
              </w:rPr>
            </w:pPr>
            <w:r>
              <w:rPr>
                <w:rFonts w:ascii="Arial" w:cs="Arial" w:eastAsia="Arial" w:hAnsi="Arial"/>
                <w:sz w:val="16"/>
                <w:szCs w:val="16"/>
                <w:color w:val="auto"/>
                <w:w w:val="97"/>
              </w:rPr>
              <w:t>100%</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Eastman Kodak</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Company</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Kodak Realty, Inc.</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New York</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Capital stock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10,000</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100</w:t>
            </w:r>
          </w:p>
        </w:tc>
        <w:tc>
          <w:tcPr>
            <w:tcW w:w="1300" w:type="dxa"/>
            <w:vAlign w:val="bottom"/>
            <w:tcBorders>
              <w:right w:val="single" w:sz="8" w:color="auto"/>
            </w:tcBorders>
          </w:tcPr>
          <w:p>
            <w:pPr>
              <w:jc w:val="right"/>
              <w:ind w:right="803"/>
              <w:spacing w:after="0"/>
              <w:rPr>
                <w:sz w:val="20"/>
                <w:szCs w:val="20"/>
                <w:color w:val="auto"/>
              </w:rPr>
            </w:pPr>
            <w:r>
              <w:rPr>
                <w:rFonts w:ascii="Arial" w:cs="Arial" w:eastAsia="Arial" w:hAnsi="Arial"/>
                <w:sz w:val="16"/>
                <w:szCs w:val="16"/>
                <w:color w:val="auto"/>
                <w:w w:val="97"/>
              </w:rPr>
              <w:t>100%</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Eastman Kodak</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Company</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Laser-Pacific Media</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Delaware</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 stock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1,200</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1,110</w:t>
            </w:r>
          </w:p>
        </w:tc>
        <w:tc>
          <w:tcPr>
            <w:tcW w:w="1300" w:type="dxa"/>
            <w:vAlign w:val="bottom"/>
            <w:tcBorders>
              <w:right w:val="single" w:sz="8" w:color="auto"/>
            </w:tcBorders>
          </w:tcPr>
          <w:p>
            <w:pPr>
              <w:jc w:val="right"/>
              <w:ind w:right="803"/>
              <w:spacing w:after="0"/>
              <w:rPr>
                <w:sz w:val="20"/>
                <w:szCs w:val="20"/>
                <w:color w:val="auto"/>
              </w:rPr>
            </w:pPr>
            <w:r>
              <w:rPr>
                <w:rFonts w:ascii="Arial" w:cs="Arial" w:eastAsia="Arial" w:hAnsi="Arial"/>
                <w:sz w:val="16"/>
                <w:szCs w:val="16"/>
                <w:color w:val="auto"/>
                <w:w w:val="97"/>
              </w:rPr>
              <w:t>100%</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Eastman Kodak</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Corporation</w:t>
            </w: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Company</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NPEC Inc.</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California</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 stock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10,000</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100</w:t>
            </w:r>
          </w:p>
        </w:tc>
        <w:tc>
          <w:tcPr>
            <w:tcW w:w="1300" w:type="dxa"/>
            <w:vAlign w:val="bottom"/>
            <w:tcBorders>
              <w:right w:val="single" w:sz="8" w:color="auto"/>
            </w:tcBorders>
          </w:tcPr>
          <w:p>
            <w:pPr>
              <w:jc w:val="right"/>
              <w:ind w:right="803"/>
              <w:spacing w:after="0"/>
              <w:rPr>
                <w:sz w:val="20"/>
                <w:szCs w:val="20"/>
                <w:color w:val="auto"/>
              </w:rPr>
            </w:pPr>
            <w:r>
              <w:rPr>
                <w:rFonts w:ascii="Arial" w:cs="Arial" w:eastAsia="Arial" w:hAnsi="Arial"/>
                <w:sz w:val="16"/>
                <w:szCs w:val="16"/>
                <w:color w:val="auto"/>
                <w:w w:val="97"/>
              </w:rPr>
              <w:t>100%</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Eastman Kodak</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Company</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Qualex Inc.</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Delaware</w:t>
            </w: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 stock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1,000</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1,000</w:t>
            </w:r>
          </w:p>
        </w:tc>
        <w:tc>
          <w:tcPr>
            <w:tcW w:w="1300" w:type="dxa"/>
            <w:vAlign w:val="bottom"/>
            <w:tcBorders>
              <w:right w:val="single" w:sz="8" w:color="auto"/>
            </w:tcBorders>
          </w:tcPr>
          <w:p>
            <w:pPr>
              <w:jc w:val="right"/>
              <w:ind w:right="803"/>
              <w:spacing w:after="0"/>
              <w:rPr>
                <w:sz w:val="20"/>
                <w:szCs w:val="20"/>
                <w:color w:val="auto"/>
              </w:rPr>
            </w:pPr>
            <w:r>
              <w:rPr>
                <w:rFonts w:ascii="Arial" w:cs="Arial" w:eastAsia="Arial" w:hAnsi="Arial"/>
                <w:sz w:val="16"/>
                <w:szCs w:val="16"/>
                <w:color w:val="auto"/>
                <w:w w:val="97"/>
              </w:rPr>
              <w:t>100%</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Eastman Kodak</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Company</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155" w:name="page156"/>
    <w:bookmarkEnd w:id="155"/>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B</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SUBSIDIARIES OF EASTMAN KODAK COMPANY</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900" w:type="dxa"/>
            <w:vAlign w:val="bottom"/>
            <w:tcBorders>
              <w:top w:val="single" w:sz="8" w:color="auto"/>
              <w:left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66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jc w:val="center"/>
              <w:ind w:right="3"/>
              <w:spacing w:after="0" w:line="13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Class of</w:t>
            </w:r>
          </w:p>
        </w:tc>
        <w:tc>
          <w:tcPr>
            <w:tcW w:w="12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Covered by all</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Subsidiary</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9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Owned by Parent</w:t>
            </w:r>
          </w:p>
        </w:tc>
        <w:tc>
          <w:tcPr>
            <w:tcW w:w="16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Parent Entity</w:t>
            </w: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Formation</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660" w:type="dxa"/>
            <w:vAlign w:val="bottom"/>
            <w:tcBorders>
              <w:bottom w:val="single" w:sz="8" w:color="auto"/>
              <w:right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1680382 Ontario</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Canada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7"/>
              </w:rPr>
              <w:t>Kodak Canada ULC</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equity</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its capacity as</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Administrator of the</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Kodak Canada</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Income Plan]</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Eastman Kodak</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The Netherlands</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195"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Holdings B.V.</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Eastman Kodak</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Delaware</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8,200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International Capital</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Company, Inc.</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Eastman Kodak Sarl</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Switzerland</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1,900,000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1,900,000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Far East Development</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Delaware</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Ltd.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FPC Inc.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California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7,500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Laser-Pacific Media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Corporation</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Horsell Graphic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9"/>
              </w:rPr>
              <w:t>United Kingdom</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31,648,053</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Limited</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Industries Ltd.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2"/>
              </w:rPr>
              <w:t>Kodak (Australasia) Pty.</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Australia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Ordinary</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66,901,626</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66,901,626</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97.1576%</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Ltd.</w:t>
            </w: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2.8424%</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Graphic</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Communications</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Canada 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0"/>
              </w:rPr>
              <w:t>Kodak (China) Company</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195"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Investment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Kodak (China) Graphic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195"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75%</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Communications</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Ltd.</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Company Ltd.</w:t>
            </w:r>
          </w:p>
        </w:tc>
        <w:tc>
          <w:tcPr>
            <w:tcW w:w="138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90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25%</w:t>
            </w:r>
          </w:p>
        </w:tc>
        <w:tc>
          <w:tcPr>
            <w:tcW w:w="166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900" w:type="dxa"/>
            <w:vAlign w:val="bottom"/>
            <w:tcBorders>
              <w:left w:val="single" w:sz="8" w:color="auto"/>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Investment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(China)</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195"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Investment Company</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jc w:val="center"/>
              <w:ind w:right="875"/>
              <w:spacing w:after="0"/>
              <w:rPr>
                <w:sz w:val="20"/>
                <w:szCs w:val="20"/>
                <w:color w:val="auto"/>
              </w:rPr>
            </w:pPr>
            <w:r>
              <w:rPr>
                <w:rFonts w:ascii="Arial" w:cs="Arial" w:eastAsia="Arial" w:hAnsi="Arial"/>
                <w:sz w:val="18"/>
                <w:szCs w:val="18"/>
                <w:color w:val="auto"/>
                <w:w w:val="99"/>
              </w:rPr>
              <w:t>3</w:t>
            </w: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56" w:name="page157"/>
    <w:bookmarkEnd w:id="156"/>
    <w:tbl>
      <w:tblPr>
        <w:tblLayout w:type="fixed"/>
        <w:tblInd w:w="10" w:type="dxa"/>
        <w:tblCellMar>
          <w:top w:w="0" w:type="dxa"/>
          <w:left w:w="0" w:type="dxa"/>
          <w:bottom w:w="0" w:type="dxa"/>
          <w:right w:w="0" w:type="dxa"/>
        </w:tblCellMar>
      </w:tblPr>
      <w:tr>
        <w:trPr>
          <w:trHeight w:val="137"/>
        </w:trPr>
        <w:tc>
          <w:tcPr>
            <w:tcW w:w="1900" w:type="dxa"/>
            <w:vAlign w:val="bottom"/>
            <w:tcBorders>
              <w:top w:val="single" w:sz="8" w:color="auto"/>
              <w:left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66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jc w:val="center"/>
              <w:ind w:right="3"/>
              <w:spacing w:after="0" w:line="13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Class of</w:t>
            </w:r>
          </w:p>
        </w:tc>
        <w:tc>
          <w:tcPr>
            <w:tcW w:w="12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Covered by all</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Subsidiary</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9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Owned by Parent</w:t>
            </w:r>
          </w:p>
        </w:tc>
        <w:tc>
          <w:tcPr>
            <w:tcW w:w="16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Parent Entity</w:t>
            </w: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Formation</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660" w:type="dxa"/>
            <w:vAlign w:val="bottom"/>
            <w:tcBorders>
              <w:bottom w:val="single" w:sz="8" w:color="auto"/>
              <w:right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Kodak (China) Limited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195"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(Guangzhou)</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195"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Technology Service</w:t>
            </w: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9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Company 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Canton Hotel</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90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Kodak (Hong Kong)</w:t>
            </w:r>
          </w:p>
        </w:tc>
        <w:tc>
          <w:tcPr>
            <w:tcW w:w="13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Hong Kong</w:t>
            </w:r>
          </w:p>
        </w:tc>
        <w:tc>
          <w:tcPr>
            <w:tcW w:w="9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201"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Kodak (Malaysia) Sdn.</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Malaysia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Ordinary</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8,509,343</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99.98%</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Bhd.</w:t>
            </w: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90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.01%</w:t>
            </w:r>
          </w:p>
        </w:tc>
        <w:tc>
          <w:tcPr>
            <w:tcW w:w="16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.01%</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Then Tze Keen,</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Kodak (Near East), Inc.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New York</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12,000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(Shanghai)</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195"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International Trading</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 Ltd.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Kodak (Singapore) Pte.</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Singapore</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Ordinary</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(Thailand)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Thailand</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78,000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99.974359%</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900" w:type="dxa"/>
            <w:vAlign w:val="bottom"/>
            <w:tcBorders>
              <w:left w:val="single" w:sz="8" w:color="auto"/>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.025641%</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 shares held by</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Chuanchart</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Prukpaisal and 10</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 held by Pat</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Sheller</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Kodak (Wuxi) Company</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195"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Investment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(Xiamen)</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jc w:val="center"/>
              <w:ind w:right="835"/>
              <w:spacing w:after="0" w:line="195" w:lineRule="exact"/>
              <w:rPr>
                <w:sz w:val="20"/>
                <w:szCs w:val="20"/>
                <w:color w:val="auto"/>
              </w:rPr>
            </w:pPr>
            <w:r>
              <w:rPr>
                <w:rFonts w:ascii="Arial" w:cs="Arial" w:eastAsia="Arial" w:hAnsi="Arial"/>
                <w:sz w:val="18"/>
                <w:szCs w:val="18"/>
                <w:color w:val="auto"/>
                <w:w w:val="99"/>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95%</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Company Limited</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Investment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Xiamen State-Owned</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Assets Investment</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jc w:val="center"/>
              <w:ind w:right="875"/>
              <w:spacing w:after="0"/>
              <w:rPr>
                <w:sz w:val="20"/>
                <w:szCs w:val="20"/>
                <w:color w:val="auto"/>
              </w:rPr>
            </w:pPr>
            <w:r>
              <w:rPr>
                <w:rFonts w:ascii="Arial" w:cs="Arial" w:eastAsia="Arial" w:hAnsi="Arial"/>
                <w:sz w:val="18"/>
                <w:szCs w:val="18"/>
                <w:color w:val="auto"/>
                <w:w w:val="99"/>
              </w:rPr>
              <w:t>4</w:t>
            </w: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57" w:name="page158"/>
    <w:bookmarkEnd w:id="157"/>
    <w:tbl>
      <w:tblPr>
        <w:tblLayout w:type="fixed"/>
        <w:tblInd w:w="10" w:type="dxa"/>
        <w:tblCellMar>
          <w:top w:w="0" w:type="dxa"/>
          <w:left w:w="0" w:type="dxa"/>
          <w:bottom w:w="0" w:type="dxa"/>
          <w:right w:w="0" w:type="dxa"/>
        </w:tblCellMar>
      </w:tblPr>
      <w:tr>
        <w:trPr>
          <w:trHeight w:val="137"/>
        </w:trPr>
        <w:tc>
          <w:tcPr>
            <w:tcW w:w="1900" w:type="dxa"/>
            <w:vAlign w:val="bottom"/>
            <w:tcBorders>
              <w:top w:val="single" w:sz="8" w:color="auto"/>
              <w:left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66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jc w:val="center"/>
              <w:ind w:right="3"/>
              <w:spacing w:after="0" w:line="13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Class of</w:t>
            </w:r>
          </w:p>
        </w:tc>
        <w:tc>
          <w:tcPr>
            <w:tcW w:w="12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Covered by all</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Subsidiary</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9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Owned by Parent</w:t>
            </w:r>
          </w:p>
        </w:tc>
        <w:tc>
          <w:tcPr>
            <w:tcW w:w="16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Parent Entity</w:t>
            </w: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Formation</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660" w:type="dxa"/>
            <w:vAlign w:val="bottom"/>
            <w:tcBorders>
              <w:bottom w:val="single" w:sz="8" w:color="auto"/>
              <w:right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Kodak (Xiamen) Digital</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75%</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Imaging Products</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Limited</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Company Limited</w:t>
            </w:r>
          </w:p>
        </w:tc>
        <w:tc>
          <w:tcPr>
            <w:tcW w:w="138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900" w:type="dxa"/>
            <w:vAlign w:val="bottom"/>
            <w:tcBorders>
              <w:left w:val="single" w:sz="8" w:color="auto"/>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25%</w:t>
            </w:r>
          </w:p>
        </w:tc>
        <w:tc>
          <w:tcPr>
            <w:tcW w:w="166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900" w:type="dxa"/>
            <w:vAlign w:val="bottom"/>
            <w:tcBorders>
              <w:left w:val="single" w:sz="8" w:color="auto"/>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66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Investment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France</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A/S</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Denmark</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Americas, Ltd.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New York</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34,500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34,500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Argentina</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Argentina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989,437</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527,668</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53.34%</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S.A.I.C.</w:t>
            </w: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461,769</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46.66%</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Brasileira</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Brazil</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136,566,397</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99.9999987%</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Comercio de Produtos</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quotas</w:t>
            </w: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w w:val="90"/>
              </w:rPr>
              <w:t>Para Imagem e Serviços</w:t>
            </w:r>
          </w:p>
        </w:tc>
        <w:tc>
          <w:tcPr>
            <w:tcW w:w="13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right w:val="single" w:sz="8" w:color="auto"/>
            </w:tcBorders>
            <w:vMerge w:val="continue"/>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189 quotas</w:t>
            </w:r>
          </w:p>
        </w:tc>
        <w:tc>
          <w:tcPr>
            <w:tcW w:w="150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.000001383%</w:t>
            </w:r>
          </w:p>
        </w:tc>
        <w:tc>
          <w:tcPr>
            <w:tcW w:w="166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Kodak Americas,</w:t>
            </w: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Ltda.</w:t>
            </w:r>
          </w:p>
        </w:tc>
        <w:tc>
          <w:tcPr>
            <w:tcW w:w="13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900" w:type="dxa"/>
            <w:vAlign w:val="bottom"/>
            <w:tcBorders>
              <w:left w:val="single" w:sz="8" w:color="auto"/>
              <w:right w:val="single" w:sz="8" w:color="auto"/>
            </w:tcBorders>
            <w:vMerge w:val="continue"/>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Canada ULC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Canada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unlimited</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334,000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99.999997%</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Graphic</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Communications</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5"/>
              </w:rPr>
              <w:t>Common Shares</w:t>
            </w: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Canada Company</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0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w w:val="99"/>
              </w:rPr>
              <w:t>Preference</w:t>
            </w:r>
          </w:p>
        </w:tc>
        <w:tc>
          <w:tcPr>
            <w:tcW w:w="12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and one (1)</w:t>
            </w:r>
          </w:p>
        </w:tc>
        <w:tc>
          <w:tcPr>
            <w:tcW w:w="13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1</w:t>
            </w:r>
          </w:p>
        </w:tc>
        <w:tc>
          <w:tcPr>
            <w:tcW w:w="150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.000003%</w:t>
            </w:r>
          </w:p>
        </w:tc>
        <w:tc>
          <w:tcPr>
            <w:tcW w:w="16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00" w:type="dxa"/>
            <w:vAlign w:val="bottom"/>
            <w:tcBorders>
              <w:left w:val="single" w:sz="8" w:color="auto"/>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3"/>
              </w:rPr>
              <w:t>Preference share</w:t>
            </w:r>
          </w:p>
        </w:tc>
        <w:tc>
          <w:tcPr>
            <w:tcW w:w="134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900" w:type="dxa"/>
            <w:vAlign w:val="bottom"/>
            <w:tcBorders>
              <w:left w:val="single" w:sz="8" w:color="auto"/>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Chilena S.A.F.</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Chile</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129,246,565</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99.9962%</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.0038%</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5</w:t>
            </w: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58" w:name="page159"/>
    <w:bookmarkEnd w:id="158"/>
    <w:tbl>
      <w:tblPr>
        <w:tblLayout w:type="fixed"/>
        <w:tblInd w:w="10" w:type="dxa"/>
        <w:tblCellMar>
          <w:top w:w="0" w:type="dxa"/>
          <w:left w:w="0" w:type="dxa"/>
          <w:bottom w:w="0" w:type="dxa"/>
          <w:right w:w="0" w:type="dxa"/>
        </w:tblCellMar>
      </w:tblPr>
      <w:tr>
        <w:trPr>
          <w:trHeight w:val="137"/>
        </w:trPr>
        <w:tc>
          <w:tcPr>
            <w:tcW w:w="1900" w:type="dxa"/>
            <w:vAlign w:val="bottom"/>
            <w:tcBorders>
              <w:top w:val="single" w:sz="8" w:color="auto"/>
              <w:left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66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jc w:val="center"/>
              <w:ind w:right="2"/>
              <w:spacing w:after="0" w:line="13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Class of</w:t>
            </w:r>
          </w:p>
        </w:tc>
        <w:tc>
          <w:tcPr>
            <w:tcW w:w="12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Covered by all</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Subsidiary</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9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Owned by Parent</w:t>
            </w:r>
          </w:p>
        </w:tc>
        <w:tc>
          <w:tcPr>
            <w:tcW w:w="16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Parent Entity</w:t>
            </w: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Formation</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660" w:type="dxa"/>
            <w:vAlign w:val="bottom"/>
            <w:tcBorders>
              <w:bottom w:val="single" w:sz="8" w:color="auto"/>
              <w:right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da Amazônia</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Brazil</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149,798,463</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99.9999987%</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Brasileira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Indústria e Comécio</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quotas</w:t>
            </w: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Comercio de</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Ltda.</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Produtos para</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Imagem e Serviços</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Ltda.</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 quotas</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0.0000013%</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Americas,</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de Colombia,</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Colombia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704</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Mexicana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SAS</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 de C.V.</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de Mexico S.A.</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Mexico</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179,341,945</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179,341,945</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 C.V.</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.01%</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Americas,</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Electronic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Products (Shanghai)</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Investment Co., Inc.</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Company 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GmbH</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Austria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GmbH</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Germany</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Graphic</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Communications</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GmbH</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Graphic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Bulgaria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Graphic</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Communications EAD</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Communications</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GmbH</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Graphic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Germany</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Holding</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Communications GmbH</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GmbH</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Graphic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9"/>
              </w:rPr>
              <w:t>United Kingdom</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52,000,002</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52,000,002</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Limited</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Communications</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Holding GmbH</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Germany</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IL Ltd.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Israel</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312,774</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294,774</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1900" w:type="dxa"/>
            <w:vAlign w:val="bottom"/>
            <w:tcBorders>
              <w:left w:val="single" w:sz="8" w:color="auto"/>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93%</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Polychrome</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Graphics Finance</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(Barbados) SRL</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India Private</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India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Equity and</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327,500,000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9,734,506</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99.99999979%</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Limited</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9"/>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9"/>
              </w:rPr>
              <w:t>Preference</w:t>
            </w:r>
          </w:p>
        </w:tc>
        <w:tc>
          <w:tcPr>
            <w:tcW w:w="1260" w:type="dxa"/>
            <w:vAlign w:val="bottom"/>
            <w:tcBorders>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90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2</w:t>
            </w:r>
          </w:p>
        </w:tc>
        <w:tc>
          <w:tcPr>
            <w:tcW w:w="150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.00000021%</w:t>
            </w:r>
          </w:p>
        </w:tc>
        <w:tc>
          <w:tcPr>
            <w:tcW w:w="166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Kodak International</w:t>
            </w:r>
          </w:p>
        </w:tc>
        <w:tc>
          <w:tcPr>
            <w:tcW w:w="1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900" w:type="dxa"/>
            <w:vAlign w:val="bottom"/>
            <w:tcBorders>
              <w:left w:val="single" w:sz="8" w:color="auto"/>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Finance Limited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International</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England</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28,061,408</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Limited</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Finance 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137"/>
        </w:trPr>
        <w:tc>
          <w:tcPr>
            <w:tcW w:w="1900" w:type="dxa"/>
            <w:vAlign w:val="bottom"/>
            <w:tcBorders>
              <w:top w:val="single" w:sz="8" w:color="auto"/>
              <w:left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66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jc w:val="center"/>
              <w:ind w:right="2"/>
              <w:spacing w:after="0" w:line="13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Class of</w:t>
            </w:r>
          </w:p>
        </w:tc>
        <w:tc>
          <w:tcPr>
            <w:tcW w:w="12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Covered by all</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Subsidiary</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9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Owned by Parent</w:t>
            </w:r>
          </w:p>
        </w:tc>
        <w:tc>
          <w:tcPr>
            <w:tcW w:w="16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Parent Entity</w:t>
            </w: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Formation</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660" w:type="dxa"/>
            <w:vAlign w:val="bottom"/>
            <w:tcBorders>
              <w:bottom w:val="single" w:sz="8" w:color="auto"/>
              <w:right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Japan Ltd.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Japan</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400,000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396,071</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77.097%</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Polychrome</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Graphics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12.674%</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900" w:type="dxa"/>
            <w:vAlign w:val="bottom"/>
            <w:tcBorders>
              <w:left w:val="single" w:sz="8" w:color="auto"/>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90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10.229%</w:t>
            </w:r>
          </w:p>
        </w:tc>
        <w:tc>
          <w:tcPr>
            <w:tcW w:w="16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Kodak Graphic</w:t>
            </w: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Communications</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Canada Company</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Korea Ltd.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South Korea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3,000,000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964,000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Limited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9"/>
              </w:rPr>
              <w:t>United Kingdom</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 Ordinary</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130,000,000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.9999923%</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i w:val="1"/>
                <w:iCs w:val="1"/>
                <w:color w:val="auto"/>
              </w:rPr>
              <w:t>Eff. 9/1/13</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.0000077%</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Kodak Pension Plan</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 Ordinary</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(non-</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voting)</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0"/>
              </w:rPr>
              <w:t>Kodak Mexicana S.A. de</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Mexico</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262,870,350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262,875,350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C.V.</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.01%</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Americas,</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Kodak Nederland B.V.</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Netherlands</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New Zealand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New Zealand</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Ordinary</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Nordic AB</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Sweden</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270,000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270,000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OOO</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Russia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Oy</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Finland</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534,000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534,000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Kodak Philippines, Ltd.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New York</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18,000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6,000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Polska Sp.zo.o</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Poland</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Share capital</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25,287 (shares</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9"/>
              </w:rPr>
              <w:t>PLN 24,022,650</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w:t>
            </w: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uncertificated)</w:t>
            </w: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Polychrome</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Polychrome</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Graphics China Co. Ltd.</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Graphics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Polychrome</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Barbados</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4</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4</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4"/>
              </w:rPr>
              <w:t>Graphics Company Ltd.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7</w:t>
            </w: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60" w:name="page161"/>
    <w:bookmarkEnd w:id="160"/>
    <w:tbl>
      <w:tblPr>
        <w:tblLayout w:type="fixed"/>
        <w:tblInd w:w="10" w:type="dxa"/>
        <w:tblCellMar>
          <w:top w:w="0" w:type="dxa"/>
          <w:left w:w="0" w:type="dxa"/>
          <w:bottom w:w="0" w:type="dxa"/>
          <w:right w:w="0" w:type="dxa"/>
        </w:tblCellMar>
      </w:tblPr>
      <w:tr>
        <w:trPr>
          <w:trHeight w:val="137"/>
        </w:trPr>
        <w:tc>
          <w:tcPr>
            <w:tcW w:w="2020" w:type="dxa"/>
            <w:vAlign w:val="bottom"/>
            <w:tcBorders>
              <w:top w:val="single" w:sz="8" w:color="auto"/>
              <w:left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64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202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9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7"/>
        </w:trPr>
        <w:tc>
          <w:tcPr>
            <w:tcW w:w="202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Class of</w:t>
            </w:r>
          </w:p>
        </w:tc>
        <w:tc>
          <w:tcPr>
            <w:tcW w:w="12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Covered by all</w:t>
            </w:r>
          </w:p>
        </w:tc>
        <w:tc>
          <w:tcPr>
            <w:tcW w:w="0" w:type="dxa"/>
            <w:vAlign w:val="bottom"/>
          </w:tcPr>
          <w:p>
            <w:pPr>
              <w:spacing w:after="0"/>
              <w:rPr>
                <w:sz w:val="1"/>
                <w:szCs w:val="1"/>
                <w:color w:val="auto"/>
              </w:rPr>
            </w:pPr>
          </w:p>
        </w:tc>
      </w:tr>
      <w:tr>
        <w:trPr>
          <w:trHeight w:val="147"/>
        </w:trPr>
        <w:tc>
          <w:tcPr>
            <w:tcW w:w="20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Subsidiary</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9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4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Owned by Parent</w:t>
            </w:r>
          </w:p>
        </w:tc>
        <w:tc>
          <w:tcPr>
            <w:tcW w:w="16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Parent Entity</w:t>
            </w: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20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Formation</w:t>
            </w:r>
          </w:p>
        </w:tc>
        <w:tc>
          <w:tcPr>
            <w:tcW w:w="9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640" w:type="dxa"/>
            <w:vAlign w:val="bottom"/>
            <w:tcBorders>
              <w:bottom w:val="single" w:sz="8" w:color="auto"/>
              <w:right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94"/>
        </w:trPr>
        <w:tc>
          <w:tcPr>
            <w:tcW w:w="20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Polychrome</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Uruguay</w:t>
            </w:r>
          </w:p>
        </w:tc>
        <w:tc>
          <w:tcPr>
            <w:tcW w:w="9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375,000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375,000</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Polychrome</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Graphics Cono Sur SA</w:t>
            </w: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Graphics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Polychrome</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Uruguay</w:t>
            </w:r>
          </w:p>
        </w:tc>
        <w:tc>
          <w:tcPr>
            <w:tcW w:w="9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Polychrome</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Graphics Export SAFI</w:t>
            </w: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Graphics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Polychrome</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Barbados</w:t>
            </w:r>
          </w:p>
        </w:tc>
        <w:tc>
          <w:tcPr>
            <w:tcW w:w="9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 quotas</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 quota</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Polychrome</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Graphics Madeira</w:t>
            </w: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Graphics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Servicos Ltd.</w:t>
            </w:r>
          </w:p>
        </w:tc>
        <w:tc>
          <w:tcPr>
            <w:tcW w:w="13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 quota</w:t>
            </w: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50%</w:t>
            </w: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Merrydown Limited</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auto"/>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Realty, Inc.</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New York</w:t>
            </w:r>
          </w:p>
        </w:tc>
        <w:tc>
          <w:tcPr>
            <w:tcW w:w="9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SA/NV</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Belgium</w:t>
            </w:r>
          </w:p>
        </w:tc>
        <w:tc>
          <w:tcPr>
            <w:tcW w:w="9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324,542</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35.0217%</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2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296,295</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31.9735%</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20" w:type="dxa"/>
            <w:vAlign w:val="bottom"/>
            <w:tcBorders>
              <w:left w:val="single" w:sz="8" w:color="auto"/>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287,231</w:t>
            </w: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30.9955%</w:t>
            </w: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Kodak Nederland BV</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auto"/>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2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18,613</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2.0085%</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Graphic</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Communications</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Canada Company</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2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.0008%</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S.p.A.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Italy</w:t>
            </w:r>
          </w:p>
        </w:tc>
        <w:tc>
          <w:tcPr>
            <w:tcW w:w="9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73,000,000</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99.998%</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2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.002%</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Kodak Societe Anonyme</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Switzerland</w:t>
            </w:r>
          </w:p>
        </w:tc>
        <w:tc>
          <w:tcPr>
            <w:tcW w:w="9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28,000</w:t>
            </w:r>
          </w:p>
        </w:tc>
        <w:tc>
          <w:tcPr>
            <w:tcW w:w="13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shares to a par</w:t>
            </w: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value of 500</w:t>
            </w: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CHF each =</w:t>
            </w: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14,000,000</w:t>
            </w: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CHF – all</w:t>
            </w: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 owned</w:t>
            </w: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by EKICC</w:t>
            </w:r>
          </w:p>
        </w:tc>
        <w:tc>
          <w:tcPr>
            <w:tcW w:w="13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2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Germany</w:t>
            </w:r>
          </w:p>
        </w:tc>
        <w:tc>
          <w:tcPr>
            <w:tcW w:w="9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4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Holding</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87"/>
              </w:rPr>
              <w:t>Unterstützungsgesellschaft</w:t>
            </w: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GmbH</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mbH</w:t>
            </w:r>
          </w:p>
        </w:tc>
        <w:tc>
          <w:tcPr>
            <w:tcW w:w="13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61" w:name="page162"/>
    <w:bookmarkEnd w:id="161"/>
    <w:tbl>
      <w:tblPr>
        <w:tblLayout w:type="fixed"/>
        <w:tblInd w:w="10" w:type="dxa"/>
        <w:tblCellMar>
          <w:top w:w="0" w:type="dxa"/>
          <w:left w:w="0" w:type="dxa"/>
          <w:bottom w:w="0" w:type="dxa"/>
          <w:right w:w="0" w:type="dxa"/>
        </w:tblCellMar>
      </w:tblPr>
      <w:tr>
        <w:trPr>
          <w:trHeight w:val="137"/>
        </w:trPr>
        <w:tc>
          <w:tcPr>
            <w:tcW w:w="1900" w:type="dxa"/>
            <w:vAlign w:val="bottom"/>
            <w:tcBorders>
              <w:top w:val="single" w:sz="8" w:color="auto"/>
              <w:left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66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Class of</w:t>
            </w:r>
          </w:p>
        </w:tc>
        <w:tc>
          <w:tcPr>
            <w:tcW w:w="12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Covered by all</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Subsidiary</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9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Owned by Parent</w:t>
            </w:r>
          </w:p>
        </w:tc>
        <w:tc>
          <w:tcPr>
            <w:tcW w:w="16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Parent Entity</w:t>
            </w: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Formation</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660" w:type="dxa"/>
            <w:vAlign w:val="bottom"/>
            <w:tcBorders>
              <w:bottom w:val="single" w:sz="8" w:color="auto"/>
              <w:right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Kodak Venezuela, S.A.</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Venezuela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Capital</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16,830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16,830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S.A.</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Spain</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Ordinary</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284,760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284,759</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1900" w:type="dxa"/>
            <w:vAlign w:val="bottom"/>
            <w:tcBorders>
              <w:left w:val="single" w:sz="8" w:color="auto"/>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90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1</w:t>
            </w:r>
          </w:p>
        </w:tc>
        <w:tc>
          <w:tcPr>
            <w:tcW w:w="1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.01%</w:t>
            </w:r>
          </w:p>
        </w:tc>
        <w:tc>
          <w:tcPr>
            <w:tcW w:w="16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International Capital</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KodakIT (Singapore)</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Singapore</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Ordinary</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Pte. Ltd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Holdings B.V.</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KP Services (Jersey)</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Jersey</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Limited</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Limited</w:t>
            </w:r>
          </w:p>
        </w:tc>
        <w:tc>
          <w:tcPr>
            <w:tcW w:w="14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Co-owner has the</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right to earn</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additional shares</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an option to</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buy the shares</w:t>
            </w:r>
          </w:p>
        </w:tc>
        <w:tc>
          <w:tcPr>
            <w:tcW w:w="0" w:type="dxa"/>
            <w:vAlign w:val="bottom"/>
          </w:tcPr>
          <w:p>
            <w:pPr>
              <w:spacing w:after="0"/>
              <w:rPr>
                <w:sz w:val="1"/>
                <w:szCs w:val="1"/>
                <w:color w:val="auto"/>
              </w:rPr>
            </w:pPr>
          </w:p>
        </w:tc>
      </w:tr>
      <w:tr>
        <w:trPr>
          <w:trHeight w:val="199"/>
        </w:trPr>
        <w:tc>
          <w:tcPr>
            <w:tcW w:w="190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420" w:type="dxa"/>
            <w:vAlign w:val="bottom"/>
            <w:tcBorders>
              <w:right w:val="single" w:sz="8" w:color="auto"/>
            </w:tcBorders>
          </w:tcPr>
          <w:p>
            <w:pPr>
              <w:ind w:left="60"/>
              <w:spacing w:after="0" w:line="199" w:lineRule="exact"/>
              <w:rPr>
                <w:sz w:val="20"/>
                <w:szCs w:val="20"/>
                <w:color w:val="auto"/>
              </w:rPr>
            </w:pPr>
            <w:r>
              <w:rPr>
                <w:rFonts w:ascii="Arial" w:cs="Arial" w:eastAsia="Arial" w:hAnsi="Arial"/>
                <w:sz w:val="18"/>
                <w:szCs w:val="18"/>
                <w:color w:val="auto"/>
                <w:w w:val="99"/>
              </w:rPr>
              <w:t>owned by Kodak</w:t>
            </w: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The Guiton Group</w:t>
            </w:r>
          </w:p>
        </w:tc>
        <w:tc>
          <w:tcPr>
            <w:tcW w:w="14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88"/>
              </w:rPr>
              <w:t>KPG Finance (Barbados)</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Barbados</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Unlimited</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9"/>
              </w:rPr>
              <w:t>100,000 quotas</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Polychrome</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SRL</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Graphics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quotas</w:t>
            </w: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KPSJ P Co 1 Limited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Jersey</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Limited</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KP Services (Jersey)</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KPSJ P Co 2 Limited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Jersey</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Limited</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KP Services (Jersey)</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Laboratoires Kodak</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France</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454,399</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S.A.S.</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Laser-Pacific Media</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Delaware</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1,200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1,110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Corporation</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Miraclon Belgium</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Belgium</w:t>
            </w: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50</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50</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99%</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Miraclon Corporation</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Miraclon Europe</w:t>
            </w: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Limited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Miraclon Canada, Inc.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Canada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100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Miraclon Corporation</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Miraclon</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Mexico</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80,000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Miraclon Corporation</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w w:val="96"/>
              </w:rPr>
              <w:t>Comercializadora, S.A.</w:t>
            </w:r>
          </w:p>
        </w:tc>
        <w:tc>
          <w:tcPr>
            <w:tcW w:w="138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900" w:type="dxa"/>
            <w:vAlign w:val="bottom"/>
            <w:tcBorders>
              <w:left w:val="single" w:sz="8" w:color="auto"/>
              <w:right w:val="single" w:sz="8" w:color="auto"/>
            </w:tcBorders>
            <w:vMerge w:val="continue"/>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ind w:left="60"/>
              <w:spacing w:after="0" w:line="154" w:lineRule="exact"/>
              <w:rPr>
                <w:sz w:val="20"/>
                <w:szCs w:val="20"/>
                <w:color w:val="auto"/>
              </w:rPr>
            </w:pPr>
            <w:r>
              <w:rPr>
                <w:rFonts w:ascii="Arial" w:cs="Arial" w:eastAsia="Arial" w:hAnsi="Arial"/>
                <w:sz w:val="17"/>
                <w:szCs w:val="17"/>
                <w:color w:val="auto"/>
              </w:rPr>
              <w:t>1%</w:t>
            </w:r>
          </w:p>
        </w:tc>
        <w:tc>
          <w:tcPr>
            <w:tcW w:w="1660" w:type="dxa"/>
            <w:vAlign w:val="bottom"/>
            <w:tcBorders>
              <w:right w:val="single" w:sz="8" w:color="auto"/>
            </w:tcBorders>
          </w:tcPr>
          <w:p>
            <w:pPr>
              <w:ind w:left="40"/>
              <w:spacing w:after="0" w:line="154" w:lineRule="exact"/>
              <w:rPr>
                <w:sz w:val="20"/>
                <w:szCs w:val="20"/>
                <w:color w:val="auto"/>
              </w:rPr>
            </w:pPr>
            <w:r>
              <w:rPr>
                <w:rFonts w:ascii="Arial" w:cs="Arial" w:eastAsia="Arial" w:hAnsi="Arial"/>
                <w:sz w:val="17"/>
                <w:szCs w:val="17"/>
                <w:color w:val="auto"/>
              </w:rPr>
              <w:t>Miraclon de Mexico,</w:t>
            </w:r>
          </w:p>
        </w:tc>
        <w:tc>
          <w:tcPr>
            <w:tcW w:w="1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 C.V.</w:t>
            </w:r>
          </w:p>
        </w:tc>
        <w:tc>
          <w:tcPr>
            <w:tcW w:w="138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 de C.V.</w:t>
            </w:r>
          </w:p>
        </w:tc>
        <w:tc>
          <w:tcPr>
            <w:tcW w:w="14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Miraclon Corporation</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Delaware</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100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9</w:t>
            </w: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62" w:name="page163"/>
    <w:bookmarkEnd w:id="162"/>
    <w:tbl>
      <w:tblPr>
        <w:tblLayout w:type="fixed"/>
        <w:tblInd w:w="10" w:type="dxa"/>
        <w:tblCellMar>
          <w:top w:w="0" w:type="dxa"/>
          <w:left w:w="0" w:type="dxa"/>
          <w:bottom w:w="0" w:type="dxa"/>
          <w:right w:w="0" w:type="dxa"/>
        </w:tblCellMar>
      </w:tblPr>
      <w:tr>
        <w:trPr>
          <w:trHeight w:val="137"/>
        </w:trPr>
        <w:tc>
          <w:tcPr>
            <w:tcW w:w="1900" w:type="dxa"/>
            <w:vAlign w:val="bottom"/>
            <w:tcBorders>
              <w:top w:val="single" w:sz="8" w:color="auto"/>
              <w:left w:val="single" w:sz="8" w:color="auto"/>
              <w:right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66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jc w:val="center"/>
              <w:ind w:right="3"/>
              <w:spacing w:after="0" w:line="13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Class of</w:t>
            </w:r>
          </w:p>
        </w:tc>
        <w:tc>
          <w:tcPr>
            <w:tcW w:w="12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6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Covered by all</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Subsidiary</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98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Owned by Parent</w:t>
            </w:r>
          </w:p>
        </w:tc>
        <w:tc>
          <w:tcPr>
            <w:tcW w:w="16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Parent Entity</w:t>
            </w:r>
          </w:p>
        </w:tc>
        <w:tc>
          <w:tcPr>
            <w:tcW w:w="14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Formation</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660" w:type="dxa"/>
            <w:vAlign w:val="bottom"/>
            <w:tcBorders>
              <w:bottom w:val="single" w:sz="8" w:color="auto"/>
              <w:right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Miraclon de Mexico,</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Mexico</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80,000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80,000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Miraclon Corporation</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S.A. de C.V.</w:t>
            </w:r>
          </w:p>
        </w:tc>
        <w:tc>
          <w:tcPr>
            <w:tcW w:w="138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Miraclon</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Comercializadora,</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 de C.V.</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Miraclon Europe</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England</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Ordinary</w:t>
            </w:r>
          </w:p>
        </w:tc>
        <w:tc>
          <w:tcPr>
            <w:tcW w:w="1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1</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Miraclon Corporation</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Miraclon India Private</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India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Equity</w:t>
            </w:r>
          </w:p>
        </w:tc>
        <w:tc>
          <w:tcPr>
            <w:tcW w:w="1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9,999</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9,999</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Miraclon Corporation</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Miraclon Israel Ltd.</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Israel</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Ordinary</w:t>
            </w:r>
          </w:p>
        </w:tc>
        <w:tc>
          <w:tcPr>
            <w:tcW w:w="1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1</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Miraclon Corporation</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2"/>
              </w:rPr>
              <w:t>Miraclon Singapore Pte.</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Singapore</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Ordinary</w:t>
            </w:r>
          </w:p>
        </w:tc>
        <w:tc>
          <w:tcPr>
            <w:tcW w:w="1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2</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Miraclon Corporation</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Ltd.</w:t>
            </w:r>
          </w:p>
        </w:tc>
        <w:tc>
          <w:tcPr>
            <w:tcW w:w="138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50%</w:t>
            </w:r>
          </w:p>
        </w:tc>
        <w:tc>
          <w:tcPr>
            <w:tcW w:w="16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Kodak (Singapore)</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Pte. Ltd.</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NPEC Inc.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California</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Qualex Inc.</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Delaware</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1,000</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Eastman Kodak</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RPB Marketing</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Japan</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Japan Ltd.</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Company</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Shanghai Da Hai</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China</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75%</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Camera Co., Ltd.</w:t>
            </w:r>
          </w:p>
        </w:tc>
        <w:tc>
          <w:tcPr>
            <w:tcW w:w="13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Investment Company</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25%</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(China)</w:t>
            </w: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Limited</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2"/>
              </w:rPr>
              <w:t>Yamanashi RPB Supply</w:t>
            </w:r>
          </w:p>
        </w:tc>
        <w:tc>
          <w:tcPr>
            <w:tcW w:w="13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Japan</w:t>
            </w:r>
          </w:p>
        </w:tc>
        <w:tc>
          <w:tcPr>
            <w:tcW w:w="9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32,000</w:t>
            </w:r>
          </w:p>
        </w:tc>
        <w:tc>
          <w:tcPr>
            <w:tcW w:w="13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31,227</w:t>
            </w:r>
          </w:p>
        </w:tc>
        <w:tc>
          <w:tcPr>
            <w:tcW w:w="1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100%</w:t>
            </w:r>
          </w:p>
        </w:tc>
        <w:tc>
          <w:tcPr>
            <w:tcW w:w="1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Kodak Japan Ltd.</w:t>
            </w:r>
          </w:p>
        </w:tc>
        <w:tc>
          <w:tcPr>
            <w:tcW w:w="1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Company</w:t>
            </w: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63" w:name="page164"/>
    <w:bookmarkEnd w:id="163"/>
    <w:p>
      <w:pPr>
        <w:jc w:val="center"/>
        <w:ind w:right="-259"/>
        <w:spacing w:after="0"/>
        <w:rPr>
          <w:sz w:val="20"/>
          <w:szCs w:val="20"/>
          <w:color w:val="auto"/>
        </w:rPr>
      </w:pPr>
      <w:r>
        <w:rPr>
          <w:rFonts w:ascii="Arial" w:cs="Arial" w:eastAsia="Arial" w:hAnsi="Arial"/>
          <w:sz w:val="18"/>
          <w:szCs w:val="18"/>
          <w:b w:val="1"/>
          <w:bCs w:val="1"/>
          <w:color w:val="auto"/>
        </w:rPr>
        <w:t>SCHEDULE II</w:t>
      </w: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C</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EQUITY INTERESTS IN LOAN PARTY’S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Kodak (Australasia) Proprietary Limited – 1.27 Australian dollars (rounded) unpaid per share.</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share capital of Miraclon de Mexico, S.A. de C.V. and Miraclon Comercializadora, S.A. de C.V., in the amount of MXN $80,000 for each entity, has not been paid.</w:t>
      </w:r>
    </w:p>
    <w:p>
      <w:pPr>
        <w:spacing w:after="0" w:line="1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160"/>
          </w:cols>
          <w:pgMar w:left="240" w:top="334" w:right="499" w:bottom="1440" w:gutter="0" w:footer="0" w:header="0"/>
        </w:sectPr>
      </w:pPr>
    </w:p>
    <w:bookmarkStart w:id="164" w:name="page165"/>
    <w:bookmarkEnd w:id="164"/>
    <w:p>
      <w:pPr>
        <w:jc w:val="both"/>
        <w:ind w:right="80" w:firstLine="7"/>
        <w:spacing w:after="0" w:line="279" w:lineRule="auto"/>
        <w:tabs>
          <w:tab w:leader="none" w:pos="31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has been omitted from public filing pursuant to a request for confidential treatment submitted to the U.S. Securities and Exchange Commission. The omitted information, which has been identified with the symbol “***,” has been filed separately with the U.S. Securities and Exchange Commission pursuant to Rule 24b-2 of the Securities Exchange Act of 1934, as amended.</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ACCOUNTS</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DDA ACCOUNTS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880" w:type="dxa"/>
            <w:vAlign w:val="bottom"/>
            <w:tcBorders>
              <w:top w:val="single" w:sz="8" w:color="auto"/>
              <w:left w:val="single" w:sz="8" w:color="auto"/>
              <w:right w:val="single" w:sz="8" w:color="auto"/>
            </w:tcBorders>
          </w:tcPr>
          <w:p>
            <w:pPr>
              <w:spacing w:after="0"/>
              <w:rPr>
                <w:sz w:val="11"/>
                <w:szCs w:val="11"/>
                <w:color w:val="auto"/>
              </w:rPr>
            </w:pPr>
          </w:p>
        </w:tc>
        <w:tc>
          <w:tcPr>
            <w:tcW w:w="172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2"/>
              </w:rPr>
              <w:t>Name and</w:t>
            </w:r>
          </w:p>
        </w:tc>
        <w:tc>
          <w:tcPr>
            <w:tcW w:w="1700" w:type="dxa"/>
            <w:vAlign w:val="bottom"/>
            <w:tcBorders>
              <w:top w:val="single" w:sz="8" w:color="auto"/>
              <w:right w:val="single" w:sz="8" w:color="auto"/>
            </w:tcBorders>
            <w:vMerge w:val="restart"/>
          </w:tcPr>
          <w:p>
            <w:pPr>
              <w:jc w:val="right"/>
              <w:ind w:right="536"/>
              <w:spacing w:after="0"/>
              <w:rPr>
                <w:sz w:val="20"/>
                <w:szCs w:val="20"/>
                <w:color w:val="auto"/>
              </w:rPr>
            </w:pPr>
            <w:r>
              <w:rPr>
                <w:rFonts w:ascii="Arial" w:cs="Arial" w:eastAsia="Arial" w:hAnsi="Arial"/>
                <w:sz w:val="14"/>
                <w:szCs w:val="14"/>
                <w:b w:val="1"/>
                <w:bCs w:val="1"/>
                <w:color w:val="auto"/>
              </w:rPr>
              <w:t>Account</w:t>
            </w:r>
          </w:p>
        </w:tc>
        <w:tc>
          <w:tcPr>
            <w:tcW w:w="1720" w:type="dxa"/>
            <w:vAlign w:val="bottom"/>
            <w:tcBorders>
              <w:top w:val="single" w:sz="8" w:color="auto"/>
              <w:right w:val="single" w:sz="8" w:color="auto"/>
            </w:tcBorders>
          </w:tcPr>
          <w:p>
            <w:pPr>
              <w:spacing w:after="0"/>
              <w:rPr>
                <w:sz w:val="11"/>
                <w:szCs w:val="11"/>
                <w:color w:val="auto"/>
              </w:rPr>
            </w:pPr>
          </w:p>
        </w:tc>
        <w:tc>
          <w:tcPr>
            <w:tcW w:w="3400" w:type="dxa"/>
            <w:vAlign w:val="bottom"/>
            <w:tcBorders>
              <w:top w:val="single" w:sz="8" w:color="auto"/>
              <w:right w:val="single" w:sz="8" w:color="auto"/>
            </w:tcBorders>
            <w:vMerge w:val="restart"/>
          </w:tcPr>
          <w:p>
            <w:pPr>
              <w:jc w:val="right"/>
              <w:ind w:right="1397"/>
              <w:spacing w:after="0"/>
              <w:rPr>
                <w:sz w:val="20"/>
                <w:szCs w:val="20"/>
                <w:color w:val="auto"/>
              </w:rPr>
            </w:pPr>
            <w:r>
              <w:rPr>
                <w:rFonts w:ascii="Arial" w:cs="Arial" w:eastAsia="Arial" w:hAnsi="Arial"/>
                <w:sz w:val="14"/>
                <w:szCs w:val="14"/>
                <w:b w:val="1"/>
                <w:bCs w:val="1"/>
                <w:color w:val="auto"/>
              </w:rPr>
              <w:t>Contact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8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Account Holder</w:t>
            </w:r>
          </w:p>
        </w:tc>
        <w:tc>
          <w:tcPr>
            <w:tcW w:w="1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Address of</w:t>
            </w:r>
          </w:p>
        </w:tc>
        <w:tc>
          <w:tcPr>
            <w:tcW w:w="170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restart"/>
          </w:tcPr>
          <w:p>
            <w:pPr>
              <w:jc w:val="right"/>
              <w:ind w:right="555"/>
              <w:spacing w:after="0"/>
              <w:rPr>
                <w:sz w:val="20"/>
                <w:szCs w:val="20"/>
                <w:color w:val="auto"/>
              </w:rPr>
            </w:pPr>
            <w:r>
              <w:rPr>
                <w:rFonts w:ascii="Arial" w:cs="Arial" w:eastAsia="Arial" w:hAnsi="Arial"/>
                <w:sz w:val="14"/>
                <w:szCs w:val="14"/>
                <w:b w:val="1"/>
                <w:bCs w:val="1"/>
                <w:color w:val="auto"/>
              </w:rPr>
              <w:t>Contact</w:t>
            </w:r>
          </w:p>
        </w:tc>
        <w:tc>
          <w:tcPr>
            <w:tcW w:w="34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8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Bank</w:t>
            </w:r>
          </w:p>
        </w:tc>
        <w:tc>
          <w:tcPr>
            <w:tcW w:w="1700" w:type="dxa"/>
            <w:vAlign w:val="bottom"/>
            <w:tcBorders>
              <w:bottom w:val="single" w:sz="8" w:color="auto"/>
              <w:right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Number</w:t>
            </w:r>
          </w:p>
        </w:tc>
        <w:tc>
          <w:tcPr>
            <w:tcW w:w="1720" w:type="dxa"/>
            <w:vAlign w:val="bottom"/>
            <w:tcBorders>
              <w:bottom w:val="single" w:sz="8" w:color="auto"/>
              <w:right w:val="single" w:sz="8" w:color="auto"/>
            </w:tcBorders>
            <w:vMerge w:val="continue"/>
          </w:tcPr>
          <w:p>
            <w:pPr>
              <w:spacing w:after="0"/>
              <w:rPr>
                <w:sz w:val="14"/>
                <w:szCs w:val="14"/>
                <w:color w:val="auto"/>
              </w:rPr>
            </w:pPr>
          </w:p>
        </w:tc>
        <w:tc>
          <w:tcPr>
            <w:tcW w:w="3400" w:type="dxa"/>
            <w:vAlign w:val="bottom"/>
            <w:tcBorders>
              <w:bottom w:val="single" w:sz="8" w:color="auto"/>
              <w:right w:val="single" w:sz="8" w:color="auto"/>
            </w:tcBorders>
          </w:tcPr>
          <w:p>
            <w:pPr>
              <w:jc w:val="right"/>
              <w:ind w:right="1257"/>
              <w:spacing w:after="0"/>
              <w:rPr>
                <w:sz w:val="20"/>
                <w:szCs w:val="20"/>
                <w:color w:val="auto"/>
              </w:rPr>
            </w:pPr>
            <w:r>
              <w:rPr>
                <w:rFonts w:ascii="Arial" w:cs="Arial" w:eastAsia="Arial" w:hAnsi="Arial"/>
                <w:sz w:val="14"/>
                <w:szCs w:val="14"/>
                <w:b w:val="1"/>
                <w:bCs w:val="1"/>
                <w:color w:val="auto"/>
              </w:rPr>
              <w:t>Information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9"/>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6"/>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9"/>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6"/>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9"/>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6"/>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9"/>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6"/>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jc w:val="right"/>
              <w:ind w:right="416"/>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65" w:name="page166"/>
    <w:bookmarkEnd w:id="165"/>
    <w:p>
      <w:pPr>
        <w:jc w:val="both"/>
        <w:ind w:right="80" w:firstLine="7"/>
        <w:spacing w:after="0" w:line="279" w:lineRule="auto"/>
        <w:tabs>
          <w:tab w:leader="none" w:pos="311"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has been omitted from public filing pursuant to a request for confidential treatment submitted to the U.S. Securities and Exchange Commission. The omitted information, which has been identified with the symbol “***,” has been filed separately with the U.S. Securities and Exchange Commission pursuant to Rule 24b-2 of the Securities Exchange Act of 1934, as amended.</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880" w:type="dxa"/>
            <w:vAlign w:val="bottom"/>
            <w:tcBorders>
              <w:top w:val="single" w:sz="8" w:color="auto"/>
              <w:left w:val="single" w:sz="8" w:color="auto"/>
              <w:right w:val="single" w:sz="8" w:color="auto"/>
            </w:tcBorders>
          </w:tcPr>
          <w:p>
            <w:pPr>
              <w:spacing w:after="0"/>
              <w:rPr>
                <w:sz w:val="11"/>
                <w:szCs w:val="11"/>
                <w:color w:val="auto"/>
              </w:rPr>
            </w:pPr>
          </w:p>
        </w:tc>
        <w:tc>
          <w:tcPr>
            <w:tcW w:w="172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2"/>
              </w:rPr>
              <w:t>Name and</w:t>
            </w:r>
          </w:p>
        </w:tc>
        <w:tc>
          <w:tcPr>
            <w:tcW w:w="1700" w:type="dxa"/>
            <w:vAlign w:val="bottom"/>
            <w:tcBorders>
              <w:top w:val="single" w:sz="8" w:color="auto"/>
              <w:right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Account</w:t>
            </w:r>
          </w:p>
        </w:tc>
        <w:tc>
          <w:tcPr>
            <w:tcW w:w="1720" w:type="dxa"/>
            <w:vAlign w:val="bottom"/>
            <w:tcBorders>
              <w:top w:val="single" w:sz="8" w:color="auto"/>
              <w:right w:val="single" w:sz="8" w:color="auto"/>
            </w:tcBorders>
          </w:tcPr>
          <w:p>
            <w:pPr>
              <w:spacing w:after="0"/>
              <w:rPr>
                <w:sz w:val="11"/>
                <w:szCs w:val="11"/>
                <w:color w:val="auto"/>
              </w:rPr>
            </w:pPr>
          </w:p>
        </w:tc>
        <w:tc>
          <w:tcPr>
            <w:tcW w:w="3400" w:type="dxa"/>
            <w:vAlign w:val="bottom"/>
            <w:tcBorders>
              <w:top w:val="single" w:sz="8" w:color="auto"/>
              <w:right w:val="single" w:sz="8" w:color="auto"/>
            </w:tcBorders>
            <w:vMerge w:val="restart"/>
          </w:tcPr>
          <w:p>
            <w:pPr>
              <w:jc w:val="right"/>
              <w:ind w:right="1395"/>
              <w:spacing w:after="0"/>
              <w:rPr>
                <w:sz w:val="20"/>
                <w:szCs w:val="20"/>
                <w:color w:val="auto"/>
              </w:rPr>
            </w:pPr>
            <w:r>
              <w:rPr>
                <w:rFonts w:ascii="Arial" w:cs="Arial" w:eastAsia="Arial" w:hAnsi="Arial"/>
                <w:sz w:val="14"/>
                <w:szCs w:val="14"/>
                <w:b w:val="1"/>
                <w:bCs w:val="1"/>
                <w:color w:val="auto"/>
              </w:rPr>
              <w:t>Contact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8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Account Holder</w:t>
            </w:r>
          </w:p>
        </w:tc>
        <w:tc>
          <w:tcPr>
            <w:tcW w:w="1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Address of</w:t>
            </w:r>
          </w:p>
        </w:tc>
        <w:tc>
          <w:tcPr>
            <w:tcW w:w="170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Contact</w:t>
            </w:r>
          </w:p>
        </w:tc>
        <w:tc>
          <w:tcPr>
            <w:tcW w:w="34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8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Bank</w:t>
            </w:r>
          </w:p>
        </w:tc>
        <w:tc>
          <w:tcPr>
            <w:tcW w:w="1700" w:type="dxa"/>
            <w:vAlign w:val="bottom"/>
            <w:tcBorders>
              <w:bottom w:val="single" w:sz="8" w:color="auto"/>
              <w:right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Number</w:t>
            </w:r>
          </w:p>
        </w:tc>
        <w:tc>
          <w:tcPr>
            <w:tcW w:w="1720" w:type="dxa"/>
            <w:vAlign w:val="bottom"/>
            <w:tcBorders>
              <w:bottom w:val="single" w:sz="8" w:color="auto"/>
              <w:right w:val="single" w:sz="8" w:color="auto"/>
            </w:tcBorders>
            <w:vMerge w:val="continue"/>
          </w:tcPr>
          <w:p>
            <w:pPr>
              <w:spacing w:after="0"/>
              <w:rPr>
                <w:sz w:val="14"/>
                <w:szCs w:val="14"/>
                <w:color w:val="auto"/>
              </w:rPr>
            </w:pPr>
          </w:p>
        </w:tc>
        <w:tc>
          <w:tcPr>
            <w:tcW w:w="3400" w:type="dxa"/>
            <w:vAlign w:val="bottom"/>
            <w:tcBorders>
              <w:bottom w:val="single" w:sz="8" w:color="auto"/>
              <w:right w:val="single" w:sz="8" w:color="auto"/>
            </w:tcBorders>
          </w:tcPr>
          <w:p>
            <w:pPr>
              <w:jc w:val="right"/>
              <w:ind w:right="1255"/>
              <w:spacing w:after="0"/>
              <w:rPr>
                <w:sz w:val="20"/>
                <w:szCs w:val="20"/>
                <w:color w:val="auto"/>
              </w:rPr>
            </w:pPr>
            <w:r>
              <w:rPr>
                <w:rFonts w:ascii="Arial" w:cs="Arial" w:eastAsia="Arial" w:hAnsi="Arial"/>
                <w:sz w:val="14"/>
                <w:szCs w:val="14"/>
                <w:b w:val="1"/>
                <w:bCs w:val="1"/>
                <w:color w:val="auto"/>
              </w:rPr>
              <w:t>Information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6"/>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3"/>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6"/>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3"/>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6"/>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3"/>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6"/>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3"/>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International</w:t>
            </w:r>
          </w:p>
        </w:tc>
        <w:tc>
          <w:tcPr>
            <w:tcW w:w="1720" w:type="dxa"/>
            <w:vAlign w:val="bottom"/>
            <w:tcBorders>
              <w:right w:val="single" w:sz="8" w:color="auto"/>
            </w:tcBorders>
          </w:tcPr>
          <w:p>
            <w:pPr>
              <w:jc w:val="right"/>
              <w:ind w:right="1316"/>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right"/>
              <w:ind w:right="1293"/>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jc w:val="right"/>
              <w:ind w:right="29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Capital Company Inc.</w:t>
            </w:r>
          </w:p>
        </w:tc>
        <w:tc>
          <w:tcPr>
            <w:tcW w:w="17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6"/>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3"/>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16"/>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295"/>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293"/>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29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2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jc w:val="right"/>
              <w:ind w:right="415"/>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166" w:name="page167"/>
    <w:bookmarkEnd w:id="166"/>
    <w:p>
      <w:pPr>
        <w:jc w:val="both"/>
        <w:ind w:right="80" w:firstLine="7"/>
        <w:spacing w:after="0" w:line="279" w:lineRule="auto"/>
        <w:tabs>
          <w:tab w:leader="none" w:pos="31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has been omitted from public filing pursuant to a request for confidential treatment submitted to the U.S. Securities and Exchange Commission. The omitted information, which has been identified with the symbol “***,” has been filed separately with the U.S. Securities and Exchange Commission pursuant to Rule 24b-2 of the Securities Exchange Act of 1934, as amended.</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LOCKBOXES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880" w:type="dxa"/>
            <w:vAlign w:val="bottom"/>
            <w:tcBorders>
              <w:top w:val="single" w:sz="8" w:color="auto"/>
              <w:left w:val="single" w:sz="8" w:color="auto"/>
              <w:right w:val="single" w:sz="8" w:color="auto"/>
            </w:tcBorders>
          </w:tcPr>
          <w:p>
            <w:pPr>
              <w:spacing w:after="0"/>
              <w:rPr>
                <w:sz w:val="11"/>
                <w:szCs w:val="11"/>
                <w:color w:val="auto"/>
              </w:rPr>
            </w:pPr>
          </w:p>
        </w:tc>
        <w:tc>
          <w:tcPr>
            <w:tcW w:w="172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2"/>
              </w:rPr>
              <w:t>Name and</w:t>
            </w:r>
          </w:p>
        </w:tc>
        <w:tc>
          <w:tcPr>
            <w:tcW w:w="1700" w:type="dxa"/>
            <w:vAlign w:val="bottom"/>
            <w:tcBorders>
              <w:top w:val="single" w:sz="8" w:color="auto"/>
              <w:right w:val="single" w:sz="8" w:color="auto"/>
            </w:tcBorders>
            <w:vMerge w:val="restart"/>
          </w:tcPr>
          <w:p>
            <w:pPr>
              <w:ind w:left="580"/>
              <w:spacing w:after="0"/>
              <w:rPr>
                <w:sz w:val="20"/>
                <w:szCs w:val="20"/>
                <w:color w:val="auto"/>
              </w:rPr>
            </w:pPr>
            <w:r>
              <w:rPr>
                <w:rFonts w:ascii="Arial" w:cs="Arial" w:eastAsia="Arial" w:hAnsi="Arial"/>
                <w:sz w:val="14"/>
                <w:szCs w:val="14"/>
                <w:b w:val="1"/>
                <w:bCs w:val="1"/>
                <w:color w:val="auto"/>
              </w:rPr>
              <w:t>Account</w:t>
            </w:r>
          </w:p>
        </w:tc>
        <w:tc>
          <w:tcPr>
            <w:tcW w:w="1720" w:type="dxa"/>
            <w:vAlign w:val="bottom"/>
            <w:tcBorders>
              <w:top w:val="single" w:sz="8" w:color="auto"/>
              <w:right w:val="single" w:sz="8" w:color="auto"/>
            </w:tcBorders>
          </w:tcPr>
          <w:p>
            <w:pPr>
              <w:spacing w:after="0"/>
              <w:rPr>
                <w:sz w:val="11"/>
                <w:szCs w:val="11"/>
                <w:color w:val="auto"/>
              </w:rPr>
            </w:pPr>
          </w:p>
        </w:tc>
        <w:tc>
          <w:tcPr>
            <w:tcW w:w="34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Contact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8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Account Holder</w:t>
            </w:r>
          </w:p>
        </w:tc>
        <w:tc>
          <w:tcPr>
            <w:tcW w:w="1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Address of</w:t>
            </w:r>
          </w:p>
        </w:tc>
        <w:tc>
          <w:tcPr>
            <w:tcW w:w="170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restart"/>
          </w:tcPr>
          <w:p>
            <w:pPr>
              <w:jc w:val="right"/>
              <w:ind w:right="560"/>
              <w:spacing w:after="0"/>
              <w:rPr>
                <w:sz w:val="20"/>
                <w:szCs w:val="20"/>
                <w:color w:val="auto"/>
              </w:rPr>
            </w:pPr>
            <w:r>
              <w:rPr>
                <w:rFonts w:ascii="Arial" w:cs="Arial" w:eastAsia="Arial" w:hAnsi="Arial"/>
                <w:sz w:val="14"/>
                <w:szCs w:val="14"/>
                <w:b w:val="1"/>
                <w:bCs w:val="1"/>
                <w:color w:val="auto"/>
              </w:rPr>
              <w:t>Contact</w:t>
            </w:r>
          </w:p>
        </w:tc>
        <w:tc>
          <w:tcPr>
            <w:tcW w:w="34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8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Bank</w:t>
            </w:r>
          </w:p>
        </w:tc>
        <w:tc>
          <w:tcPr>
            <w:tcW w:w="17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b w:val="1"/>
                <w:bCs w:val="1"/>
                <w:color w:val="auto"/>
              </w:rPr>
              <w:t>Number</w:t>
            </w:r>
          </w:p>
        </w:tc>
        <w:tc>
          <w:tcPr>
            <w:tcW w:w="1720" w:type="dxa"/>
            <w:vAlign w:val="bottom"/>
            <w:tcBorders>
              <w:bottom w:val="single" w:sz="8" w:color="auto"/>
              <w:right w:val="single" w:sz="8" w:color="auto"/>
            </w:tcBorders>
            <w:vMerge w:val="continue"/>
          </w:tcPr>
          <w:p>
            <w:pPr>
              <w:spacing w:after="0"/>
              <w:rPr>
                <w:sz w:val="14"/>
                <w:szCs w:val="14"/>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Information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2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Eastman Kodak Company</w:t>
            </w:r>
          </w:p>
        </w:tc>
        <w:tc>
          <w:tcPr>
            <w:tcW w:w="1720" w:type="dxa"/>
            <w:vAlign w:val="bottom"/>
            <w:tcBorders>
              <w:bottom w:val="single" w:sz="8" w:color="auto"/>
              <w:right w:val="single" w:sz="8" w:color="auto"/>
            </w:tcBorders>
          </w:tcPr>
          <w:p>
            <w:pPr>
              <w:jc w:val="right"/>
              <w:ind w:right="1324"/>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ind w:right="13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300"/>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right"/>
              <w:ind w:right="300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2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jc w:val="right"/>
              <w:ind w:right="420"/>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SCHEDULE 1.01(A)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ACCEPTABLE FOREIGN CURRENCIES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SCHEDULE 1.01(D)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DESIGNATED GUARANTORS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7"/>
          <w:szCs w:val="17"/>
          <w:b w:val="1"/>
          <w:bCs w:val="1"/>
          <w:color w:val="auto"/>
        </w:rPr>
        <w:t>SCHEDULE 1.01(M)</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[Reserved]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SCHEDULE 1.01(U)</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UNRESTRICTED SUBSIDIARIES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71" w:name="page172"/>
    <w:bookmarkEnd w:id="171"/>
    <w:p>
      <w:pPr>
        <w:jc w:val="center"/>
        <w:ind w:right="-20"/>
        <w:spacing w:after="0"/>
        <w:rPr>
          <w:sz w:val="20"/>
          <w:szCs w:val="20"/>
          <w:color w:val="auto"/>
        </w:rPr>
      </w:pPr>
      <w:r>
        <w:rPr>
          <w:rFonts w:ascii="Arial" w:cs="Arial" w:eastAsia="Arial" w:hAnsi="Arial"/>
          <w:sz w:val="17"/>
          <w:szCs w:val="17"/>
          <w:b w:val="1"/>
          <w:bCs w:val="1"/>
          <w:color w:val="auto"/>
        </w:rPr>
        <w:t>SCHEDULE 4.01(F)</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LITIGATION</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SCHEDULE 4.01(I)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73" w:name="page174"/>
    <w:bookmarkEnd w:id="173"/>
    <w:tbl>
      <w:tblPr>
        <w:tblLayout w:type="fixed"/>
        <w:tblInd w:w="10" w:type="dxa"/>
        <w:tblCellMar>
          <w:top w:w="0" w:type="dxa"/>
          <w:left w:w="0" w:type="dxa"/>
          <w:bottom w:w="0" w:type="dxa"/>
          <w:right w:w="0" w:type="dxa"/>
        </w:tblCellMar>
      </w:tblPr>
      <w:tr>
        <w:trPr>
          <w:trHeight w:val="213"/>
        </w:trPr>
        <w:tc>
          <w:tcPr>
            <w:tcW w:w="1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40" w:type="dxa"/>
            <w:vAlign w:val="bottom"/>
          </w:tcPr>
          <w:p>
            <w:pPr>
              <w:jc w:val="center"/>
              <w:ind w:right="2932"/>
              <w:spacing w:after="0"/>
              <w:rPr>
                <w:sz w:val="20"/>
                <w:szCs w:val="20"/>
                <w:color w:val="auto"/>
              </w:rPr>
            </w:pPr>
            <w:r>
              <w:rPr>
                <w:rFonts w:ascii="Arial" w:cs="Arial" w:eastAsia="Arial" w:hAnsi="Arial"/>
                <w:sz w:val="18"/>
                <w:szCs w:val="18"/>
                <w:b w:val="1"/>
                <w:bCs w:val="1"/>
                <w:color w:val="auto"/>
                <w:w w:val="95"/>
              </w:rPr>
              <w:t>SCHEDULE 4.01(Q)</w:t>
            </w:r>
          </w:p>
        </w:tc>
      </w:tr>
      <w:tr>
        <w:trPr>
          <w:trHeight w:val="230"/>
        </w:trPr>
        <w:tc>
          <w:tcPr>
            <w:tcW w:w="1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440" w:type="dxa"/>
            <w:vAlign w:val="bottom"/>
          </w:tcPr>
          <w:p>
            <w:pPr>
              <w:jc w:val="center"/>
              <w:ind w:right="2912"/>
              <w:spacing w:after="0"/>
              <w:rPr>
                <w:sz w:val="20"/>
                <w:szCs w:val="20"/>
                <w:color w:val="auto"/>
              </w:rPr>
            </w:pPr>
            <w:r>
              <w:rPr>
                <w:rFonts w:ascii="Arial" w:cs="Arial" w:eastAsia="Arial" w:hAnsi="Arial"/>
                <w:sz w:val="18"/>
                <w:szCs w:val="18"/>
                <w:b w:val="1"/>
                <w:bCs w:val="1"/>
                <w:color w:val="auto"/>
              </w:rPr>
              <w:t>COLLECTIVE BARGAINING AGREEMENTS</w:t>
            </w:r>
          </w:p>
        </w:tc>
      </w:tr>
      <w:tr>
        <w:trPr>
          <w:trHeight w:val="215"/>
        </w:trPr>
        <w:tc>
          <w:tcPr>
            <w:tcW w:w="1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440" w:type="dxa"/>
            <w:vAlign w:val="bottom"/>
            <w:tcBorders>
              <w:bottom w:val="single" w:sz="8" w:color="auto"/>
            </w:tcBorders>
          </w:tcPr>
          <w:p>
            <w:pPr>
              <w:spacing w:after="0"/>
              <w:rPr>
                <w:sz w:val="18"/>
                <w:szCs w:val="18"/>
                <w:color w:val="auto"/>
              </w:rPr>
            </w:pPr>
          </w:p>
        </w:tc>
      </w:tr>
      <w:tr>
        <w:trPr>
          <w:trHeight w:val="201"/>
        </w:trPr>
        <w:tc>
          <w:tcPr>
            <w:tcW w:w="13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Region</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Country</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Title of Agreement(s)</w:t>
            </w:r>
          </w:p>
        </w:tc>
      </w:tr>
      <w:tr>
        <w:trPr>
          <w:trHeight w:val="318"/>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EAMER</w:t>
            </w: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Austria</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Local Works Agreements, Collective Agreement 2012 - Kollektivvertrag für Nicht Filmschaffende</w:t>
            </w:r>
          </w:p>
        </w:tc>
      </w:tr>
      <w:tr>
        <w:trPr>
          <w:trHeight w:val="313"/>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Belgium</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Collective Bargaining Agreements</w:t>
            </w:r>
          </w:p>
        </w:tc>
      </w:tr>
      <w:tr>
        <w:trPr>
          <w:trHeight w:val="313"/>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Denmark</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Collective Agreement: Industriens Funktionaeroverenskomst</w:t>
            </w:r>
          </w:p>
        </w:tc>
      </w:tr>
      <w:tr>
        <w:trPr>
          <w:trHeight w:val="313"/>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Finland</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Collective Agreement: Viestinnän Keskusliiton and Mediaunioni MDU:n</w:t>
            </w:r>
          </w:p>
        </w:tc>
      </w:tr>
      <w:tr>
        <w:trPr>
          <w:trHeight w:val="313"/>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France</w:t>
            </w:r>
          </w:p>
        </w:tc>
        <w:tc>
          <w:tcPr>
            <w:tcW w:w="8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Convention Collective de la Chimie (National Bargaining Agreement)</w:t>
            </w:r>
          </w:p>
        </w:tc>
      </w:tr>
      <w:tr>
        <w:trPr>
          <w:trHeight w:val="321"/>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Labor Agreements for Kodak Pathe, Kodak Industrie and Kodak Polychrome Graphics</w:t>
            </w:r>
          </w:p>
        </w:tc>
      </w:tr>
      <w:tr>
        <w:trPr>
          <w:trHeight w:val="313"/>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8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Corporate and Local Works Agreements</w:t>
            </w:r>
          </w:p>
        </w:tc>
      </w:tr>
      <w:tr>
        <w:trPr>
          <w:trHeight w:val="321"/>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Collective Bargaining Agreement for CI Manufacturing: Tarifvertrag fuer die Chemische Industrie Niedersachsen</w:t>
            </w:r>
          </w:p>
        </w:tc>
      </w:tr>
      <w:tr>
        <w:trPr>
          <w:trHeight w:val="302"/>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Italy</w:t>
            </w:r>
          </w:p>
        </w:tc>
        <w:tc>
          <w:tcPr>
            <w:tcW w:w="8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CCNL terziario distribuzione e servizi agreement covers 2015/2017:</w:t>
            </w:r>
          </w:p>
        </w:tc>
      </w:tr>
      <w:tr>
        <w:trPr>
          <w:trHeight w:val="225"/>
        </w:trPr>
        <w:tc>
          <w:tcPr>
            <w:tcW w:w="1320" w:type="dxa"/>
            <w:vAlign w:val="bottom"/>
            <w:tcBorders>
              <w:left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http://contrattolavoro.blogspot.de/2015/03/contratto-ccnl-commercio-rinnovo-2015.html</w:t>
            </w:r>
          </w:p>
        </w:tc>
      </w:tr>
      <w:tr>
        <w:trPr>
          <w:trHeight w:val="313"/>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Spain</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National Collective Agreement; Collective Agreement Basic Salaries; Workers Council Agreement 7.1.2011</w:t>
            </w:r>
          </w:p>
        </w:tc>
      </w:tr>
      <w:tr>
        <w:trPr>
          <w:trHeight w:val="313"/>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Sweden</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Collective Agreement: Almega IT-företagen Collective agreement with Unionen and Akademikerförbunden</w:t>
            </w:r>
          </w:p>
        </w:tc>
      </w:tr>
      <w:tr>
        <w:trPr>
          <w:trHeight w:val="313"/>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UK</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Procedural Agreement</w:t>
            </w:r>
          </w:p>
        </w:tc>
      </w:tr>
      <w:tr>
        <w:trPr>
          <w:trHeight w:val="313"/>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GAR</w:t>
            </w: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8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KEPS: Collective Bargaining</w:t>
            </w:r>
          </w:p>
        </w:tc>
      </w:tr>
      <w:tr>
        <w:trPr>
          <w:trHeight w:val="320"/>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8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KWCL: Women Protection Agreement, Collective Bargaining, Collective Employment Contract</w:t>
            </w:r>
          </w:p>
        </w:tc>
      </w:tr>
      <w:tr>
        <w:trPr>
          <w:trHeight w:val="320"/>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8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KCCL: Xiamen - No Agreements yet</w:t>
            </w:r>
          </w:p>
        </w:tc>
      </w:tr>
      <w:tr>
        <w:trPr>
          <w:trHeight w:val="321"/>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KCCICL: No Agreement yet</w:t>
            </w:r>
          </w:p>
        </w:tc>
      </w:tr>
      <w:tr>
        <w:trPr>
          <w:trHeight w:val="313"/>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8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KJL: General Agreements</w:t>
            </w:r>
          </w:p>
        </w:tc>
      </w:tr>
      <w:tr>
        <w:trPr>
          <w:trHeight w:val="321"/>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RPB Supply and RPB Marketing: General Agreement with TOK Union</w:t>
            </w:r>
          </w:p>
        </w:tc>
      </w:tr>
      <w:tr>
        <w:trPr>
          <w:trHeight w:val="313"/>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Singapore</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SMMWU (THE SINGAPORE MANUAL &amp; MERCANTILE WORKERS' UNION) Collective Agreement</w:t>
            </w:r>
          </w:p>
        </w:tc>
      </w:tr>
      <w:tr>
        <w:trPr>
          <w:trHeight w:val="313"/>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LAR</w:t>
            </w: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Argentina</w:t>
            </w:r>
          </w:p>
        </w:tc>
        <w:tc>
          <w:tcPr>
            <w:tcW w:w="8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CCT Comercio 130-75 version SEC (no-exempt employees);</w:t>
            </w:r>
          </w:p>
        </w:tc>
      </w:tr>
      <w:tr>
        <w:trPr>
          <w:trHeight w:val="321"/>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 Colect. Viajantes de Comercio 0308-1975 (employees who travel often)</w:t>
            </w:r>
          </w:p>
        </w:tc>
      </w:tr>
      <w:tr>
        <w:trPr>
          <w:trHeight w:val="313"/>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Convencao Coletiva de Trabalho, Sao Paulo</w:t>
            </w:r>
          </w:p>
        </w:tc>
      </w:tr>
      <w:tr>
        <w:trPr>
          <w:trHeight w:val="302"/>
        </w:trPr>
        <w:tc>
          <w:tcPr>
            <w:tcW w:w="132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Mexico</w:t>
            </w:r>
          </w:p>
        </w:tc>
        <w:tc>
          <w:tcPr>
            <w:tcW w:w="8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9"/>
              </w:rPr>
              <w:t>Contracto Colectivo de Trabajo celebrado entre el Sindicato de Trabajadores en la Industria Fotográfica y Elementos</w:t>
            </w:r>
          </w:p>
        </w:tc>
      </w:tr>
      <w:tr>
        <w:trPr>
          <w:trHeight w:val="225"/>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84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Magnéticos Electrónicos y Ecológicos en el Estado de Jalisco y Kodak de México, S.A. de C.V. Periodo 2014-2016</w:t>
            </w:r>
          </w:p>
        </w:tc>
      </w:tr>
      <w:tr>
        <w:trPr>
          <w:trHeight w:val="633"/>
        </w:trPr>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40" w:type="dxa"/>
            <w:vAlign w:val="bottom"/>
          </w:tcPr>
          <w:p>
            <w:pPr>
              <w:jc w:val="center"/>
              <w:ind w:right="2932"/>
              <w:spacing w:after="0"/>
              <w:rPr>
                <w:sz w:val="20"/>
                <w:szCs w:val="20"/>
                <w:color w:val="auto"/>
              </w:rPr>
            </w:pPr>
            <w:r>
              <w:rPr>
                <w:rFonts w:ascii="Arial" w:cs="Arial" w:eastAsia="Arial" w:hAnsi="Arial"/>
                <w:sz w:val="18"/>
                <w:szCs w:val="18"/>
                <w:color w:val="auto"/>
                <w:w w:val="89"/>
              </w:rPr>
              <w:t>21</w:t>
            </w:r>
          </w:p>
        </w:tc>
      </w:tr>
      <w:tr>
        <w:trPr>
          <w:trHeight w:val="115"/>
        </w:trPr>
        <w:tc>
          <w:tcPr>
            <w:tcW w:w="13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74" w:name="page175"/>
    <w:bookmarkEnd w:id="174"/>
    <w:p>
      <w:pPr>
        <w:jc w:val="right"/>
        <w:ind w:right="3679"/>
        <w:spacing w:after="0"/>
        <w:rPr>
          <w:sz w:val="20"/>
          <w:szCs w:val="20"/>
          <w:color w:val="auto"/>
        </w:rPr>
      </w:pPr>
      <w:r>
        <w:rPr>
          <w:rFonts w:ascii="Arial" w:cs="Arial" w:eastAsia="Arial" w:hAnsi="Arial"/>
          <w:sz w:val="17"/>
          <w:szCs w:val="17"/>
          <w:b w:val="1"/>
          <w:bCs w:val="1"/>
          <w:color w:val="auto"/>
        </w:rPr>
        <w:t>SCHEDULE 4.01(DD)</w:t>
      </w:r>
    </w:p>
    <w:p>
      <w:pPr>
        <w:spacing w:after="0" w:line="3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u w:val="single" w:color="auto"/>
          <w:color w:val="auto"/>
        </w:rPr>
        <w:t>LABOR MATTERS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SCHEDULE 5.01(K)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AFFILIATES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Intercompany Loans</w:t>
      </w:r>
      <w:r>
        <w:rPr>
          <w:rFonts w:ascii="Arial" w:cs="Arial" w:eastAsia="Arial" w:hAnsi="Arial"/>
          <w:sz w:val="15"/>
          <w:szCs w:val="15"/>
          <w:b w:val="1"/>
          <w:bCs w:val="1"/>
          <w:color w:val="auto"/>
        </w:rPr>
        <w:t>2</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520" w:type="dxa"/>
            <w:vAlign w:val="bottom"/>
            <w:tcBorders>
              <w:top w:val="single" w:sz="8" w:color="auto"/>
              <w:left w:val="single" w:sz="8" w:color="auto"/>
            </w:tcBorders>
          </w:tcPr>
          <w:p>
            <w:pPr>
              <w:spacing w:after="0"/>
              <w:rPr>
                <w:sz w:val="11"/>
                <w:szCs w:val="11"/>
                <w:color w:val="auto"/>
              </w:rPr>
            </w:pPr>
          </w:p>
        </w:tc>
        <w:tc>
          <w:tcPr>
            <w:tcW w:w="206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Lender Company</w:t>
            </w:r>
          </w:p>
        </w:tc>
        <w:tc>
          <w:tcPr>
            <w:tcW w:w="266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5"/>
              </w:rPr>
              <w:t>Debtor Trading</w:t>
            </w:r>
          </w:p>
        </w:tc>
        <w:tc>
          <w:tcPr>
            <w:tcW w:w="1520" w:type="dxa"/>
            <w:vAlign w:val="bottom"/>
            <w:tcBorders>
              <w:top w:val="single" w:sz="8" w:color="auto"/>
              <w:right w:val="single" w:sz="8" w:color="auto"/>
            </w:tcBorders>
            <w:vMerge w:val="restart"/>
          </w:tcPr>
          <w:p>
            <w:pPr>
              <w:ind w:left="580"/>
              <w:spacing w:after="0"/>
              <w:rPr>
                <w:sz w:val="20"/>
                <w:szCs w:val="20"/>
                <w:color w:val="auto"/>
              </w:rPr>
            </w:pPr>
            <w:r>
              <w:rPr>
                <w:rFonts w:ascii="Arial" w:cs="Arial" w:eastAsia="Arial" w:hAnsi="Arial"/>
                <w:sz w:val="14"/>
                <w:szCs w:val="14"/>
                <w:b w:val="1"/>
                <w:bCs w:val="1"/>
                <w:color w:val="auto"/>
              </w:rPr>
              <w:t>Loan</w:t>
            </w:r>
          </w:p>
        </w:tc>
        <w:tc>
          <w:tcPr>
            <w:tcW w:w="158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4"/>
              </w:rPr>
              <w:t>Local Currency</w:t>
            </w:r>
          </w:p>
        </w:tc>
        <w:tc>
          <w:tcPr>
            <w:tcW w:w="156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USD</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7"/>
        </w:trPr>
        <w:tc>
          <w:tcPr>
            <w:tcW w:w="520" w:type="dxa"/>
            <w:vAlign w:val="bottom"/>
            <w:tcBorders>
              <w:left w:val="single" w:sz="8" w:color="auto"/>
            </w:tcBorders>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26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7"/>
              </w:rPr>
              <w:t>Partner</w:t>
            </w:r>
          </w:p>
        </w:tc>
        <w:tc>
          <w:tcPr>
            <w:tcW w:w="15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4"/>
              </w:rPr>
              <w:t>Principal</w:t>
            </w:r>
          </w:p>
        </w:tc>
        <w:tc>
          <w:tcPr>
            <w:tcW w:w="15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7"/>
              </w:rPr>
              <w:t>Principal</w:t>
            </w:r>
          </w:p>
        </w:tc>
        <w:tc>
          <w:tcPr>
            <w:tcW w:w="1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0" w:type="dxa"/>
            <w:vAlign w:val="bottom"/>
            <w:tcBorders>
              <w:left w:val="single" w:sz="8" w:color="auto"/>
              <w:bottom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b w:val="1"/>
                <w:bCs w:val="1"/>
                <w:color w:val="auto"/>
              </w:rPr>
              <w:t>Description</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15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auto"/>
              </w:rPr>
              <w:t>Currency</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325"/>
        </w:trPr>
        <w:tc>
          <w:tcPr>
            <w:tcW w:w="5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Eastman Kodak Co. -Parent</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Kodak Canada ULC</w:t>
            </w:r>
          </w:p>
        </w:tc>
        <w:tc>
          <w:tcPr>
            <w:tcW w:w="15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USD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85,853,909</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85,853,909</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121"/>
        </w:trPr>
        <w:tc>
          <w:tcPr>
            <w:tcW w:w="520" w:type="dxa"/>
            <w:vAlign w:val="bottom"/>
            <w:tcBorders>
              <w:left w:val="single" w:sz="8" w:color="auto"/>
              <w:bottom w:val="single" w:sz="8" w:color="auto"/>
            </w:tcBorders>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5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Eastman Kodak Co. -Parent</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Kodak International Finance Limited</w:t>
            </w:r>
          </w:p>
        </w:tc>
        <w:tc>
          <w:tcPr>
            <w:tcW w:w="15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USD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30,000,000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30,000,000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7.90%</w:t>
            </w:r>
          </w:p>
        </w:tc>
        <w:tc>
          <w:tcPr>
            <w:tcW w:w="0" w:type="dxa"/>
            <w:vAlign w:val="bottom"/>
          </w:tcPr>
          <w:p>
            <w:pPr>
              <w:spacing w:after="0"/>
              <w:rPr>
                <w:sz w:val="1"/>
                <w:szCs w:val="1"/>
                <w:color w:val="auto"/>
              </w:rPr>
            </w:pPr>
          </w:p>
        </w:tc>
      </w:tr>
      <w:tr>
        <w:trPr>
          <w:trHeight w:val="28"/>
        </w:trPr>
        <w:tc>
          <w:tcPr>
            <w:tcW w:w="52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9"/>
        </w:trPr>
        <w:tc>
          <w:tcPr>
            <w:tcW w:w="5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Kodak China Ltd.</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 –Parent</w:t>
            </w:r>
          </w:p>
        </w:tc>
        <w:tc>
          <w:tcPr>
            <w:tcW w:w="15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USD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175,435,871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175,435,871</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0.77%</w:t>
            </w:r>
          </w:p>
        </w:tc>
        <w:tc>
          <w:tcPr>
            <w:tcW w:w="0" w:type="dxa"/>
            <w:vAlign w:val="bottom"/>
          </w:tcPr>
          <w:p>
            <w:pPr>
              <w:spacing w:after="0"/>
              <w:rPr>
                <w:sz w:val="1"/>
                <w:szCs w:val="1"/>
                <w:color w:val="auto"/>
              </w:rPr>
            </w:pPr>
          </w:p>
        </w:tc>
      </w:tr>
      <w:tr>
        <w:trPr>
          <w:trHeight w:val="135"/>
        </w:trPr>
        <w:tc>
          <w:tcPr>
            <w:tcW w:w="520" w:type="dxa"/>
            <w:vAlign w:val="bottom"/>
            <w:tcBorders>
              <w:left w:val="single" w:sz="8" w:color="auto"/>
              <w:bottom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9"/>
        </w:trPr>
        <w:tc>
          <w:tcPr>
            <w:tcW w:w="5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Kodak China Ltd.</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 –Parent</w:t>
            </w:r>
          </w:p>
        </w:tc>
        <w:tc>
          <w:tcPr>
            <w:tcW w:w="15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USD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100,000,000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100,000,000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0.97%</w:t>
            </w:r>
          </w:p>
        </w:tc>
        <w:tc>
          <w:tcPr>
            <w:tcW w:w="0" w:type="dxa"/>
            <w:vAlign w:val="bottom"/>
          </w:tcPr>
          <w:p>
            <w:pPr>
              <w:spacing w:after="0"/>
              <w:rPr>
                <w:sz w:val="1"/>
                <w:szCs w:val="1"/>
                <w:color w:val="auto"/>
              </w:rPr>
            </w:pPr>
          </w:p>
        </w:tc>
      </w:tr>
      <w:tr>
        <w:trPr>
          <w:trHeight w:val="135"/>
        </w:trPr>
        <w:tc>
          <w:tcPr>
            <w:tcW w:w="520" w:type="dxa"/>
            <w:vAlign w:val="bottom"/>
            <w:tcBorders>
              <w:left w:val="single" w:sz="8" w:color="auto"/>
              <w:bottom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228600</wp:posOffset>
            </wp:positionV>
            <wp:extent cx="14478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341" w:lineRule="exact"/>
        <w:rPr>
          <w:sz w:val="20"/>
          <w:szCs w:val="20"/>
          <w:color w:val="auto"/>
        </w:rPr>
      </w:pPr>
    </w:p>
    <w:p>
      <w:pPr>
        <w:ind w:left="140" w:right="560" w:hanging="133"/>
        <w:spacing w:after="0" w:line="267" w:lineRule="auto"/>
        <w:tabs>
          <w:tab w:leader="none" w:pos="140" w:val="left"/>
        </w:tabs>
        <w:numPr>
          <w:ilvl w:val="0"/>
          <w:numId w:val="165"/>
        </w:numPr>
        <w:rPr>
          <w:rFonts w:ascii="Arial" w:cs="Arial" w:eastAsia="Arial" w:hAnsi="Arial"/>
          <w:sz w:val="15"/>
          <w:szCs w:val="15"/>
          <w:color w:val="auto"/>
        </w:rPr>
      </w:pPr>
      <w:r>
        <w:rPr>
          <w:rFonts w:ascii="Arial" w:cs="Arial" w:eastAsia="Arial" w:hAnsi="Arial"/>
          <w:sz w:val="18"/>
          <w:szCs w:val="18"/>
          <w:color w:val="auto"/>
        </w:rPr>
        <w:t>These intercompany loans are permitted to be rolled over or renewed at principal amounts incorporating accrued but unpaid interest at the existing or a different interest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8"/>
          <w:szCs w:val="18"/>
          <w:b w:val="1"/>
          <w:bCs w:val="1"/>
          <w:color w:val="auto"/>
        </w:rPr>
        <w:t>SCHEDULE 5.01(M)</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FOREIGN SECURITY INTERESTS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77" w:name="page178"/>
    <w:bookmarkEnd w:id="177"/>
    <w:p>
      <w:pPr>
        <w:jc w:val="center"/>
        <w:ind w:right="493"/>
        <w:spacing w:after="0"/>
        <w:rPr>
          <w:sz w:val="20"/>
          <w:szCs w:val="20"/>
          <w:color w:val="auto"/>
        </w:rPr>
      </w:pPr>
      <w:r>
        <w:rPr>
          <w:rFonts w:ascii="Arial" w:cs="Arial" w:eastAsia="Arial" w:hAnsi="Arial"/>
          <w:sz w:val="18"/>
          <w:szCs w:val="18"/>
          <w:b w:val="1"/>
          <w:bCs w:val="1"/>
          <w:color w:val="auto"/>
        </w:rPr>
        <w:t>SCHEDULE 5.01(R)</w:t>
      </w:r>
    </w:p>
    <w:p>
      <w:pPr>
        <w:spacing w:after="0" w:line="23" w:lineRule="exact"/>
        <w:rPr>
          <w:sz w:val="20"/>
          <w:szCs w:val="20"/>
          <w:color w:val="auto"/>
        </w:rPr>
      </w:pPr>
    </w:p>
    <w:p>
      <w:pPr>
        <w:jc w:val="center"/>
        <w:ind w:right="493"/>
        <w:spacing w:after="0"/>
        <w:rPr>
          <w:sz w:val="20"/>
          <w:szCs w:val="20"/>
          <w:color w:val="auto"/>
        </w:rPr>
      </w:pPr>
      <w:r>
        <w:rPr>
          <w:rFonts w:ascii="Arial" w:cs="Arial" w:eastAsia="Arial" w:hAnsi="Arial"/>
          <w:sz w:val="18"/>
          <w:szCs w:val="18"/>
          <w:b w:val="1"/>
          <w:bCs w:val="1"/>
          <w:u w:val="single" w:color="auto"/>
          <w:color w:val="auto"/>
        </w:rPr>
        <w:t>POST-CLOSING OBLIGATIONS</w:t>
      </w:r>
    </w:p>
    <w:p>
      <w:pPr>
        <w:spacing w:after="0" w:line="209" w:lineRule="exact"/>
        <w:rPr>
          <w:sz w:val="20"/>
          <w:szCs w:val="20"/>
          <w:color w:val="auto"/>
        </w:rPr>
      </w:pPr>
    </w:p>
    <w:p>
      <w:pPr>
        <w:ind w:left="507" w:hanging="507"/>
        <w:spacing w:after="0" w:line="273" w:lineRule="auto"/>
        <w:tabs>
          <w:tab w:leader="none" w:pos="507"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As promptly as possible, but in no event later than 90 days after the Closing Date (or in such longer time as may reasonably be agreed by the Agent), the Borrower will (and will cause its Subsidiaries to) take such actions that are necessary or advisable, as reasonably determined by the Borrower and the Agent, to maintain the effectiveness of each existing Collateral Document governed by the laws of a foreign jurisdiction and the perfection of the security interests thereunder after giving effect to the Closing Date Transactions.</w:t>
      </w:r>
    </w:p>
    <w:p>
      <w:pPr>
        <w:spacing w:after="0" w:line="177" w:lineRule="exact"/>
        <w:rPr>
          <w:sz w:val="20"/>
          <w:szCs w:val="20"/>
          <w:color w:val="auto"/>
        </w:rPr>
      </w:pPr>
    </w:p>
    <w:p>
      <w:pPr>
        <w:jc w:val="center"/>
        <w:ind w:right="493"/>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66675</wp:posOffset>
            </wp:positionV>
            <wp:extent cx="729043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7"/>
          </w:cols>
          <w:pgMar w:left="753" w:top="334" w:right="239" w:bottom="1440" w:gutter="0" w:footer="0" w:header="0"/>
        </w:sectPr>
      </w:pPr>
    </w:p>
    <w:bookmarkStart w:id="178" w:name="page179"/>
    <w:bookmarkEnd w:id="178"/>
    <w:p>
      <w:pPr>
        <w:ind w:left="4940"/>
        <w:spacing w:after="0"/>
        <w:rPr>
          <w:sz w:val="20"/>
          <w:szCs w:val="20"/>
          <w:color w:val="auto"/>
        </w:rPr>
      </w:pPr>
      <w:r>
        <w:rPr>
          <w:rFonts w:ascii="Arial" w:cs="Arial" w:eastAsia="Arial" w:hAnsi="Arial"/>
          <w:sz w:val="18"/>
          <w:szCs w:val="18"/>
          <w:b w:val="1"/>
          <w:bCs w:val="1"/>
          <w:color w:val="auto"/>
        </w:rPr>
        <w:t>SCHEDULE 5.02(a)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7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Entity</w:t>
            </w:r>
          </w:p>
        </w:tc>
        <w:tc>
          <w:tcPr>
            <w:tcW w:w="51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Description</w:t>
            </w:r>
          </w:p>
        </w:tc>
        <w:tc>
          <w:tcPr>
            <w:tcW w:w="24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9"/>
                <w:szCs w:val="19"/>
                <w:color w:val="auto"/>
              </w:rPr>
            </w:pPr>
          </w:p>
        </w:tc>
      </w:tr>
      <w:tr>
        <w:trPr>
          <w:trHeight w:val="200"/>
        </w:trPr>
        <w:tc>
          <w:tcPr>
            <w:tcW w:w="3780" w:type="dxa"/>
            <w:vAlign w:val="bottom"/>
            <w:tcBorders>
              <w:left w:val="single" w:sz="8" w:color="auto"/>
              <w:right w:val="single" w:sz="8" w:color="auto"/>
            </w:tcBorders>
          </w:tcPr>
          <w:p>
            <w:pPr>
              <w:ind w:left="80"/>
              <w:spacing w:after="0" w:line="200" w:lineRule="exact"/>
              <w:rPr>
                <w:sz w:val="20"/>
                <w:szCs w:val="20"/>
                <w:color w:val="auto"/>
              </w:rPr>
            </w:pPr>
            <w:r>
              <w:rPr>
                <w:rFonts w:ascii="Arial" w:cs="Arial" w:eastAsia="Arial" w:hAnsi="Arial"/>
                <w:sz w:val="18"/>
                <w:szCs w:val="18"/>
                <w:color w:val="auto"/>
              </w:rPr>
              <w:t>Eastman Kodak Company</w:t>
            </w:r>
          </w:p>
        </w:tc>
        <w:tc>
          <w:tcPr>
            <w:tcW w:w="5180" w:type="dxa"/>
            <w:vAlign w:val="bottom"/>
            <w:tcBorders>
              <w:right w:val="single" w:sz="8" w:color="auto"/>
            </w:tcBorders>
          </w:tcPr>
          <w:p>
            <w:pPr>
              <w:ind w:left="60"/>
              <w:spacing w:after="0" w:line="200" w:lineRule="exact"/>
              <w:rPr>
                <w:sz w:val="20"/>
                <w:szCs w:val="20"/>
                <w:color w:val="auto"/>
              </w:rPr>
            </w:pPr>
            <w:r>
              <w:rPr>
                <w:rFonts w:ascii="Arial" w:cs="Arial" w:eastAsia="Arial" w:hAnsi="Arial"/>
                <w:sz w:val="18"/>
                <w:szCs w:val="18"/>
                <w:color w:val="auto"/>
                <w:w w:val="96"/>
              </w:rPr>
              <w:t>Trust to support environmental liabilities to benefit New York State</w:t>
            </w:r>
          </w:p>
        </w:tc>
        <w:tc>
          <w:tcPr>
            <w:tcW w:w="2460" w:type="dxa"/>
            <w:vAlign w:val="bottom"/>
            <w:tcBorders>
              <w:right w:val="single" w:sz="8" w:color="auto"/>
            </w:tcBorders>
          </w:tcPr>
          <w:p>
            <w:pPr>
              <w:ind w:left="60"/>
              <w:spacing w:after="0" w:line="200" w:lineRule="exact"/>
              <w:rPr>
                <w:sz w:val="20"/>
                <w:szCs w:val="20"/>
                <w:color w:val="auto"/>
              </w:rPr>
            </w:pPr>
            <w:r>
              <w:rPr>
                <w:rFonts w:ascii="Arial" w:cs="Arial" w:eastAsia="Arial" w:hAnsi="Arial"/>
                <w:sz w:val="18"/>
                <w:szCs w:val="18"/>
                <w:color w:val="auto"/>
              </w:rPr>
              <w:t>USD 384,000</w:t>
            </w:r>
          </w:p>
        </w:tc>
        <w:tc>
          <w:tcPr>
            <w:tcW w:w="20" w:type="dxa"/>
            <w:vAlign w:val="bottom"/>
          </w:tcPr>
          <w:p>
            <w:pPr>
              <w:spacing w:after="0"/>
              <w:rPr>
                <w:sz w:val="17"/>
                <w:szCs w:val="17"/>
                <w:color w:val="auto"/>
              </w:rPr>
            </w:pPr>
          </w:p>
        </w:tc>
      </w:tr>
      <w:tr>
        <w:trPr>
          <w:trHeight w:val="224"/>
        </w:trPr>
        <w:tc>
          <w:tcPr>
            <w:tcW w:w="3780" w:type="dxa"/>
            <w:vAlign w:val="bottom"/>
            <w:tcBorders>
              <w:left w:val="single" w:sz="8" w:color="auto"/>
              <w:right w:val="single" w:sz="8" w:color="auto"/>
            </w:tcBorders>
          </w:tcPr>
          <w:p>
            <w:pPr>
              <w:spacing w:after="0"/>
              <w:rPr>
                <w:sz w:val="19"/>
                <w:szCs w:val="19"/>
                <w:color w:val="auto"/>
              </w:rPr>
            </w:pP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Department of Environmental Conservation</w:t>
            </w:r>
          </w:p>
        </w:tc>
        <w:tc>
          <w:tcPr>
            <w:tcW w:w="24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68"/>
        </w:trPr>
        <w:tc>
          <w:tcPr>
            <w:tcW w:w="3780" w:type="dxa"/>
            <w:vAlign w:val="bottom"/>
            <w:tcBorders>
              <w:left w:val="single" w:sz="8" w:color="auto"/>
              <w:bottom w:val="single" w:sz="8" w:color="auto"/>
              <w:right w:val="single" w:sz="8" w:color="auto"/>
            </w:tcBorders>
          </w:tcPr>
          <w:p>
            <w:pPr>
              <w:spacing w:after="0"/>
              <w:rPr>
                <w:sz w:val="5"/>
                <w:szCs w:val="5"/>
                <w:color w:val="auto"/>
              </w:rPr>
            </w:pPr>
          </w:p>
        </w:tc>
        <w:tc>
          <w:tcPr>
            <w:tcW w:w="518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94"/>
        </w:trPr>
        <w:tc>
          <w:tcPr>
            <w:tcW w:w="37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Brasileira Comercio de Produtos Para</w:t>
            </w:r>
          </w:p>
        </w:tc>
        <w:tc>
          <w:tcPr>
            <w:tcW w:w="51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Pledge of real property and its other assets to support adjudication of</w:t>
            </w:r>
          </w:p>
        </w:tc>
        <w:tc>
          <w:tcPr>
            <w:tcW w:w="24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USD 67,088,500</w:t>
            </w:r>
          </w:p>
        </w:tc>
        <w:tc>
          <w:tcPr>
            <w:tcW w:w="20" w:type="dxa"/>
            <w:vAlign w:val="bottom"/>
          </w:tcPr>
          <w:p>
            <w:pPr>
              <w:spacing w:after="0"/>
              <w:rPr>
                <w:sz w:val="16"/>
                <w:szCs w:val="16"/>
                <w:color w:val="auto"/>
              </w:rPr>
            </w:pPr>
          </w:p>
        </w:tc>
      </w:tr>
      <w:tr>
        <w:trPr>
          <w:trHeight w:val="224"/>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Imagem e Servicos Ltda</w:t>
            </w: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tax and labor disputes</w:t>
            </w:r>
          </w:p>
        </w:tc>
        <w:tc>
          <w:tcPr>
            <w:tcW w:w="24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68"/>
        </w:trPr>
        <w:tc>
          <w:tcPr>
            <w:tcW w:w="3780" w:type="dxa"/>
            <w:vAlign w:val="bottom"/>
            <w:tcBorders>
              <w:left w:val="single" w:sz="8" w:color="auto"/>
              <w:bottom w:val="single" w:sz="8" w:color="auto"/>
              <w:right w:val="single" w:sz="8" w:color="auto"/>
            </w:tcBorders>
          </w:tcPr>
          <w:p>
            <w:pPr>
              <w:spacing w:after="0"/>
              <w:rPr>
                <w:sz w:val="5"/>
                <w:szCs w:val="5"/>
                <w:color w:val="auto"/>
              </w:rPr>
            </w:pPr>
          </w:p>
        </w:tc>
        <w:tc>
          <w:tcPr>
            <w:tcW w:w="518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94"/>
        </w:trPr>
        <w:tc>
          <w:tcPr>
            <w:tcW w:w="37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Kodak Brasileira Comercio de Produtos Para</w:t>
            </w:r>
          </w:p>
        </w:tc>
        <w:tc>
          <w:tcPr>
            <w:tcW w:w="51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Pledge of cash to support adjudication of tax and labor disputes</w:t>
            </w:r>
          </w:p>
        </w:tc>
        <w:tc>
          <w:tcPr>
            <w:tcW w:w="24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BRL 21,048,057</w:t>
            </w:r>
          </w:p>
        </w:tc>
        <w:tc>
          <w:tcPr>
            <w:tcW w:w="20" w:type="dxa"/>
            <w:vAlign w:val="bottom"/>
          </w:tcPr>
          <w:p>
            <w:pPr>
              <w:spacing w:after="0"/>
              <w:rPr>
                <w:sz w:val="16"/>
                <w:szCs w:val="16"/>
                <w:color w:val="auto"/>
              </w:rPr>
            </w:pPr>
          </w:p>
        </w:tc>
      </w:tr>
      <w:tr>
        <w:trPr>
          <w:trHeight w:val="224"/>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Imagem e Servicos Ltda</w:t>
            </w:r>
          </w:p>
        </w:tc>
        <w:tc>
          <w:tcPr>
            <w:tcW w:w="518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68"/>
        </w:trPr>
        <w:tc>
          <w:tcPr>
            <w:tcW w:w="3780" w:type="dxa"/>
            <w:vAlign w:val="bottom"/>
            <w:tcBorders>
              <w:left w:val="single" w:sz="8" w:color="auto"/>
              <w:bottom w:val="single" w:sz="8" w:color="auto"/>
              <w:right w:val="single" w:sz="8" w:color="auto"/>
            </w:tcBorders>
          </w:tcPr>
          <w:p>
            <w:pPr>
              <w:spacing w:after="0"/>
              <w:rPr>
                <w:sz w:val="5"/>
                <w:szCs w:val="5"/>
                <w:color w:val="auto"/>
              </w:rPr>
            </w:pPr>
          </w:p>
        </w:tc>
        <w:tc>
          <w:tcPr>
            <w:tcW w:w="518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18"/>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India Private Limited</w:t>
            </w: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Cash collateralization to support guarantee liabilities with Citibank</w:t>
            </w: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INR 17,534,485</w:t>
            </w:r>
          </w:p>
        </w:tc>
        <w:tc>
          <w:tcPr>
            <w:tcW w:w="20" w:type="dxa"/>
            <w:vAlign w:val="bottom"/>
          </w:tcPr>
          <w:p>
            <w:pPr>
              <w:spacing w:after="0"/>
              <w:rPr>
                <w:sz w:val="18"/>
                <w:szCs w:val="18"/>
                <w:color w:val="auto"/>
              </w:rPr>
            </w:pPr>
          </w:p>
        </w:tc>
      </w:tr>
      <w:tr>
        <w:trPr>
          <w:trHeight w:val="269"/>
        </w:trPr>
        <w:tc>
          <w:tcPr>
            <w:tcW w:w="3780" w:type="dxa"/>
            <w:vAlign w:val="bottom"/>
            <w:tcBorders>
              <w:left w:val="single" w:sz="8" w:color="auto"/>
              <w:bottom w:val="single" w:sz="8" w:color="auto"/>
              <w:right w:val="single" w:sz="8" w:color="auto"/>
            </w:tcBorders>
          </w:tcPr>
          <w:p>
            <w:pPr>
              <w:spacing w:after="0"/>
              <w:rPr>
                <w:sz w:val="23"/>
                <w:szCs w:val="23"/>
                <w:color w:val="auto"/>
              </w:rPr>
            </w:pPr>
          </w:p>
        </w:tc>
        <w:tc>
          <w:tcPr>
            <w:tcW w:w="5180" w:type="dxa"/>
            <w:vAlign w:val="bottom"/>
            <w:tcBorders>
              <w:bottom w:val="single" w:sz="8" w:color="auto"/>
              <w:right w:val="single" w:sz="8" w:color="auto"/>
            </w:tcBorders>
          </w:tcPr>
          <w:p>
            <w:pPr>
              <w:spacing w:after="0"/>
              <w:rPr>
                <w:sz w:val="23"/>
                <w:szCs w:val="23"/>
                <w:color w:val="auto"/>
              </w:rPr>
            </w:pPr>
          </w:p>
        </w:tc>
        <w:tc>
          <w:tcPr>
            <w:tcW w:w="246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18"/>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India Private Limited</w:t>
            </w: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Pledge of its assets to support tax adjudication</w:t>
            </w: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INR 41,952,200</w:t>
            </w:r>
          </w:p>
        </w:tc>
        <w:tc>
          <w:tcPr>
            <w:tcW w:w="20" w:type="dxa"/>
            <w:vAlign w:val="bottom"/>
          </w:tcPr>
          <w:p>
            <w:pPr>
              <w:spacing w:after="0"/>
              <w:rPr>
                <w:sz w:val="18"/>
                <w:szCs w:val="18"/>
                <w:color w:val="auto"/>
              </w:rPr>
            </w:pPr>
          </w:p>
        </w:tc>
      </w:tr>
      <w:tr>
        <w:trPr>
          <w:trHeight w:val="269"/>
        </w:trPr>
        <w:tc>
          <w:tcPr>
            <w:tcW w:w="3780" w:type="dxa"/>
            <w:vAlign w:val="bottom"/>
            <w:tcBorders>
              <w:left w:val="single" w:sz="8" w:color="auto"/>
              <w:bottom w:val="single" w:sz="8" w:color="auto"/>
              <w:right w:val="single" w:sz="8" w:color="auto"/>
            </w:tcBorders>
          </w:tcPr>
          <w:p>
            <w:pPr>
              <w:spacing w:after="0"/>
              <w:rPr>
                <w:sz w:val="23"/>
                <w:szCs w:val="23"/>
                <w:color w:val="auto"/>
              </w:rPr>
            </w:pPr>
          </w:p>
        </w:tc>
        <w:tc>
          <w:tcPr>
            <w:tcW w:w="5180" w:type="dxa"/>
            <w:vAlign w:val="bottom"/>
            <w:tcBorders>
              <w:bottom w:val="single" w:sz="8" w:color="auto"/>
              <w:right w:val="single" w:sz="8" w:color="auto"/>
            </w:tcBorders>
          </w:tcPr>
          <w:p>
            <w:pPr>
              <w:spacing w:after="0"/>
              <w:rPr>
                <w:sz w:val="23"/>
                <w:szCs w:val="23"/>
                <w:color w:val="auto"/>
              </w:rPr>
            </w:pPr>
          </w:p>
        </w:tc>
        <w:tc>
          <w:tcPr>
            <w:tcW w:w="246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18"/>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IL Ltd. (Israel)</w:t>
            </w: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Cash collateralization of bank guarantee by Bank Leumi</w:t>
            </w: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2,030,000</w:t>
            </w:r>
          </w:p>
        </w:tc>
        <w:tc>
          <w:tcPr>
            <w:tcW w:w="20" w:type="dxa"/>
            <w:vAlign w:val="bottom"/>
          </w:tcPr>
          <w:p>
            <w:pPr>
              <w:spacing w:after="0"/>
              <w:rPr>
                <w:sz w:val="18"/>
                <w:szCs w:val="18"/>
                <w:color w:val="auto"/>
              </w:rPr>
            </w:pPr>
          </w:p>
        </w:tc>
      </w:tr>
      <w:tr>
        <w:trPr>
          <w:trHeight w:val="269"/>
        </w:trPr>
        <w:tc>
          <w:tcPr>
            <w:tcW w:w="3780" w:type="dxa"/>
            <w:vAlign w:val="bottom"/>
            <w:tcBorders>
              <w:left w:val="single" w:sz="8" w:color="auto"/>
              <w:bottom w:val="single" w:sz="8" w:color="auto"/>
              <w:right w:val="single" w:sz="8" w:color="auto"/>
            </w:tcBorders>
          </w:tcPr>
          <w:p>
            <w:pPr>
              <w:spacing w:after="0"/>
              <w:rPr>
                <w:sz w:val="23"/>
                <w:szCs w:val="23"/>
                <w:color w:val="auto"/>
              </w:rPr>
            </w:pPr>
          </w:p>
        </w:tc>
        <w:tc>
          <w:tcPr>
            <w:tcW w:w="5180" w:type="dxa"/>
            <w:vAlign w:val="bottom"/>
            <w:tcBorders>
              <w:bottom w:val="single" w:sz="8" w:color="auto"/>
              <w:right w:val="single" w:sz="8" w:color="auto"/>
            </w:tcBorders>
          </w:tcPr>
          <w:p>
            <w:pPr>
              <w:spacing w:after="0"/>
              <w:rPr>
                <w:sz w:val="23"/>
                <w:szCs w:val="23"/>
                <w:color w:val="auto"/>
              </w:rPr>
            </w:pPr>
          </w:p>
        </w:tc>
        <w:tc>
          <w:tcPr>
            <w:tcW w:w="246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632"/>
        </w:trPr>
        <w:tc>
          <w:tcPr>
            <w:tcW w:w="3780" w:type="dxa"/>
            <w:vAlign w:val="bottom"/>
          </w:tcPr>
          <w:p>
            <w:pPr>
              <w:spacing w:after="0"/>
              <w:rPr>
                <w:sz w:val="24"/>
                <w:szCs w:val="24"/>
                <w:color w:val="auto"/>
              </w:rPr>
            </w:pPr>
          </w:p>
        </w:tc>
        <w:tc>
          <w:tcPr>
            <w:tcW w:w="5180" w:type="dxa"/>
            <w:vAlign w:val="bottom"/>
          </w:tcPr>
          <w:p>
            <w:pPr>
              <w:ind w:left="1840"/>
              <w:spacing w:after="0"/>
              <w:rPr>
                <w:sz w:val="20"/>
                <w:szCs w:val="20"/>
                <w:color w:val="auto"/>
              </w:rPr>
            </w:pPr>
            <w:r>
              <w:rPr>
                <w:rFonts w:ascii="Arial" w:cs="Arial" w:eastAsia="Arial" w:hAnsi="Arial"/>
                <w:sz w:val="18"/>
                <w:szCs w:val="18"/>
                <w:color w:val="auto"/>
              </w:rPr>
              <w:t>26</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79" w:name="page180"/>
    <w:bookmarkEnd w:id="179"/>
    <w:p>
      <w:pPr>
        <w:ind w:left="4900"/>
        <w:spacing w:after="0"/>
        <w:rPr>
          <w:sz w:val="20"/>
          <w:szCs w:val="20"/>
          <w:color w:val="auto"/>
        </w:rPr>
      </w:pPr>
      <w:r>
        <w:rPr>
          <w:rFonts w:ascii="Arial" w:cs="Arial" w:eastAsia="Arial" w:hAnsi="Arial"/>
          <w:sz w:val="18"/>
          <w:szCs w:val="18"/>
          <w:b w:val="1"/>
          <w:bCs w:val="1"/>
          <w:color w:val="auto"/>
        </w:rPr>
        <w:t>SCHEDULE 5.02(D)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u w:val="single" w:color="auto"/>
          <w:color w:val="auto"/>
        </w:rPr>
        <w:t>EXISTING DEBT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600" w:type="dxa"/>
            <w:vAlign w:val="bottom"/>
            <w:tcBorders>
              <w:top w:val="single" w:sz="8" w:color="auto"/>
              <w:left w:val="single" w:sz="8" w:color="auto"/>
              <w:bottom w:val="single" w:sz="8" w:color="auto"/>
              <w:right w:val="single" w:sz="8" w:color="auto"/>
            </w:tcBorders>
          </w:tcPr>
          <w:p>
            <w:pPr>
              <w:ind w:left="2120"/>
              <w:spacing w:after="0"/>
              <w:rPr>
                <w:sz w:val="20"/>
                <w:szCs w:val="20"/>
                <w:color w:val="auto"/>
              </w:rPr>
            </w:pPr>
            <w:r>
              <w:rPr>
                <w:rFonts w:ascii="Arial" w:cs="Arial" w:eastAsia="Arial" w:hAnsi="Arial"/>
                <w:sz w:val="14"/>
                <w:szCs w:val="14"/>
                <w:b w:val="1"/>
                <w:bCs w:val="1"/>
                <w:color w:val="auto"/>
              </w:rPr>
              <w:t>Entity</w:t>
            </w:r>
          </w:p>
        </w:tc>
        <w:tc>
          <w:tcPr>
            <w:tcW w:w="3420" w:type="dxa"/>
            <w:vAlign w:val="bottom"/>
            <w:tcBorders>
              <w:top w:val="single" w:sz="8" w:color="auto"/>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1"/>
              </w:rPr>
              <w:t>Type</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Existing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Brasileira Comercio de Produtos Para Imagem e</w:t>
            </w:r>
          </w:p>
        </w:tc>
        <w:tc>
          <w:tcPr>
            <w:tcW w:w="34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Bank Guarantees/LOCs</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BRL 1,699,275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Servicos Ltda</w:t>
            </w:r>
          </w:p>
        </w:tc>
        <w:tc>
          <w:tcPr>
            <w:tcW w:w="3420" w:type="dxa"/>
            <w:vAlign w:val="bottom"/>
            <w:tcBorders>
              <w:right w:val="single" w:sz="8" w:color="auto"/>
            </w:tcBorders>
            <w:gridSpan w:val="2"/>
            <w:vMerge w:val="restart"/>
          </w:tcPr>
          <w:p>
            <w:pPr>
              <w:jc w:val="center"/>
              <w:ind w:right="80"/>
              <w:spacing w:after="0"/>
              <w:rPr>
                <w:sz w:val="20"/>
                <w:szCs w:val="20"/>
                <w:color w:val="auto"/>
              </w:rPr>
            </w:pPr>
            <w:r>
              <w:rPr>
                <w:rFonts w:ascii="Arial" w:cs="Arial" w:eastAsia="Arial" w:hAnsi="Arial"/>
                <w:sz w:val="18"/>
                <w:szCs w:val="18"/>
                <w:color w:val="auto"/>
                <w:w w:val="89"/>
              </w:rPr>
              <w:t>Customer</w:t>
            </w:r>
          </w:p>
        </w:tc>
        <w:tc>
          <w:tcPr>
            <w:tcW w:w="34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600" w:type="dxa"/>
            <w:vAlign w:val="bottom"/>
            <w:tcBorders>
              <w:left w:val="single" w:sz="8" w:color="auto"/>
              <w:right w:val="single" w:sz="8" w:color="auto"/>
            </w:tcBorders>
          </w:tcPr>
          <w:p>
            <w:pPr>
              <w:spacing w:after="0"/>
              <w:rPr>
                <w:sz w:val="8"/>
                <w:szCs w:val="8"/>
                <w:color w:val="auto"/>
              </w:rPr>
            </w:pPr>
          </w:p>
        </w:tc>
        <w:tc>
          <w:tcPr>
            <w:tcW w:w="3420" w:type="dxa"/>
            <w:vAlign w:val="bottom"/>
            <w:tcBorders>
              <w:right w:val="single" w:sz="8" w:color="auto"/>
            </w:tcBorders>
            <w:gridSpan w:val="2"/>
            <w:vMerge w:val="continue"/>
          </w:tcPr>
          <w:p>
            <w:pPr>
              <w:spacing w:after="0"/>
              <w:rPr>
                <w:sz w:val="8"/>
                <w:szCs w:val="8"/>
                <w:color w:val="auto"/>
              </w:rPr>
            </w:pPr>
          </w:p>
        </w:tc>
        <w:tc>
          <w:tcPr>
            <w:tcW w:w="34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600" w:type="dxa"/>
            <w:vAlign w:val="bottom"/>
            <w:tcBorders>
              <w:left w:val="single" w:sz="8" w:color="auto"/>
              <w:right w:val="single" w:sz="8" w:color="auto"/>
            </w:tcBorders>
          </w:tcPr>
          <w:p>
            <w:pPr>
              <w:spacing w:after="0"/>
              <w:rPr>
                <w:sz w:val="18"/>
                <w:szCs w:val="18"/>
                <w:color w:val="auto"/>
              </w:rPr>
            </w:pPr>
          </w:p>
        </w:tc>
        <w:tc>
          <w:tcPr>
            <w:tcW w:w="34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7"/>
              </w:rPr>
              <w:t>Guarantee/Vendor</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BRL 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left w:val="single" w:sz="8" w:color="auto"/>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9"/>
              </w:rPr>
              <w:t>Program</w:t>
            </w:r>
          </w:p>
        </w:tc>
        <w:tc>
          <w:tcPr>
            <w:tcW w:w="34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Canada ULC</w:t>
            </w:r>
          </w:p>
        </w:tc>
        <w:tc>
          <w:tcPr>
            <w:tcW w:w="34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7"/>
              </w:rPr>
              <w:t>Capital Leases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CAD 7,773,778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Mexicana S.A. de C.V.</w:t>
            </w:r>
          </w:p>
        </w:tc>
        <w:tc>
          <w:tcPr>
            <w:tcW w:w="34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8"/>
              </w:rPr>
              <w:t>Surety Bonds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MXN 222,268,917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Limited</w:t>
            </w:r>
          </w:p>
        </w:tc>
        <w:tc>
          <w:tcPr>
            <w:tcW w:w="34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9"/>
              </w:rPr>
              <w:t>Customer</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GBP 450,000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0" w:type="dxa"/>
            <w:vAlign w:val="bottom"/>
            <w:tcBorders>
              <w:left w:val="single" w:sz="8" w:color="auto"/>
              <w:right w:val="single" w:sz="8" w:color="auto"/>
            </w:tcBorders>
          </w:tcPr>
          <w:p>
            <w:pPr>
              <w:spacing w:after="0"/>
              <w:rPr>
                <w:sz w:val="18"/>
                <w:szCs w:val="18"/>
                <w:color w:val="auto"/>
              </w:rPr>
            </w:pPr>
          </w:p>
        </w:tc>
        <w:tc>
          <w:tcPr>
            <w:tcW w:w="34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7"/>
              </w:rPr>
              <w:t>Guarantee/Vendor</w:t>
            </w:r>
          </w:p>
        </w:tc>
        <w:tc>
          <w:tcPr>
            <w:tcW w:w="3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left w:val="single" w:sz="8" w:color="auto"/>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9"/>
              </w:rPr>
              <w:t>Program</w:t>
            </w:r>
          </w:p>
        </w:tc>
        <w:tc>
          <w:tcPr>
            <w:tcW w:w="34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Argentina S.A.I.C.</w:t>
            </w:r>
          </w:p>
        </w:tc>
        <w:tc>
          <w:tcPr>
            <w:tcW w:w="34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8"/>
              </w:rPr>
              <w:t>Surety Bonds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ARS 379,600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S.p.A (Italy)</w:t>
            </w: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Bank Guarantees/LOCs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EUR 62,582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SA/NV (Belgium)</w:t>
            </w: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Bank Guarantees/LOCs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EUR 1,673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India Private Limited</w:t>
            </w: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Bank Guarantees/LOCs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INR 12,885,055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IL Ltd. (Israel)</w:t>
            </w:r>
          </w:p>
        </w:tc>
        <w:tc>
          <w:tcPr>
            <w:tcW w:w="34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Bank Guarantees/LOCs</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USD 2,057,880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60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ILS 150,000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S.A. (Spain)</w:t>
            </w: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Bank Guarantees/LOCs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EUR 85,765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Qualex Inc.</w:t>
            </w: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7"/>
              </w:rPr>
              <w:t>3rd Party Guarantees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USD 91,226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Eastman Kodak Sarl</w:t>
            </w:r>
          </w:p>
        </w:tc>
        <w:tc>
          <w:tcPr>
            <w:tcW w:w="34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Bank Guarantees/LOCs</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EUR 210,275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0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9"/>
              </w:rPr>
              <w:t>Customer</w:t>
            </w:r>
          </w:p>
        </w:tc>
        <w:tc>
          <w:tcPr>
            <w:tcW w:w="3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0" w:type="dxa"/>
            <w:vAlign w:val="bottom"/>
            <w:tcBorders>
              <w:left w:val="single" w:sz="8" w:color="auto"/>
              <w:right w:val="single" w:sz="8" w:color="auto"/>
            </w:tcBorders>
          </w:tcPr>
          <w:p>
            <w:pPr>
              <w:spacing w:after="0"/>
              <w:rPr>
                <w:sz w:val="18"/>
                <w:szCs w:val="18"/>
                <w:color w:val="auto"/>
              </w:rPr>
            </w:pPr>
          </w:p>
        </w:tc>
        <w:tc>
          <w:tcPr>
            <w:tcW w:w="34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7"/>
              </w:rPr>
              <w:t>Guarantee/Vendor</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USD 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left w:val="single" w:sz="8" w:color="auto"/>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9"/>
              </w:rPr>
              <w:t>Program</w:t>
            </w:r>
          </w:p>
        </w:tc>
        <w:tc>
          <w:tcPr>
            <w:tcW w:w="34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(Thailand) Limited</w:t>
            </w:r>
          </w:p>
        </w:tc>
        <w:tc>
          <w:tcPr>
            <w:tcW w:w="34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9"/>
              </w:rPr>
              <w:t>Customer</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THB 1,621,886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0" w:type="dxa"/>
            <w:vAlign w:val="bottom"/>
            <w:tcBorders>
              <w:left w:val="single" w:sz="8" w:color="auto"/>
              <w:right w:val="single" w:sz="8" w:color="auto"/>
            </w:tcBorders>
          </w:tcPr>
          <w:p>
            <w:pPr>
              <w:spacing w:after="0"/>
              <w:rPr>
                <w:sz w:val="18"/>
                <w:szCs w:val="18"/>
                <w:color w:val="auto"/>
              </w:rPr>
            </w:pPr>
          </w:p>
        </w:tc>
        <w:tc>
          <w:tcPr>
            <w:tcW w:w="34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7"/>
              </w:rPr>
              <w:t>Guarantee/Vendor</w:t>
            </w:r>
          </w:p>
        </w:tc>
        <w:tc>
          <w:tcPr>
            <w:tcW w:w="3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left w:val="single" w:sz="8" w:color="auto"/>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9"/>
              </w:rPr>
              <w:t>Program</w:t>
            </w:r>
          </w:p>
        </w:tc>
        <w:tc>
          <w:tcPr>
            <w:tcW w:w="34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Kodak (Singapore) Pte Limited</w:t>
            </w:r>
          </w:p>
        </w:tc>
        <w:tc>
          <w:tcPr>
            <w:tcW w:w="34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8"/>
              </w:rPr>
              <w:t>Bank Guarantees/LOCs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SGD 45,261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Eastman Kodak Company Debt (USD) (principal amounts where applicable)</w:t>
            </w: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80" w:type="dxa"/>
            <w:vAlign w:val="bottom"/>
            <w:tcBorders>
              <w:bottom w:val="single" w:sz="8" w:color="auto"/>
            </w:tcBorders>
            <w:gridSpan w:val="2"/>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280" w:type="dxa"/>
            <w:vAlign w:val="bottom"/>
            <w:tcBorders>
              <w:left w:val="single" w:sz="8" w:color="auto"/>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2"/>
              </w:rPr>
              <w:t>Letters of Credit listed on Annex 1 to Schedule 5.02(d) in the aggregate amount set</w:t>
            </w:r>
          </w:p>
        </w:tc>
        <w:tc>
          <w:tcPr>
            <w:tcW w:w="1740" w:type="dxa"/>
            <w:vAlign w:val="bottom"/>
          </w:tcPr>
          <w:p>
            <w:pPr>
              <w:spacing w:after="0"/>
              <w:rPr>
                <w:sz w:val="16"/>
                <w:szCs w:val="16"/>
                <w:color w:val="auto"/>
              </w:rPr>
            </w:pPr>
          </w:p>
        </w:tc>
        <w:tc>
          <w:tcPr>
            <w:tcW w:w="3400" w:type="dxa"/>
            <w:vAlign w:val="bottom"/>
            <w:tcBorders>
              <w:right w:val="single" w:sz="8" w:color="auto"/>
            </w:tcBorders>
          </w:tcPr>
          <w:p>
            <w:pPr>
              <w:jc w:val="right"/>
              <w:ind w:right="2012"/>
              <w:spacing w:after="0" w:line="195" w:lineRule="exact"/>
              <w:rPr>
                <w:sz w:val="20"/>
                <w:szCs w:val="20"/>
                <w:color w:val="auto"/>
              </w:rPr>
            </w:pPr>
            <w:r>
              <w:rPr>
                <w:rFonts w:ascii="Arial" w:cs="Arial" w:eastAsia="Arial" w:hAnsi="Arial"/>
                <w:sz w:val="18"/>
                <w:szCs w:val="18"/>
                <w:color w:val="auto"/>
              </w:rPr>
              <w:t>$117,422,534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forth below.</w:t>
            </w:r>
          </w:p>
        </w:tc>
        <w:tc>
          <w:tcPr>
            <w:tcW w:w="16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Surety Bonds for U.S. and Canadian Customs</w:t>
            </w: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jc w:val="right"/>
              <w:ind w:right="2152"/>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Customer Guarantees/Vendor Program (Loss Pool)</w:t>
            </w: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jc w:val="right"/>
              <w:ind w:right="2192"/>
              <w:spacing w:after="0"/>
              <w:rPr>
                <w:sz w:val="20"/>
                <w:szCs w:val="20"/>
                <w:color w:val="auto"/>
              </w:rPr>
            </w:pPr>
            <w:r>
              <w:rPr>
                <w:rFonts w:ascii="Arial" w:cs="Arial" w:eastAsia="Arial" w:hAnsi="Arial"/>
                <w:sz w:val="18"/>
                <w:szCs w:val="18"/>
                <w:color w:val="auto"/>
              </w:rPr>
              <w:t>$425,654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460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27</w:t>
            </w:r>
          </w:p>
        </w:tc>
        <w:tc>
          <w:tcPr>
            <w:tcW w:w="1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5" w:right="2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 xml:space="preserve">Annex 1 to Schedule 5.02(d) </w:t>
      </w:r>
      <w:r>
        <w:rPr>
          <w:rFonts w:ascii="Arial" w:cs="Arial" w:eastAsia="Arial" w:hAnsi="Arial"/>
          <w:sz w:val="15"/>
          <w:szCs w:val="15"/>
          <w:b w:val="1"/>
          <w:bCs w:val="1"/>
          <w:color w:val="auto"/>
        </w:rPr>
        <w:t>3</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80" w:type="dxa"/>
            <w:vAlign w:val="bottom"/>
            <w:tcBorders>
              <w:top w:val="single" w:sz="8" w:color="auto"/>
              <w:left w:val="single" w:sz="8" w:color="auto"/>
            </w:tcBorders>
          </w:tcPr>
          <w:p>
            <w:pPr>
              <w:spacing w:after="0"/>
              <w:rPr>
                <w:sz w:val="16"/>
                <w:szCs w:val="16"/>
                <w:color w:val="auto"/>
              </w:rPr>
            </w:pPr>
          </w:p>
        </w:tc>
        <w:tc>
          <w:tcPr>
            <w:tcW w:w="22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Issuing Bank</w:t>
            </w:r>
          </w:p>
        </w:tc>
        <w:tc>
          <w:tcPr>
            <w:tcW w:w="5700" w:type="dxa"/>
            <w:vAlign w:val="bottom"/>
            <w:tcBorders>
              <w:top w:val="single" w:sz="8" w:color="auto"/>
              <w:right w:val="single" w:sz="8" w:color="auto"/>
            </w:tcBorders>
            <w:gridSpan w:val="3"/>
          </w:tcPr>
          <w:p>
            <w:pPr>
              <w:ind w:left="2500"/>
              <w:spacing w:after="0"/>
              <w:rPr>
                <w:sz w:val="20"/>
                <w:szCs w:val="20"/>
                <w:color w:val="auto"/>
              </w:rPr>
            </w:pPr>
            <w:r>
              <w:rPr>
                <w:rFonts w:ascii="Arial" w:cs="Arial" w:eastAsia="Arial" w:hAnsi="Arial"/>
                <w:sz w:val="14"/>
                <w:szCs w:val="14"/>
                <w:color w:val="auto"/>
              </w:rPr>
              <w:t>Beneficiary</w:t>
            </w:r>
          </w:p>
        </w:tc>
        <w:tc>
          <w:tcPr>
            <w:tcW w:w="700" w:type="dxa"/>
            <w:vAlign w:val="bottom"/>
            <w:tcBorders>
              <w:top w:val="single" w:sz="8" w:color="auto"/>
            </w:tcBorders>
          </w:tcPr>
          <w:p>
            <w:pPr>
              <w:spacing w:after="0"/>
              <w:rPr>
                <w:sz w:val="16"/>
                <w:szCs w:val="16"/>
                <w:color w:val="auto"/>
              </w:rPr>
            </w:pPr>
          </w:p>
        </w:tc>
        <w:tc>
          <w:tcPr>
            <w:tcW w:w="1000" w:type="dxa"/>
            <w:vAlign w:val="bottom"/>
            <w:tcBorders>
              <w:top w:val="single" w:sz="8" w:color="auto"/>
              <w:right w:val="single" w:sz="8" w:color="auto"/>
            </w:tcBorders>
            <w:gridSpan w:val="2"/>
          </w:tcPr>
          <w:p>
            <w:pPr>
              <w:jc w:val="center"/>
              <w:ind w:right="720"/>
              <w:spacing w:after="0"/>
              <w:rPr>
                <w:sz w:val="20"/>
                <w:szCs w:val="20"/>
                <w:color w:val="auto"/>
              </w:rPr>
            </w:pPr>
            <w:r>
              <w:rPr>
                <w:rFonts w:ascii="Arial" w:cs="Arial" w:eastAsia="Arial" w:hAnsi="Arial"/>
                <w:sz w:val="14"/>
                <w:szCs w:val="14"/>
                <w:color w:val="auto"/>
                <w:w w:val="94"/>
              </w:rPr>
              <w:t>LC #</w:t>
            </w:r>
          </w:p>
        </w:tc>
        <w:tc>
          <w:tcPr>
            <w:tcW w:w="460" w:type="dxa"/>
            <w:vAlign w:val="bottom"/>
            <w:tcBorders>
              <w:top w:val="single" w:sz="8" w:color="auto"/>
            </w:tcBorders>
          </w:tcPr>
          <w:p>
            <w:pPr>
              <w:spacing w:after="0"/>
              <w:rPr>
                <w:sz w:val="16"/>
                <w:szCs w:val="16"/>
                <w:color w:val="auto"/>
              </w:rPr>
            </w:pPr>
          </w:p>
        </w:tc>
        <w:tc>
          <w:tcPr>
            <w:tcW w:w="12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Face Amount</w:t>
            </w: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Chair, Workers’ Compensation Board State of New York</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68099712</w:t>
            </w:r>
          </w:p>
        </w:tc>
        <w:tc>
          <w:tcPr>
            <w:tcW w:w="17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$84,024,268.00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Citibank, N.A. (Secured Agreements)</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68098775</w:t>
            </w:r>
          </w:p>
        </w:tc>
        <w:tc>
          <w:tcPr>
            <w:tcW w:w="17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$900,000.00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Employment Development Department</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68099375</w:t>
            </w:r>
          </w:p>
        </w:tc>
        <w:tc>
          <w:tcPr>
            <w:tcW w:w="17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$23,100.00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INA, Pacific, Atlantic Insurance Company</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68099763</w:t>
            </w:r>
          </w:p>
        </w:tc>
        <w:tc>
          <w:tcPr>
            <w:tcW w:w="1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8"/>
              </w:rPr>
              <w:t>$1,066,540.00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Maryland Workers’ Compensation Commission</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68099716</w:t>
            </w:r>
          </w:p>
        </w:tc>
        <w:tc>
          <w:tcPr>
            <w:tcW w:w="17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$100,000.00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North Carolina Self-Insurance Security Association</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68099713</w:t>
            </w:r>
          </w:p>
        </w:tc>
        <w:tc>
          <w:tcPr>
            <w:tcW w:w="17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$150,000.00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NYS DEC</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68100352</w:t>
            </w:r>
          </w:p>
        </w:tc>
        <w:tc>
          <w:tcPr>
            <w:tcW w:w="17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$10,000.00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Office of Self-Insurance Plans State of California</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68100357</w:t>
            </w:r>
          </w:p>
        </w:tc>
        <w:tc>
          <w:tcPr>
            <w:tcW w:w="1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8"/>
              </w:rPr>
              <w:t>$2,985,321.00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Ohio Environmental Protection Agency</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68099758</w:t>
            </w:r>
          </w:p>
        </w:tc>
        <w:tc>
          <w:tcPr>
            <w:tcW w:w="1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8"/>
              </w:rPr>
              <w:t>$4,034,387.00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Old Republic Insurance Company</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68099579</w:t>
            </w:r>
          </w:p>
        </w:tc>
        <w:tc>
          <w:tcPr>
            <w:tcW w:w="17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$21,027,418.00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Township of Hamilton</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68099773</w:t>
            </w:r>
          </w:p>
        </w:tc>
        <w:tc>
          <w:tcPr>
            <w:tcW w:w="1220" w:type="dxa"/>
            <w:vAlign w:val="bottom"/>
            <w:tcBorders>
              <w:bottom w:val="single" w:sz="8" w:color="auto"/>
            </w:tcBorders>
            <w:gridSpan w:val="2"/>
          </w:tcPr>
          <w:p>
            <w:pPr>
              <w:jc w:val="center"/>
              <w:ind w:left="371"/>
              <w:spacing w:after="0"/>
              <w:rPr>
                <w:sz w:val="20"/>
                <w:szCs w:val="20"/>
                <w:color w:val="auto"/>
              </w:rPr>
            </w:pPr>
            <w:r>
              <w:rPr>
                <w:rFonts w:ascii="Arial" w:cs="Arial" w:eastAsia="Arial" w:hAnsi="Arial"/>
                <w:sz w:val="18"/>
                <w:szCs w:val="18"/>
                <w:color w:val="auto"/>
                <w:w w:val="89"/>
              </w:rPr>
              <w:t>$5,500.00</w:t>
            </w:r>
          </w:p>
        </w:tc>
        <w:tc>
          <w:tcPr>
            <w:tcW w:w="480" w:type="dxa"/>
            <w:vAlign w:val="bottom"/>
            <w:tcBorders>
              <w:bottom w:val="single" w:sz="8" w:color="auto"/>
              <w:right w:val="single" w:sz="8" w:color="auto"/>
            </w:tcBorders>
          </w:tcPr>
          <w:p>
            <w:pPr>
              <w:spacing w:after="0"/>
              <w:rPr>
                <w:sz w:val="24"/>
                <w:szCs w:val="24"/>
                <w:color w:val="auto"/>
              </w:rPr>
            </w:pPr>
          </w:p>
        </w:tc>
      </w:tr>
      <w:tr>
        <w:trPr>
          <w:trHeight w:val="302"/>
        </w:trPr>
        <w:tc>
          <w:tcPr>
            <w:tcW w:w="80" w:type="dxa"/>
            <w:vAlign w:val="bottom"/>
            <w:tcBorders>
              <w:left w:val="single" w:sz="8" w:color="auto"/>
            </w:tcBorders>
          </w:tcPr>
          <w:p>
            <w:pPr>
              <w:spacing w:after="0"/>
              <w:rPr>
                <w:sz w:val="24"/>
                <w:szCs w:val="24"/>
                <w:color w:val="auto"/>
              </w:rPr>
            </w:pPr>
          </w:p>
        </w:tc>
        <w:tc>
          <w:tcPr>
            <w:tcW w:w="2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Travelers Casualty and Surety Company of America for Itself and on Behalf</w:t>
            </w:r>
          </w:p>
        </w:tc>
        <w:tc>
          <w:tcPr>
            <w:tcW w:w="17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68108777</w:t>
            </w:r>
          </w:p>
        </w:tc>
        <w:tc>
          <w:tcPr>
            <w:tcW w:w="17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$500,000.00</w:t>
            </w:r>
          </w:p>
        </w:tc>
      </w:tr>
      <w:tr>
        <w:trPr>
          <w:trHeight w:val="225"/>
        </w:trPr>
        <w:tc>
          <w:tcPr>
            <w:tcW w:w="80" w:type="dxa"/>
            <w:vAlign w:val="bottom"/>
            <w:tcBorders>
              <w:left w:val="single" w:sz="8" w:color="auto"/>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of Its Parents, Affiliates and Subsidiaries</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Westchester Fire Insurance Company</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68099762</w:t>
            </w:r>
          </w:p>
        </w:tc>
        <w:tc>
          <w:tcPr>
            <w:tcW w:w="17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8"/>
              </w:rPr>
              <w:t>$2,500,000.00</w:t>
            </w:r>
          </w:p>
        </w:tc>
      </w:tr>
      <w:tr>
        <w:trPr>
          <w:trHeight w:val="313"/>
        </w:trPr>
        <w:tc>
          <w:tcPr>
            <w:tcW w:w="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Bank of America</w:t>
            </w:r>
          </w:p>
        </w:tc>
        <w:tc>
          <w:tcPr>
            <w:tcW w:w="57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Workers’ Compensation Board State of New York</w:t>
            </w:r>
          </w:p>
        </w:tc>
        <w:tc>
          <w:tcPr>
            <w:tcW w:w="17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68099761</w:t>
            </w:r>
          </w:p>
        </w:tc>
        <w:tc>
          <w:tcPr>
            <w:tcW w:w="17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$96,000.00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228600</wp:posOffset>
            </wp:positionV>
            <wp:extent cx="14478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341" w:lineRule="exact"/>
        <w:rPr>
          <w:sz w:val="20"/>
          <w:szCs w:val="20"/>
          <w:color w:val="auto"/>
        </w:rPr>
      </w:pPr>
    </w:p>
    <w:p>
      <w:pPr>
        <w:ind w:left="5620" w:right="2460" w:hanging="5613"/>
        <w:spacing w:after="0" w:line="514" w:lineRule="auto"/>
        <w:tabs>
          <w:tab w:leader="none" w:pos="135" w:val="left"/>
        </w:tabs>
        <w:numPr>
          <w:ilvl w:val="0"/>
          <w:numId w:val="167"/>
        </w:numPr>
        <w:rPr>
          <w:rFonts w:ascii="Arial" w:cs="Arial" w:eastAsia="Arial" w:hAnsi="Arial"/>
          <w:sz w:val="15"/>
          <w:szCs w:val="15"/>
          <w:color w:val="auto"/>
        </w:rPr>
      </w:pPr>
      <w:r>
        <w:rPr>
          <w:rFonts w:ascii="Arial" w:cs="Arial" w:eastAsia="Arial" w:hAnsi="Arial"/>
          <w:sz w:val="18"/>
          <w:szCs w:val="18"/>
          <w:color w:val="auto"/>
        </w:rPr>
        <w:t>All of the letters of credit on this Annex 1 are backstopped by letters of credit issued by the Issuing Bank on the date hereof.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-92710</wp:posOffset>
            </wp:positionV>
            <wp:extent cx="729043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81" w:name="page182"/>
    <w:bookmarkEnd w:id="181"/>
    <w:p>
      <w:pPr>
        <w:jc w:val="both"/>
        <w:ind w:left="-7" w:firstLine="7"/>
        <w:spacing w:after="0" w:line="279" w:lineRule="auto"/>
        <w:tabs>
          <w:tab w:leader="none" w:pos="30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has been omitted from public filing pursuant to a request for confidential treatment submitted to the U.S. Securities and Exchange Commission. The omitted information, which has been identified with the symbol “***,” has been filed separately with the U.S. Securities and Exchange Commission pursuant to Rule 24b-2 of the Securities Exchange Act of 1934, as amended.</w:t>
      </w:r>
    </w:p>
    <w:p>
      <w:pPr>
        <w:spacing w:after="0" w:line="272" w:lineRule="exact"/>
        <w:rPr>
          <w:sz w:val="20"/>
          <w:szCs w:val="20"/>
          <w:color w:val="auto"/>
        </w:rPr>
      </w:pPr>
    </w:p>
    <w:p>
      <w:pPr>
        <w:ind w:left="4893"/>
        <w:spacing w:after="0"/>
        <w:rPr>
          <w:sz w:val="20"/>
          <w:szCs w:val="20"/>
          <w:color w:val="auto"/>
        </w:rPr>
      </w:pPr>
      <w:r>
        <w:rPr>
          <w:rFonts w:ascii="Arial" w:cs="Arial" w:eastAsia="Arial" w:hAnsi="Arial"/>
          <w:sz w:val="18"/>
          <w:szCs w:val="18"/>
          <w:b w:val="1"/>
          <w:bCs w:val="1"/>
          <w:color w:val="auto"/>
        </w:rPr>
        <w:t>SCHEDULE 5.02(E)</w:t>
      </w:r>
    </w:p>
    <w:p>
      <w:pPr>
        <w:spacing w:after="0" w:line="23" w:lineRule="exact"/>
        <w:rPr>
          <w:sz w:val="20"/>
          <w:szCs w:val="20"/>
          <w:color w:val="auto"/>
        </w:rPr>
      </w:pPr>
    </w:p>
    <w:p>
      <w:pPr>
        <w:ind w:left="5073"/>
        <w:spacing w:after="0"/>
        <w:rPr>
          <w:sz w:val="20"/>
          <w:szCs w:val="20"/>
          <w:color w:val="auto"/>
        </w:rPr>
      </w:pPr>
      <w:r>
        <w:rPr>
          <w:rFonts w:ascii="Arial" w:cs="Arial" w:eastAsia="Arial" w:hAnsi="Arial"/>
          <w:sz w:val="18"/>
          <w:szCs w:val="18"/>
          <w:b w:val="1"/>
          <w:bCs w:val="1"/>
          <w:u w:val="single" w:color="auto"/>
          <w:color w:val="auto"/>
        </w:rPr>
        <w:t>DISPOSITIONS</w:t>
      </w:r>
    </w:p>
    <w:p>
      <w:pPr>
        <w:spacing w:after="0" w:line="102" w:lineRule="exact"/>
        <w:rPr>
          <w:sz w:val="20"/>
          <w:szCs w:val="20"/>
          <w:color w:val="auto"/>
        </w:rPr>
      </w:pPr>
    </w:p>
    <w:p>
      <w:pPr>
        <w:ind w:left="1013" w:hanging="507"/>
        <w:spacing w:after="0"/>
        <w:tabs>
          <w:tab w:leader="none" w:pos="101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013" w:right="180" w:hanging="507"/>
        <w:spacing w:after="0" w:line="267" w:lineRule="auto"/>
        <w:tabs>
          <w:tab w:leader="none" w:pos="101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Donation of 365 sqm. of forest land by Kodak (Near East), Inc.’s Greek branch to the local government in Greece. This is the last asset Kodak (Near East), Inc. owns in Greece.</w:t>
      </w:r>
    </w:p>
    <w:p>
      <w:pPr>
        <w:spacing w:after="0" w:line="72" w:lineRule="exact"/>
        <w:rPr>
          <w:rFonts w:ascii="Arial" w:cs="Arial" w:eastAsia="Arial" w:hAnsi="Arial"/>
          <w:sz w:val="18"/>
          <w:szCs w:val="18"/>
          <w:color w:val="auto"/>
        </w:rPr>
      </w:pPr>
    </w:p>
    <w:p>
      <w:pPr>
        <w:ind w:left="1013" w:hanging="507"/>
        <w:spacing w:after="0"/>
        <w:tabs>
          <w:tab w:leader="none" w:pos="101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013" w:hanging="507"/>
        <w:spacing w:after="0"/>
        <w:tabs>
          <w:tab w:leader="none" w:pos="101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013" w:hanging="507"/>
        <w:spacing w:after="0"/>
        <w:tabs>
          <w:tab w:leader="none" w:pos="101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Proposed sale of the Hawkeye location.</w:t>
      </w:r>
    </w:p>
    <w:p>
      <w:pPr>
        <w:spacing w:after="0" w:line="220"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29043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53"/>
          </w:cols>
          <w:pgMar w:left="247" w:top="341" w:right="299" w:bottom="1440" w:gutter="0" w:footer="0" w:header="0"/>
        </w:sectPr>
      </w:pPr>
    </w:p>
    <w:bookmarkStart w:id="182" w:name="page183"/>
    <w:bookmarkEnd w:id="182"/>
    <w:p>
      <w:pPr>
        <w:ind w:left="4920"/>
        <w:spacing w:after="0"/>
        <w:rPr>
          <w:sz w:val="20"/>
          <w:szCs w:val="20"/>
          <w:color w:val="auto"/>
        </w:rPr>
      </w:pPr>
      <w:r>
        <w:rPr>
          <w:rFonts w:ascii="Arial" w:cs="Arial" w:eastAsia="Arial" w:hAnsi="Arial"/>
          <w:sz w:val="18"/>
          <w:szCs w:val="18"/>
          <w:b w:val="1"/>
          <w:bCs w:val="1"/>
          <w:color w:val="auto"/>
        </w:rPr>
        <w:t>SCHEDULE 6.01(F)</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JUDGMENTS AND ORDERS</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JUDGMENTS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480" w:type="dxa"/>
            <w:vAlign w:val="bottom"/>
            <w:tcBorders>
              <w:top w:val="single" w:sz="8" w:color="auto"/>
              <w:left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4"/>
                <w:szCs w:val="14"/>
                <w:b w:val="1"/>
                <w:bCs w:val="1"/>
                <w:color w:val="auto"/>
              </w:rPr>
              <w:t>Case No. / Matter</w:t>
            </w:r>
          </w:p>
        </w:tc>
        <w:tc>
          <w:tcPr>
            <w:tcW w:w="356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Kodak Party</w:t>
            </w:r>
          </w:p>
        </w:tc>
        <w:tc>
          <w:tcPr>
            <w:tcW w:w="262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Other Party</w:t>
            </w:r>
          </w:p>
        </w:tc>
        <w:tc>
          <w:tcPr>
            <w:tcW w:w="178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Venue</w:t>
            </w:r>
          </w:p>
        </w:tc>
        <w:tc>
          <w:tcPr>
            <w:tcW w:w="0" w:type="dxa"/>
            <w:vAlign w:val="bottom"/>
          </w:tcPr>
          <w:p>
            <w:pPr>
              <w:spacing w:after="0"/>
              <w:rPr>
                <w:sz w:val="1"/>
                <w:szCs w:val="1"/>
                <w:color w:val="auto"/>
              </w:rPr>
            </w:pPr>
          </w:p>
        </w:tc>
      </w:tr>
      <w:tr>
        <w:trPr>
          <w:trHeight w:val="267"/>
        </w:trPr>
        <w:tc>
          <w:tcPr>
            <w:tcW w:w="3480" w:type="dxa"/>
            <w:vAlign w:val="bottom"/>
            <w:tcBorders>
              <w:left w:val="single" w:sz="8" w:color="auto"/>
              <w:right w:val="single" w:sz="8" w:color="auto"/>
            </w:tcBorders>
          </w:tcPr>
          <w:p>
            <w:pPr>
              <w:spacing w:after="0"/>
              <w:rPr>
                <w:sz w:val="23"/>
                <w:szCs w:val="23"/>
                <w:color w:val="auto"/>
              </w:rPr>
            </w:pP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64"/>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03-930139/2010 DHL</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Imagem e Serviços Ltda. &amp;</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Fazenda Estadual - SP</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480" w:type="dxa"/>
            <w:vAlign w:val="bottom"/>
            <w:tcBorders>
              <w:left w:val="single" w:sz="8" w:color="auto"/>
              <w:bottom w:val="single" w:sz="8" w:color="auto"/>
              <w:right w:val="single" w:sz="8" w:color="auto"/>
            </w:tcBorders>
          </w:tcPr>
          <w:p>
            <w:pPr>
              <w:spacing w:after="0"/>
              <w:rPr>
                <w:sz w:val="22"/>
                <w:szCs w:val="22"/>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Kodak da Amazônia Indústria e Comércio Ltda.</w:t>
            </w:r>
          </w:p>
        </w:tc>
        <w:tc>
          <w:tcPr>
            <w:tcW w:w="2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0007292-65.2005.4.03.6103/INCOME TAX</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Fazenda Estadual - SP/União</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5"/>
        </w:trPr>
        <w:tc>
          <w:tcPr>
            <w:tcW w:w="3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91/92</w:t>
            </w: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Imagem e Serviços Ltda.</w:t>
            </w: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Federal</w:t>
            </w: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3.066.612/VAT STATE OF SP, DHL</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3"/>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EXPORTATION</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0"/>
              </w:rPr>
              <w:t>Imagem e Serviços Ltda. &amp; Kodak da Amazônia</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Fazenda Estadual - SP</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0024320-38.2012.8.26.0053</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Indústria e Comércio Ltda.</w:t>
            </w:r>
          </w:p>
        </w:tc>
        <w:tc>
          <w:tcPr>
            <w:tcW w:w="26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34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56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tcPr>
          <w:p>
            <w:pPr>
              <w:spacing w:after="0"/>
              <w:rPr>
                <w:sz w:val="22"/>
                <w:szCs w:val="22"/>
                <w:color w:val="auto"/>
              </w:rPr>
            </w:pP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5"/>
        </w:trPr>
        <w:tc>
          <w:tcPr>
            <w:tcW w:w="3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967403</w:t>
            </w: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Imagem e Serviços Ltda.</w:t>
            </w: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União Federal</w:t>
            </w: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973.014</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3"/>
              </w:rPr>
              <w:t>Fazenda do Estado de São Paulo</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18"/>
        </w:trPr>
        <w:tc>
          <w:tcPr>
            <w:tcW w:w="3480" w:type="dxa"/>
            <w:vAlign w:val="bottom"/>
            <w:tcBorders>
              <w:left w:val="single" w:sz="8" w:color="auto"/>
              <w:right w:val="single" w:sz="8" w:color="auto"/>
            </w:tcBorders>
            <w:vMerge w:val="continue"/>
          </w:tcPr>
          <w:p>
            <w:pPr>
              <w:spacing w:after="0"/>
              <w:rPr>
                <w:sz w:val="10"/>
                <w:szCs w:val="10"/>
                <w:color w:val="auto"/>
              </w:rPr>
            </w:pPr>
          </w:p>
        </w:tc>
        <w:tc>
          <w:tcPr>
            <w:tcW w:w="3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Imagem e Serviços Ltda.</w:t>
            </w:r>
          </w:p>
        </w:tc>
        <w:tc>
          <w:tcPr>
            <w:tcW w:w="26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80" w:type="dxa"/>
            <w:vAlign w:val="bottom"/>
            <w:tcBorders>
              <w:left w:val="single" w:sz="8" w:color="auto"/>
              <w:bottom w:val="single" w:sz="8" w:color="auto"/>
              <w:right w:val="single" w:sz="8" w:color="auto"/>
            </w:tcBorders>
          </w:tcPr>
          <w:p>
            <w:pPr>
              <w:spacing w:after="0"/>
              <w:rPr>
                <w:sz w:val="9"/>
                <w:szCs w:val="9"/>
                <w:color w:val="auto"/>
              </w:rPr>
            </w:pPr>
          </w:p>
        </w:tc>
        <w:tc>
          <w:tcPr>
            <w:tcW w:w="3560" w:type="dxa"/>
            <w:vAlign w:val="bottom"/>
            <w:tcBorders>
              <w:bottom w:val="single" w:sz="8" w:color="auto"/>
              <w:right w:val="single" w:sz="8" w:color="auto"/>
            </w:tcBorders>
            <w:vMerge w:val="continue"/>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145.738</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União Federal</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18"/>
        </w:trPr>
        <w:tc>
          <w:tcPr>
            <w:tcW w:w="3480" w:type="dxa"/>
            <w:vAlign w:val="bottom"/>
            <w:tcBorders>
              <w:left w:val="single" w:sz="8" w:color="auto"/>
              <w:right w:val="single" w:sz="8" w:color="auto"/>
            </w:tcBorders>
            <w:vMerge w:val="continue"/>
          </w:tcPr>
          <w:p>
            <w:pPr>
              <w:spacing w:after="0"/>
              <w:rPr>
                <w:sz w:val="10"/>
                <w:szCs w:val="10"/>
                <w:color w:val="auto"/>
              </w:rPr>
            </w:pPr>
          </w:p>
        </w:tc>
        <w:tc>
          <w:tcPr>
            <w:tcW w:w="3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Imagem e Serviços Ltda.</w:t>
            </w:r>
          </w:p>
        </w:tc>
        <w:tc>
          <w:tcPr>
            <w:tcW w:w="26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80" w:type="dxa"/>
            <w:vAlign w:val="bottom"/>
            <w:tcBorders>
              <w:left w:val="single" w:sz="8" w:color="auto"/>
              <w:bottom w:val="single" w:sz="8" w:color="auto"/>
              <w:right w:val="single" w:sz="8" w:color="auto"/>
            </w:tcBorders>
          </w:tcPr>
          <w:p>
            <w:pPr>
              <w:spacing w:after="0"/>
              <w:rPr>
                <w:sz w:val="9"/>
                <w:szCs w:val="9"/>
                <w:color w:val="auto"/>
              </w:rPr>
            </w:pPr>
          </w:p>
        </w:tc>
        <w:tc>
          <w:tcPr>
            <w:tcW w:w="3560" w:type="dxa"/>
            <w:vAlign w:val="bottom"/>
            <w:tcBorders>
              <w:bottom w:val="single" w:sz="8" w:color="auto"/>
              <w:right w:val="single" w:sz="8" w:color="auto"/>
            </w:tcBorders>
            <w:vMerge w:val="continue"/>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1314995</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Fazenda Estadual - SP</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58"/>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0096502-94.2006.8.26.0000</w:t>
            </w:r>
          </w:p>
        </w:tc>
        <w:tc>
          <w:tcPr>
            <w:tcW w:w="3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Imagem e Serviços Ltda.</w:t>
            </w:r>
          </w:p>
        </w:tc>
        <w:tc>
          <w:tcPr>
            <w:tcW w:w="262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480" w:type="dxa"/>
            <w:vAlign w:val="bottom"/>
            <w:tcBorders>
              <w:left w:val="single" w:sz="8" w:color="auto"/>
              <w:right w:val="single" w:sz="8" w:color="auto"/>
            </w:tcBorders>
            <w:vMerge w:val="continue"/>
          </w:tcPr>
          <w:p>
            <w:pPr>
              <w:spacing w:after="0"/>
              <w:rPr>
                <w:sz w:val="5"/>
                <w:szCs w:val="5"/>
                <w:color w:val="auto"/>
              </w:rPr>
            </w:pPr>
          </w:p>
        </w:tc>
        <w:tc>
          <w:tcPr>
            <w:tcW w:w="3560" w:type="dxa"/>
            <w:vAlign w:val="bottom"/>
            <w:tcBorders>
              <w:right w:val="single" w:sz="8" w:color="auto"/>
            </w:tcBorders>
            <w:vMerge w:val="continue"/>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56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583.00.2005.061.270</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Canadá Color Vídeo - Foto - Som</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305"/>
        </w:trPr>
        <w:tc>
          <w:tcPr>
            <w:tcW w:w="3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2013/0390260-1</w:t>
            </w: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Imagem e Serviços Ltda.</w:t>
            </w: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Ltda</w:t>
            </w: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1069186-0/4</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Paulo Afonso Cotta</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18"/>
        </w:trPr>
        <w:tc>
          <w:tcPr>
            <w:tcW w:w="3480" w:type="dxa"/>
            <w:vAlign w:val="bottom"/>
            <w:tcBorders>
              <w:left w:val="single" w:sz="8" w:color="auto"/>
              <w:right w:val="single" w:sz="8" w:color="auto"/>
            </w:tcBorders>
            <w:vMerge w:val="continue"/>
          </w:tcPr>
          <w:p>
            <w:pPr>
              <w:spacing w:after="0"/>
              <w:rPr>
                <w:sz w:val="10"/>
                <w:szCs w:val="10"/>
                <w:color w:val="auto"/>
              </w:rPr>
            </w:pPr>
          </w:p>
        </w:tc>
        <w:tc>
          <w:tcPr>
            <w:tcW w:w="3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Imagem e Serviços Ltda.</w:t>
            </w:r>
          </w:p>
        </w:tc>
        <w:tc>
          <w:tcPr>
            <w:tcW w:w="26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80" w:type="dxa"/>
            <w:vAlign w:val="bottom"/>
            <w:tcBorders>
              <w:left w:val="single" w:sz="8" w:color="auto"/>
              <w:bottom w:val="single" w:sz="8" w:color="auto"/>
              <w:right w:val="single" w:sz="8" w:color="auto"/>
            </w:tcBorders>
          </w:tcPr>
          <w:p>
            <w:pPr>
              <w:spacing w:after="0"/>
              <w:rPr>
                <w:sz w:val="9"/>
                <w:szCs w:val="9"/>
                <w:color w:val="auto"/>
              </w:rPr>
            </w:pPr>
          </w:p>
        </w:tc>
        <w:tc>
          <w:tcPr>
            <w:tcW w:w="3560" w:type="dxa"/>
            <w:vAlign w:val="bottom"/>
            <w:tcBorders>
              <w:bottom w:val="single" w:sz="8" w:color="auto"/>
              <w:right w:val="single" w:sz="8" w:color="auto"/>
            </w:tcBorders>
            <w:vMerge w:val="continue"/>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2009.135.14335</w:t>
            </w:r>
          </w:p>
        </w:tc>
        <w:tc>
          <w:tcPr>
            <w:tcW w:w="3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1"/>
              </w:rPr>
              <w:t>Kodak da Amazônia Indústria e Comércio Ltda.</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5"/>
              </w:rPr>
              <w:t>Secretaria do Estado da Fazenda do</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5"/>
        </w:trPr>
        <w:tc>
          <w:tcPr>
            <w:tcW w:w="3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560" w:type="dxa"/>
            <w:vAlign w:val="bottom"/>
            <w:tcBorders>
              <w:bottom w:val="single" w:sz="8" w:color="auto"/>
              <w:right w:val="single" w:sz="8" w:color="auto"/>
            </w:tcBorders>
            <w:vMerge w:val="continue"/>
          </w:tcPr>
          <w:p>
            <w:pPr>
              <w:spacing w:after="0"/>
              <w:rPr>
                <w:sz w:val="19"/>
                <w:szCs w:val="19"/>
                <w:color w:val="auto"/>
              </w:rPr>
            </w:pP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Rio de Janeiro</w:t>
            </w: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10283-720.630/2008-94</w:t>
            </w: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Kodak da Amazônia Indústria e Comércio Ltda.</w:t>
            </w: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União Federal</w:t>
            </w: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tcPr>
          <w:p>
            <w:pPr>
              <w:spacing w:after="0"/>
              <w:rPr>
                <w:sz w:val="22"/>
                <w:szCs w:val="22"/>
                <w:color w:val="auto"/>
              </w:rPr>
            </w:pP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64"/>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0263043-53.2011.8.04.0001</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Imagem e Serviços Ltda. &amp;</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Flashmed</w:t>
            </w: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480" w:type="dxa"/>
            <w:vAlign w:val="bottom"/>
            <w:tcBorders>
              <w:left w:val="single" w:sz="8" w:color="auto"/>
              <w:bottom w:val="single" w:sz="8" w:color="auto"/>
              <w:right w:val="single" w:sz="8" w:color="auto"/>
            </w:tcBorders>
          </w:tcPr>
          <w:p>
            <w:pPr>
              <w:spacing w:after="0"/>
              <w:rPr>
                <w:sz w:val="22"/>
                <w:szCs w:val="22"/>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Kodak da Amazônia Indústria e Comércio Ltda.</w:t>
            </w:r>
          </w:p>
        </w:tc>
        <w:tc>
          <w:tcPr>
            <w:tcW w:w="26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001.05.045558-4</w:t>
            </w: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Kodak da Amazônia Indústria e Comércio Ltda.</w:t>
            </w: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Syncrofilm</w:t>
            </w: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9 similar 2003 income/importation tax matters</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3"/>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with unfavorable administrative</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Imagem e Serviços Ltda.</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União Federal</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determinations</w:t>
            </w:r>
          </w:p>
        </w:tc>
        <w:tc>
          <w:tcPr>
            <w:tcW w:w="35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0005130-69.2010.8.17.0810</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Kodak Brasileira Comércio de Produtos para</w:t>
            </w:r>
          </w:p>
        </w:tc>
        <w:tc>
          <w:tcPr>
            <w:tcW w:w="2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Meirelles S.A. Comércio e</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47"/>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0004283-04.2012.8.17.0000</w:t>
            </w:r>
          </w:p>
        </w:tc>
        <w:tc>
          <w:tcPr>
            <w:tcW w:w="3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Imagem e Serviços Ltda.</w:t>
            </w:r>
          </w:p>
        </w:tc>
        <w:tc>
          <w:tcPr>
            <w:tcW w:w="262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480" w:type="dxa"/>
            <w:vAlign w:val="bottom"/>
            <w:tcBorders>
              <w:left w:val="single" w:sz="8" w:color="auto"/>
              <w:right w:val="single" w:sz="8" w:color="auto"/>
            </w:tcBorders>
            <w:vMerge w:val="continue"/>
          </w:tcPr>
          <w:p>
            <w:pPr>
              <w:spacing w:after="0"/>
              <w:rPr>
                <w:sz w:val="6"/>
                <w:szCs w:val="6"/>
                <w:color w:val="auto"/>
              </w:rPr>
            </w:pPr>
          </w:p>
        </w:tc>
        <w:tc>
          <w:tcPr>
            <w:tcW w:w="3560" w:type="dxa"/>
            <w:vAlign w:val="bottom"/>
            <w:tcBorders>
              <w:right w:val="single" w:sz="8" w:color="auto"/>
            </w:tcBorders>
            <w:vMerge w:val="continue"/>
          </w:tcPr>
          <w:p>
            <w:pPr>
              <w:spacing w:after="0"/>
              <w:rPr>
                <w:sz w:val="6"/>
                <w:szCs w:val="6"/>
                <w:color w:val="auto"/>
              </w:rPr>
            </w:pPr>
          </w:p>
        </w:tc>
        <w:tc>
          <w:tcPr>
            <w:tcW w:w="2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Indústria</w:t>
            </w: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3480" w:type="dxa"/>
            <w:vAlign w:val="bottom"/>
            <w:tcBorders>
              <w:left w:val="single" w:sz="8" w:color="auto"/>
              <w:right w:val="single" w:sz="8" w:color="auto"/>
            </w:tcBorders>
            <w:vMerge w:val="continue"/>
          </w:tcPr>
          <w:p>
            <w:pPr>
              <w:spacing w:after="0"/>
              <w:rPr>
                <w:sz w:val="5"/>
                <w:szCs w:val="5"/>
                <w:color w:val="auto"/>
              </w:rPr>
            </w:pPr>
          </w:p>
        </w:tc>
        <w:tc>
          <w:tcPr>
            <w:tcW w:w="356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vMerge w:val="continue"/>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128749-2/04 e 28749-2/05</w:t>
            </w:r>
          </w:p>
        </w:tc>
        <w:tc>
          <w:tcPr>
            <w:tcW w:w="3560" w:type="dxa"/>
            <w:vAlign w:val="bottom"/>
            <w:tcBorders>
              <w:right w:val="single" w:sz="8" w:color="auto"/>
            </w:tcBorders>
          </w:tcPr>
          <w:p>
            <w:pPr>
              <w:spacing w:after="0"/>
              <w:rPr>
                <w:sz w:val="6"/>
                <w:szCs w:val="6"/>
                <w:color w:val="auto"/>
              </w:rPr>
            </w:pPr>
          </w:p>
        </w:tc>
        <w:tc>
          <w:tcPr>
            <w:tcW w:w="2620" w:type="dxa"/>
            <w:vAlign w:val="bottom"/>
            <w:tcBorders>
              <w:right w:val="single" w:sz="8" w:color="auto"/>
            </w:tcBorders>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4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356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Additional Matters:</w:t>
      </w:r>
    </w:p>
    <w:p>
      <w:pPr>
        <w:spacing w:after="0" w:line="113" w:lineRule="exact"/>
        <w:rPr>
          <w:sz w:val="20"/>
          <w:szCs w:val="20"/>
          <w:color w:val="auto"/>
        </w:rPr>
      </w:pPr>
    </w:p>
    <w:p>
      <w:pPr>
        <w:ind w:left="1020" w:hanging="507"/>
        <w:spacing w:after="0"/>
        <w:tabs>
          <w:tab w:leader="none" w:pos="10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India there is a tax assessment against Kodak India Limited on appeal for fiscal year 2006-7.</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India there is a tax assessment against Kodak India Limited on appeal for fiscal year 2007-8.</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183" w:name="page184"/>
    <w:bookmarkEnd w:id="183"/>
    <w:p>
      <w:pPr>
        <w:jc w:val="center"/>
        <w:ind w:right="-1200"/>
        <w:spacing w:after="0"/>
        <w:rPr>
          <w:sz w:val="20"/>
          <w:szCs w:val="20"/>
          <w:color w:val="auto"/>
        </w:rPr>
      </w:pPr>
      <w:r>
        <w:rPr>
          <w:rFonts w:ascii="Arial" w:cs="Arial" w:eastAsia="Arial" w:hAnsi="Arial"/>
          <w:sz w:val="18"/>
          <w:szCs w:val="18"/>
          <w:b w:val="1"/>
          <w:bCs w:val="1"/>
          <w:color w:val="auto"/>
        </w:rPr>
        <w:t>SCHEDULE 9.02</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AGENT’S OFFICE; CERTAIN ADDRESS FOR NOTICES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Eastman Kodak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343 State Street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Rochester, NY 14650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Tel: 585-724-4000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Fax: 585-724-9549</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Email:Sharon.underberg@kodak.com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Website: www.kodak.com</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Agent’s Office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payments and Notices of Borrowing and interest election requests):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ABL Servicing – Waukesha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20975 Swenson Drive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Waukesha WI, 53186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Attn:  John Dugger</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John.dugger@baml.com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 and collateral agent: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225 Franklin Street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Attn:  Matthew T. O’Keefe</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Senior Vice President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ISSUING BANK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ABL Servicing – Waukesha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20975 Swenson Drive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Waukesha WI, 53186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Attn:  John Dugger</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John.dugger@baml.com</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654" w:right="1440"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SCHEDULE S-1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SPECIFIED SECURED OBLIGATIONS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185" w:name="page186"/>
    <w:bookmarkEnd w:id="185"/>
    <w:p>
      <w:pPr>
        <w:ind w:left="9100"/>
        <w:spacing w:after="0"/>
        <w:rPr>
          <w:sz w:val="20"/>
          <w:szCs w:val="20"/>
          <w:color w:val="auto"/>
        </w:rPr>
      </w:pPr>
      <w:r>
        <w:rPr>
          <w:rFonts w:ascii="Arial" w:cs="Arial" w:eastAsia="Arial" w:hAnsi="Arial"/>
          <w:sz w:val="17"/>
          <w:szCs w:val="17"/>
          <w:color w:val="auto"/>
        </w:rPr>
        <w:t>EXHIBIT A - FORM OF NOTE</w:t>
      </w:r>
    </w:p>
    <w:p>
      <w:pPr>
        <w:spacing w:after="0" w:line="23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 BE COMPLETED PRIOR TO ISSUANCE WITH: APPROPRIATE LENDER INFORMATION, THE EFFECTIVE DATE, UPON ISSUANCE TO AN INITIAL ISSUING BANK, OR THE DATE OF ASSIGNMENT, AND A PRINCIPAL AMOUNT UP TO THE LENDER’S REVOLVING CREDIT COMMITMENT]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U.S.$________________</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VALUE RECEIVED, the undersigned, EASTMAN KODAK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the order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Termination Date (each as defined in the Credit Agreement</w:t>
      </w:r>
    </w:p>
    <w:p>
      <w:pPr>
        <w:spacing w:after="0" w:line="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referred to below) the principal sum of U.S.$[amount of the Lender’s Revolving Credit Commitment in figures] or, if less, the aggregate principal amount of the Revolving Loans made by the Lender to the Borrower pursuant to the Amended and Restated Credit Agreement, dated as of May 26, 2016, among the Borrower, certain of its subsidiaries, the Lender and certain other lenders party thereto, and Bank of America, N.A., as Agent for the Lender and such other lenders (as amended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outstanding on the Termination Date. Capitalized terms used, but not defined, in this Promissory Note are used with the meaning ascribed thereto in the Credit Agreement.</w:t>
      </w:r>
    </w:p>
    <w:p>
      <w:pPr>
        <w:spacing w:after="0" w:line="182" w:lineRule="exact"/>
        <w:rPr>
          <w:sz w:val="20"/>
          <w:szCs w:val="20"/>
          <w:color w:val="auto"/>
        </w:rPr>
      </w:pPr>
    </w:p>
    <w:p>
      <w:pPr>
        <w:ind w:right="640" w:firstLine="518"/>
        <w:spacing w:after="0" w:line="297" w:lineRule="auto"/>
        <w:rPr>
          <w:sz w:val="20"/>
          <w:szCs w:val="20"/>
          <w:color w:val="auto"/>
        </w:rPr>
      </w:pPr>
      <w:r>
        <w:rPr>
          <w:rFonts w:ascii="Arial" w:cs="Arial" w:eastAsia="Arial" w:hAnsi="Arial"/>
          <w:sz w:val="17"/>
          <w:szCs w:val="17"/>
          <w:color w:val="auto"/>
        </w:rPr>
        <w:t>The Borrower promises to pay interest on the unpaid principal amount of each Revolving Loan from the date of such Revolving Loan until such principal amount is paid in full, at such interest rates, and payable at such times, as are specified in the Credit Agreement.</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Both principal and interest are payable in lawful money of the United States of America to Bank of America, N.A., as Agent, at Bank of America, N.A.</w:t>
      </w:r>
    </w:p>
    <w:p>
      <w:pPr>
        <w:spacing w:after="0" w:line="40" w:lineRule="exact"/>
        <w:rPr>
          <w:sz w:val="20"/>
          <w:szCs w:val="20"/>
          <w:color w:val="auto"/>
        </w:rPr>
      </w:pPr>
    </w:p>
    <w:p>
      <w:pPr>
        <w:ind w:right="480"/>
        <w:spacing w:after="0" w:line="251" w:lineRule="auto"/>
        <w:rPr>
          <w:sz w:val="20"/>
          <w:szCs w:val="20"/>
          <w:color w:val="auto"/>
        </w:rPr>
      </w:pPr>
      <w:r>
        <w:rPr>
          <w:rFonts w:ascii="Arial" w:cs="Arial" w:eastAsia="Arial" w:hAnsi="Arial"/>
          <w:sz w:val="18"/>
          <w:szCs w:val="18"/>
          <w:color w:val="auto"/>
        </w:rPr>
        <w:t>20975 Swenson Drive, Waukesha, WI 53186, in same day funds. Each Revolving Loan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93"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This Promissory Note is one of the Notes referred to in, and is entitled to the benefits of, the Credit Agreement. The Credit Agreement, among other things, (i) provides for the making of Revolving Loans by the Lender to the Borrower from time to time in an aggregate amount not to exceed at any time outstanding the U.S. dollar amount first above mentioned, the indebtedness of the Borrower resulting from each such Revolving Loan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6" w:name="page187"/>
    <w:bookmarkEnd w:id="186"/>
    <w:p>
      <w:pPr>
        <w:ind w:firstLine="518"/>
        <w:spacing w:after="0" w:line="267" w:lineRule="auto"/>
        <w:rPr>
          <w:sz w:val="20"/>
          <w:szCs w:val="20"/>
          <w:color w:val="auto"/>
        </w:rPr>
      </w:pPr>
      <w:r>
        <w:rPr>
          <w:rFonts w:ascii="Arial" w:cs="Arial" w:eastAsia="Arial" w:hAnsi="Arial"/>
          <w:sz w:val="18"/>
          <w:szCs w:val="18"/>
          <w:color w:val="auto"/>
        </w:rPr>
        <w:t>IN WITNESS WHEREOF, the Borrower has caused this Promissory Note to be executed by its duly authorized officer to evidence the Revolving Loans made under the Credit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 20__</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EASTMAN KODAK COMPANY</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12065</wp:posOffset>
            </wp:positionV>
            <wp:extent cx="25317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40" w:right="29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color w:val="auto"/>
        </w:rPr>
        <w:t>ALLONGE TO PROMISSORY NOTE</w:t>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DATED _________, 20__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EASTMAN KODAK COMPANY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LOANS AND PAYMENTS OF PRINCIPAL</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300" w:type="dxa"/>
            <w:vAlign w:val="bottom"/>
            <w:tcBorders>
              <w:top w:val="single" w:sz="8" w:color="auto"/>
              <w:left w:val="single" w:sz="8" w:color="auto"/>
              <w:right w:val="single" w:sz="8" w:color="auto"/>
            </w:tcBorders>
          </w:tcPr>
          <w:p>
            <w:pPr>
              <w:spacing w:after="0"/>
              <w:rPr>
                <w:sz w:val="11"/>
                <w:szCs w:val="11"/>
                <w:color w:val="auto"/>
              </w:rPr>
            </w:pPr>
          </w:p>
        </w:tc>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28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4"/>
              </w:rPr>
              <w:t>Amount of</w:t>
            </w:r>
          </w:p>
        </w:tc>
        <w:tc>
          <w:tcPr>
            <w:tcW w:w="228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6"/>
              </w:rPr>
              <w:t>Unpaid</w:t>
            </w:r>
          </w:p>
        </w:tc>
        <w:tc>
          <w:tcPr>
            <w:tcW w:w="22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4"/>
                <w:szCs w:val="14"/>
                <w:b w:val="1"/>
                <w:bCs w:val="1"/>
                <w:color w:val="auto"/>
              </w:rPr>
              <w:t>Notation</w:t>
            </w:r>
          </w:p>
        </w:tc>
        <w:tc>
          <w:tcPr>
            <w:tcW w:w="0" w:type="dxa"/>
            <w:vAlign w:val="bottom"/>
          </w:tcPr>
          <w:p>
            <w:pPr>
              <w:spacing w:after="0"/>
              <w:rPr>
                <w:sz w:val="1"/>
                <w:szCs w:val="1"/>
                <w:color w:val="auto"/>
              </w:rPr>
            </w:pPr>
          </w:p>
        </w:tc>
      </w:tr>
      <w:tr>
        <w:trPr>
          <w:trHeight w:val="147"/>
        </w:trPr>
        <w:tc>
          <w:tcPr>
            <w:tcW w:w="2300" w:type="dxa"/>
            <w:vAlign w:val="bottom"/>
            <w:tcBorders>
              <w:left w:val="single" w:sz="8" w:color="auto"/>
              <w:right w:val="single" w:sz="8" w:color="auto"/>
            </w:tcBorders>
            <w:vMerge w:val="restart"/>
          </w:tcPr>
          <w:p>
            <w:pPr>
              <w:ind w:left="1020"/>
              <w:spacing w:after="0"/>
              <w:rPr>
                <w:sz w:val="20"/>
                <w:szCs w:val="20"/>
                <w:color w:val="auto"/>
              </w:rPr>
            </w:pPr>
            <w:r>
              <w:rPr>
                <w:rFonts w:ascii="Arial" w:cs="Arial" w:eastAsia="Arial" w:hAnsi="Arial"/>
                <w:sz w:val="14"/>
                <w:szCs w:val="14"/>
                <w:b w:val="1"/>
                <w:bCs w:val="1"/>
                <w:color w:val="auto"/>
              </w:rPr>
              <w:t>Date</w:t>
            </w:r>
          </w:p>
        </w:tc>
        <w:tc>
          <w:tcPr>
            <w:tcW w:w="2280" w:type="dxa"/>
            <w:vAlign w:val="bottom"/>
            <w:tcBorders>
              <w:right w:val="single" w:sz="8" w:color="auto"/>
            </w:tcBorders>
            <w:vMerge w:val="continue"/>
          </w:tcPr>
          <w:p>
            <w:pPr>
              <w:spacing w:after="0"/>
              <w:rPr>
                <w:sz w:val="12"/>
                <w:szCs w:val="12"/>
                <w:color w:val="auto"/>
              </w:rPr>
            </w:pPr>
          </w:p>
        </w:tc>
        <w:tc>
          <w:tcPr>
            <w:tcW w:w="22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4"/>
              </w:rPr>
              <w:t>Principal Paid</w:t>
            </w:r>
          </w:p>
        </w:tc>
        <w:tc>
          <w:tcPr>
            <w:tcW w:w="22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4"/>
              </w:rPr>
              <w:t>Principal</w:t>
            </w:r>
          </w:p>
        </w:tc>
        <w:tc>
          <w:tcPr>
            <w:tcW w:w="2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Revolving Loan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Prepaid</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22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4"/>
                <w:szCs w:val="14"/>
                <w:b w:val="1"/>
                <w:bCs w:val="1"/>
                <w:color w:val="auto"/>
              </w:rPr>
              <w:t>Made By</w:t>
            </w: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t>EXHIBIT B-1 - FORM OF NOTICE OF</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BORROWING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party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 the Credit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Attn: [________]</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0" w:lineRule="exact"/>
        <w:rPr>
          <w:sz w:val="20"/>
          <w:szCs w:val="20"/>
          <w:color w:val="auto"/>
        </w:rPr>
      </w:pPr>
    </w:p>
    <w:p>
      <w:pPr>
        <w:ind w:left="520"/>
        <w:spacing w:after="0"/>
        <w:tabs>
          <w:tab w:leader="none" w:pos="196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The undersigned, EASTMAN KODAK COMPANY, refers to the Amended and Restated Credit Agreement, dated as of May 26, 2016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undersigned, certain of its subsidiaries, the Lenders party thereto and Bank of America, N.A., as Agent for said Lenders, and hereby gives you notice, irrevocably, pursuant to Section 2.02 of the Credit Agreement that the undersigned hereby requests a Borrowing under the Credit Agreement, and in connection thereto sets forth below the information relating to such Borrowing (the “</w:t>
      </w:r>
      <w:r>
        <w:rPr>
          <w:rFonts w:ascii="Arial" w:cs="Arial" w:eastAsia="Arial" w:hAnsi="Arial"/>
          <w:sz w:val="18"/>
          <w:szCs w:val="18"/>
          <w:u w:val="single" w:color="auto"/>
          <w:color w:val="auto"/>
        </w:rPr>
        <w:t>Proposed Borrowing</w:t>
      </w:r>
      <w:r>
        <w:rPr>
          <w:rFonts w:ascii="Arial" w:cs="Arial" w:eastAsia="Arial" w:hAnsi="Arial"/>
          <w:sz w:val="18"/>
          <w:szCs w:val="18"/>
          <w:color w:val="auto"/>
        </w:rPr>
        <w:t>”) as required by Section 2.02(a) of the Credit Agreement (capitalized terms used, but not defined, in this Notice are used with the meaning ascribed thereto in the Credit Agreement):</w:t>
      </w:r>
    </w:p>
    <w:p>
      <w:pPr>
        <w:spacing w:after="0" w:line="88" w:lineRule="exact"/>
        <w:rPr>
          <w:sz w:val="20"/>
          <w:szCs w:val="20"/>
          <w:color w:val="auto"/>
        </w:rPr>
      </w:pPr>
    </w:p>
    <w:p>
      <w:pPr>
        <w:ind w:left="1780" w:hanging="221"/>
        <w:spacing w:after="0"/>
        <w:tabs>
          <w:tab w:leader="none" w:pos="17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Business Day of the Proposed Borrowing is ______________, 20__.</w:t>
      </w:r>
    </w:p>
    <w:p>
      <w:pPr>
        <w:spacing w:after="0" w:line="113" w:lineRule="exact"/>
        <w:rPr>
          <w:rFonts w:ascii="Arial" w:cs="Arial" w:eastAsia="Arial" w:hAnsi="Arial"/>
          <w:sz w:val="18"/>
          <w:szCs w:val="18"/>
          <w:color w:val="auto"/>
        </w:rPr>
      </w:pPr>
    </w:p>
    <w:p>
      <w:pPr>
        <w:ind w:left="1820" w:hanging="261"/>
        <w:spacing w:after="0"/>
        <w:tabs>
          <w:tab w:leader="none" w:pos="18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Type of Revolving Loans comprising the Proposed Borrowing is [Base Rate Revolving Loan] [Eurodollar Rate Revolving Loan].</w:t>
      </w:r>
    </w:p>
    <w:p>
      <w:pPr>
        <w:spacing w:after="0" w:line="136" w:lineRule="exact"/>
        <w:rPr>
          <w:rFonts w:ascii="Arial" w:cs="Arial" w:eastAsia="Arial" w:hAnsi="Arial"/>
          <w:sz w:val="16"/>
          <w:szCs w:val="16"/>
          <w:color w:val="auto"/>
        </w:rPr>
      </w:pPr>
    </w:p>
    <w:p>
      <w:pPr>
        <w:ind w:left="1860" w:hanging="301"/>
        <w:spacing w:after="0"/>
        <w:tabs>
          <w:tab w:leader="none" w:pos="18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aggregate amount of the Proposed Borrowing is $_________________.</w:t>
      </w:r>
    </w:p>
    <w:p>
      <w:pPr>
        <w:spacing w:after="0" w:line="11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[(iv) The initial Interest Period for each Eurodollar Rate Revolving Loan made as part of the Proposed Borrowing is _____ month[s].]</w:t>
      </w:r>
      <w:r>
        <w:rPr>
          <w:rFonts w:ascii="Arial" w:cs="Arial" w:eastAsia="Arial" w:hAnsi="Arial"/>
          <w:sz w:val="13"/>
          <w:szCs w:val="13"/>
          <w:color w:val="auto"/>
        </w:rPr>
        <w:t>4</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undersigned hereby certifies that the following statements are true on the date hereof, and will be true on the date of the Proposed Borrowing:</w:t>
      </w:r>
    </w:p>
    <w:p>
      <w:pPr>
        <w:spacing w:after="0" w:line="125" w:lineRule="exact"/>
        <w:rPr>
          <w:sz w:val="20"/>
          <w:szCs w:val="20"/>
          <w:color w:val="auto"/>
        </w:rPr>
      </w:pPr>
    </w:p>
    <w:p>
      <w:pPr>
        <w:ind w:right="300" w:firstLine="1041"/>
        <w:spacing w:after="0" w:line="252" w:lineRule="auto"/>
        <w:tabs>
          <w:tab w:leader="none" w:pos="132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and each other Loan Party contained in each Loan Document to which it is a party are correct in all material respects (except to the extent qualified by materiality or “Material Adverse Effect,” in which case such representations and warranties shall be true and correct in all respects) as of the date hereof, before and after giving effect to the Proposed Borrowing and to the application of the proceeds therefrom, as though made on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representation or warranty as of a specific date shall only need be true or correct in all material respects as of such date;</w:t>
      </w:r>
    </w:p>
    <w:p>
      <w:pPr>
        <w:spacing w:after="0" w:line="86" w:lineRule="exact"/>
        <w:rPr>
          <w:rFonts w:ascii="Arial" w:cs="Arial" w:eastAsia="Arial" w:hAnsi="Arial"/>
          <w:sz w:val="18"/>
          <w:szCs w:val="18"/>
          <w:color w:val="auto"/>
        </w:rPr>
      </w:pPr>
    </w:p>
    <w:p>
      <w:pPr>
        <w:ind w:right="20" w:firstLine="1041"/>
        <w:spacing w:after="0" w:line="267" w:lineRule="auto"/>
        <w:tabs>
          <w:tab w:leader="none" w:pos="131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Borrowing or from the application of the proceeds therefrom, that constitutes a Default;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14478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06" w:lineRule="exact"/>
        <w:rPr>
          <w:sz w:val="20"/>
          <w:szCs w:val="20"/>
          <w:color w:val="auto"/>
        </w:rPr>
      </w:pPr>
    </w:p>
    <w:p>
      <w:pPr>
        <w:ind w:left="140" w:hanging="133"/>
        <w:spacing w:after="0"/>
        <w:tabs>
          <w:tab w:leader="none" w:pos="140" w:val="left"/>
        </w:tabs>
        <w:numPr>
          <w:ilvl w:val="0"/>
          <w:numId w:val="173"/>
        </w:numPr>
        <w:rPr>
          <w:rFonts w:ascii="Arial" w:cs="Arial" w:eastAsia="Arial" w:hAnsi="Arial"/>
          <w:sz w:val="15"/>
          <w:szCs w:val="15"/>
          <w:color w:val="auto"/>
        </w:rPr>
      </w:pPr>
      <w:r>
        <w:rPr>
          <w:rFonts w:ascii="Arial" w:cs="Arial" w:eastAsia="Arial" w:hAnsi="Arial"/>
          <w:sz w:val="18"/>
          <w:szCs w:val="18"/>
          <w:color w:val="auto"/>
        </w:rPr>
        <w:t>To be used for Eurodollar Rate Revolving Loans.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9" w:name="page190"/>
    <w:bookmarkEnd w:id="189"/>
    <w:p>
      <w:pPr>
        <w:ind w:left="-460" w:firstLine="1041"/>
        <w:spacing w:after="0" w:line="267" w:lineRule="auto"/>
        <w:tabs>
          <w:tab w:leader="none" w:pos="8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Borrowing Base Deficiency will exist after giving effect to the Proposed Borrowing and to the application of the proceeds therefrom (other than as permitted by Section 2.01(c) or (d) of the Credit Agreement).</w:t>
      </w:r>
    </w:p>
    <w:p>
      <w:pPr>
        <w:spacing w:after="0" w:line="18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EASTMAN KODAK COMPANY</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12065</wp:posOffset>
            </wp:positionV>
            <wp:extent cx="27349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66675</wp:posOffset>
            </wp:positionV>
            <wp:extent cx="729043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500"/>
          </w:cols>
          <w:pgMar w:left="700" w:top="341" w:right="69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EXHIBIT B-2 - FORM OF</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SWINGLINE NOTICE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party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 the Credit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Attn: [________]</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341" w:right="239" w:bottom="1440" w:gutter="0" w:footer="0" w:header="0"/>
        </w:sectPr>
      </w:pPr>
    </w:p>
    <w:p>
      <w:pPr>
        <w:spacing w:after="0" w:line="2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340" w:space="640"/>
            <w:col w:w="9440"/>
          </w:cols>
          <w:pgMar w:left="240" w:top="34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The undersigned, EASTMAN KODAK COMPANY, refers to the Amended and Restated Credit Agreement, dated as of May 26, 2016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undersigned, certain of its subsidiaries, the Lenders party thereto and Bank of America, N.A., as Agent for said Lenders, and hereby gives you notice, irrevocably, pursuant to Section 2.22 of the Credit Agreement that the undersigned hereby requests a Swingline Loan under the Credit Agreement, and in connection thereto sets forth below the information relating to such Swingline Loan (the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Swingline Loan</w:t>
      </w:r>
      <w:r>
        <w:rPr>
          <w:rFonts w:ascii="Arial" w:cs="Arial" w:eastAsia="Arial" w:hAnsi="Arial"/>
          <w:sz w:val="18"/>
          <w:szCs w:val="18"/>
          <w:color w:val="auto"/>
        </w:rPr>
        <w:t>”) as required by Section 2.22(a) of the Credit Agreement (capitalized terms used, but not defined, in this Notice are used with the meaning ascribed thereto in the Credit Agreement):</w:t>
      </w:r>
    </w:p>
    <w:p>
      <w:pPr>
        <w:spacing w:after="0" w:line="101" w:lineRule="exact"/>
        <w:rPr>
          <w:sz w:val="20"/>
          <w:szCs w:val="20"/>
          <w:color w:val="auto"/>
        </w:rPr>
      </w:pPr>
    </w:p>
    <w:p>
      <w:pPr>
        <w:ind w:left="2320" w:right="4260" w:hanging="607"/>
        <w:spacing w:after="0"/>
        <w:tabs>
          <w:tab w:leader="none" w:pos="1946" w:val="left"/>
        </w:tabs>
        <w:numPr>
          <w:ilvl w:val="1"/>
          <w:numId w:val="175"/>
        </w:numPr>
        <w:rPr>
          <w:rFonts w:ascii="Arial" w:cs="Arial" w:eastAsia="Arial" w:hAnsi="Arial"/>
          <w:sz w:val="20"/>
          <w:szCs w:val="20"/>
          <w:color w:val="auto"/>
        </w:rPr>
      </w:pPr>
      <w:r>
        <w:rPr>
          <w:rFonts w:ascii="Arial" w:cs="Arial" w:eastAsia="Arial" w:hAnsi="Arial"/>
          <w:sz w:val="18"/>
          <w:szCs w:val="18"/>
          <w:color w:val="auto"/>
        </w:rPr>
        <w:t>The Business Day of the Proposed Swingline Loan is _______________, 20__.</w:t>
      </w:r>
    </w:p>
    <w:p>
      <w:pPr>
        <w:spacing w:after="0" w:line="96" w:lineRule="exact"/>
        <w:rPr>
          <w:rFonts w:ascii="Arial" w:cs="Arial" w:eastAsia="Arial" w:hAnsi="Arial"/>
          <w:sz w:val="20"/>
          <w:szCs w:val="20"/>
          <w:color w:val="auto"/>
        </w:rPr>
      </w:pPr>
    </w:p>
    <w:p>
      <w:pPr>
        <w:ind w:left="1820" w:hanging="261"/>
        <w:spacing w:after="0"/>
        <w:tabs>
          <w:tab w:leader="none" w:pos="18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aggregate amount of the Proposed Swingline Loan is $_______________.</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undersigned hereby certifies that the following statements are true on the date hereof, and will be true on the date of the Proposed Swingline Loan:</w:t>
      </w:r>
    </w:p>
    <w:p>
      <w:pPr>
        <w:spacing w:after="0" w:line="136" w:lineRule="exact"/>
        <w:rPr>
          <w:sz w:val="20"/>
          <w:szCs w:val="20"/>
          <w:color w:val="auto"/>
        </w:rPr>
      </w:pPr>
    </w:p>
    <w:p>
      <w:pPr>
        <w:ind w:right="160" w:firstLine="1041"/>
        <w:spacing w:after="0" w:line="252" w:lineRule="auto"/>
        <w:tabs>
          <w:tab w:leader="none" w:pos="132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and each other Loan Party contained in each Loan Document to which it is a party are correct in all material respects (except to the extent qualified by materiality or “Material Adverse Effect,” in which case such representations and warranties shall be true and correct in all respects) as of the date hereof, before and after giving effect to the Proposed Swingline Loan and to the application of the proceeds therefrom, as though made on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representation or warranty as of a specific date shall only need be true or correct in all material respects as of such date;</w:t>
      </w:r>
    </w:p>
    <w:p>
      <w:pPr>
        <w:spacing w:after="0" w:line="86" w:lineRule="exact"/>
        <w:rPr>
          <w:rFonts w:ascii="Arial" w:cs="Arial" w:eastAsia="Arial" w:hAnsi="Arial"/>
          <w:sz w:val="18"/>
          <w:szCs w:val="18"/>
          <w:color w:val="auto"/>
        </w:rPr>
      </w:pPr>
    </w:p>
    <w:p>
      <w:pPr>
        <w:ind w:right="760" w:firstLine="1041"/>
        <w:spacing w:after="0" w:line="267" w:lineRule="auto"/>
        <w:tabs>
          <w:tab w:leader="none" w:pos="131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Swingline Loan or from the application of the proceeds therefrom, that constitutes a Default;</w:t>
      </w:r>
    </w:p>
    <w:p>
      <w:pPr>
        <w:spacing w:after="0" w:line="72" w:lineRule="exact"/>
        <w:rPr>
          <w:rFonts w:ascii="Arial" w:cs="Arial" w:eastAsia="Arial" w:hAnsi="Arial"/>
          <w:sz w:val="18"/>
          <w:szCs w:val="18"/>
          <w:color w:val="auto"/>
        </w:rPr>
      </w:pPr>
    </w:p>
    <w:p>
      <w:pPr>
        <w:ind w:right="100" w:firstLine="1041"/>
        <w:spacing w:after="0" w:line="267" w:lineRule="auto"/>
        <w:tabs>
          <w:tab w:leader="none" w:pos="131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Borrowing Base Deficiency will exist after giving effect to the Proposed Swingline Loan and to the application of the proceeds therefrom (other than as permitted by Section 2.01(c) or (d) of the Credit Agreement);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91" w:name="page192"/>
    <w:bookmarkEnd w:id="191"/>
    <w:p>
      <w:pPr>
        <w:ind w:left="5819" w:right="839" w:hanging="5819"/>
        <w:spacing w:after="0" w:line="540" w:lineRule="auto"/>
        <w:tabs>
          <w:tab w:leader="none" w:pos="29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all Swingline Loans outstanding will not exceed $20,000,000 after giving effect to the Proposed Swingline Loan. Very truly yours,</w:t>
      </w:r>
    </w:p>
    <w:p>
      <w:pPr>
        <w:ind w:left="5819"/>
        <w:spacing w:after="0"/>
        <w:rPr>
          <w:rFonts w:ascii="Arial" w:cs="Arial" w:eastAsia="Arial" w:hAnsi="Arial"/>
          <w:sz w:val="17"/>
          <w:szCs w:val="17"/>
          <w:color w:val="auto"/>
        </w:rPr>
      </w:pPr>
      <w:r>
        <w:rPr>
          <w:rFonts w:ascii="Arial" w:cs="Arial" w:eastAsia="Arial" w:hAnsi="Arial"/>
          <w:sz w:val="18"/>
          <w:szCs w:val="18"/>
          <w:color w:val="auto"/>
        </w:rPr>
        <w:t>EASTMAN KODAK COMPANY</w:t>
      </w:r>
    </w:p>
    <w:p>
      <w:pPr>
        <w:spacing w:after="0" w:line="246" w:lineRule="exact"/>
        <w:rPr>
          <w:sz w:val="20"/>
          <w:szCs w:val="20"/>
          <w:color w:val="auto"/>
        </w:rPr>
      </w:pPr>
    </w:p>
    <w:p>
      <w:pPr>
        <w:ind w:left="58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12065</wp:posOffset>
            </wp:positionV>
            <wp:extent cx="27349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ind w:left="607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66675</wp:posOffset>
            </wp:positionV>
            <wp:extent cx="729043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178"/>
          </w:cols>
          <w:pgMar w:left="1281" w:top="340"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t>EXHIBIT C - FORM OF</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ACCEPTANCE</w:t>
      </w:r>
    </w:p>
    <w:p>
      <w:pPr>
        <w:spacing w:after="0" w:line="102" w:lineRule="exact"/>
        <w:rPr>
          <w:sz w:val="20"/>
          <w:szCs w:val="20"/>
          <w:color w:val="auto"/>
        </w:rPr>
      </w:pPr>
    </w:p>
    <w:p>
      <w:pPr>
        <w:jc w:val="both"/>
        <w:ind w:right="300" w:firstLine="518"/>
        <w:spacing w:after="0" w:line="254" w:lineRule="auto"/>
        <w:rPr>
          <w:sz w:val="20"/>
          <w:szCs w:val="20"/>
          <w:color w:val="auto"/>
        </w:rPr>
      </w:pPr>
      <w:r>
        <w:rPr>
          <w:rFonts w:ascii="Arial" w:cs="Arial" w:eastAsia="Arial" w:hAnsi="Arial"/>
          <w:sz w:val="18"/>
          <w:szCs w:val="18"/>
          <w:color w:val="auto"/>
        </w:rPr>
        <w:t>Reference is made to the Amended and Restated Credit Agreement, dated as of May 26, 2016 (as amended, restated,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EASTMAN KODAK COMPANY, a New Jersey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certain of its subsidiaries, the Lenders (as defined in the Credit Agreement) and Bank of America, N.A., as administrative agent and collateral agent for the Lenders (the “</w:t>
      </w:r>
      <w:r>
        <w:rPr>
          <w:rFonts w:ascii="Arial" w:cs="Arial" w:eastAsia="Arial" w:hAnsi="Arial"/>
          <w:sz w:val="18"/>
          <w:szCs w:val="18"/>
          <w:u w:val="single" w:color="auto"/>
          <w:color w:val="auto"/>
        </w:rPr>
        <w:t>Agent</w:t>
      </w:r>
      <w:r>
        <w:rPr>
          <w:rFonts w:ascii="Arial" w:cs="Arial" w:eastAsia="Arial" w:hAnsi="Arial"/>
          <w:sz w:val="18"/>
          <w:szCs w:val="18"/>
          <w:color w:val="auto"/>
        </w:rPr>
        <w:t>”). Terms defined in the Credit Agreement are used herein with the same meaning.</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“Assignor” and the “Assignee” referred to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agree as follows:</w:t>
      </w:r>
    </w:p>
    <w:p>
      <w:pPr>
        <w:spacing w:after="0" w:line="113" w:lineRule="exact"/>
        <w:rPr>
          <w:sz w:val="20"/>
          <w:szCs w:val="20"/>
          <w:color w:val="auto"/>
        </w:rPr>
      </w:pPr>
    </w:p>
    <w:p>
      <w:pPr>
        <w:ind w:right="20" w:firstLine="1041"/>
        <w:spacing w:after="0" w:line="291" w:lineRule="auto"/>
        <w:tabs>
          <w:tab w:leader="none" w:pos="121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The Assignor hereby sells and assigns to the Assignee, and the Assignee hereby purchases and assumes from the Assignor, an interest in and to the Assignor’s rights and obligations under the Credit Agreement as of the date hereof equal to the amount of the Assignor’s Revolving Credit Commitment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of all outstanding rights and obligations under the Revolving Credit Facility of the Credit Agreement as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(together with participations in Letters of Credit held by the Assignor on the date hereof). After giving effect to such sale and assignment, the Assignee’s Revolving Credit Commitment and the amount of the Revolving Loans owing to the Assignee will be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58" w:lineRule="exact"/>
        <w:rPr>
          <w:rFonts w:ascii="Arial" w:cs="Arial" w:eastAsia="Arial" w:hAnsi="Arial"/>
          <w:sz w:val="16"/>
          <w:szCs w:val="16"/>
          <w:color w:val="auto"/>
        </w:rPr>
      </w:pPr>
    </w:p>
    <w:p>
      <w:pPr>
        <w:ind w:right="60" w:firstLine="1041"/>
        <w:spacing w:after="0" w:line="295" w:lineRule="auto"/>
        <w:tabs>
          <w:tab w:leader="none" w:pos="121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[In addition, the Assignor hereby sells and assigns to the Assignee, and the Assignee hereby purchases and assumes from the Assignor, an interest in and to the Assignor’s rights and obligations under the Credit Agreement as of the date hereof equal to the amount of the Assignor’s Letter of Credit Commitment specified on Schedule 1 hereto of all outstanding rights and obligations under the Letter of Credit Facility of the Credit Agreement as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After giving effect to such sale and assignment, the Assignee’s Letter of Credit Commitment will be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55" w:lineRule="exact"/>
        <w:rPr>
          <w:rFonts w:ascii="Arial" w:cs="Arial" w:eastAsia="Arial" w:hAnsi="Arial"/>
          <w:sz w:val="16"/>
          <w:szCs w:val="16"/>
          <w:color w:val="auto"/>
        </w:rPr>
      </w:pPr>
    </w:p>
    <w:p>
      <w:pPr>
        <w:ind w:right="20" w:firstLine="1041"/>
        <w:spacing w:after="0" w:line="265" w:lineRule="auto"/>
        <w:tabs>
          <w:tab w:leader="none" w:pos="1212"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The Assignor (i) represents and warrants that it is the legal and beneficial owner of the interest being assigned by it hereunder and that such interest is free and clear of any adverse claim; (ii) represents and warrants it has full power and authority, and has taken all action necessary, to execute and deliver this Assignment and Acceptance and to consummate the transactions contemplated hereby; (iii) makes no representation or warranty and assumes no responsibility with respect to any statements, warranties or representations made in or in connection with the Credit Agreement or the execution, legality, validity, enforceability, genuineness, sufficiency or value of, or the perfection or priority of any lien or security interest created or purported to be created under or in connection with, the Credit Agreement or any other instrument or document furnished pursuant thereto; (iv) makes no representation or warranty and assumes no responsibility with respect to the financial condition of any Loan Party or the performance or observance by any Loan Party of any of its obligations under the Loan Documents or any other instrument or document furnished pursuant thereto; [and (v) attaches the Notes[, if any] held by the Assignor [and requests that the Agent exchange such Note for a new Note payable to the order of [the Assignee in an amount equal to the Commitment assumed by the Assignee pursuant hereto or new Notes payable to the order of the Assignee in an amount equal to the Commitment assumed by the Assignee pursuant hereto and] the Assignor in an amount equal to the Commitment retained by the Assignor under the Credit Agreement, [respectively,] as specified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w:t>
      </w:r>
    </w:p>
    <w:p>
      <w:pPr>
        <w:spacing w:after="0" w:line="76" w:lineRule="exact"/>
        <w:rPr>
          <w:rFonts w:ascii="Arial" w:cs="Arial" w:eastAsia="Arial" w:hAnsi="Arial"/>
          <w:sz w:val="17"/>
          <w:szCs w:val="17"/>
          <w:color w:val="auto"/>
        </w:rPr>
      </w:pPr>
    </w:p>
    <w:p>
      <w:pPr>
        <w:ind w:right="40" w:firstLine="1041"/>
        <w:spacing w:after="0" w:line="266" w:lineRule="auto"/>
        <w:tabs>
          <w:tab w:leader="none" w:pos="1212"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Assignee (i) confirms that it has received a copy of the Credit Agreement, together with copies of the financial information delivered to Assignor pursuant to Section 5.01(h)(i) and (ii)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 on its behalf and to exercise such powers and discretion under the Credit Agreement and the other Loan Documents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2.14(e) of the Credit Agreement.</w:t>
      </w:r>
    </w:p>
    <w:p>
      <w:pPr>
        <w:spacing w:after="0" w:line="77" w:lineRule="exact"/>
        <w:rPr>
          <w:rFonts w:ascii="Arial" w:cs="Arial" w:eastAsia="Arial" w:hAnsi="Arial"/>
          <w:sz w:val="17"/>
          <w:szCs w:val="17"/>
          <w:color w:val="auto"/>
        </w:rPr>
      </w:pPr>
    </w:p>
    <w:p>
      <w:pPr>
        <w:ind w:right="140" w:firstLine="1041"/>
        <w:spacing w:after="0" w:line="273" w:lineRule="auto"/>
        <w:tabs>
          <w:tab w:leader="none" w:pos="1212"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Assignee represents and warrants that (i) it is not a Disqualified Institution; (ii) it has full power and authority, and has taken all action necessary, to execute and deliver this Assignment and Acceptance and to consummate the transactions contemplated hereby and to become a Lender under the Credit Agreement; and (iii) from and after the Assignment Effective Date, it shall be bound by the provisions of the Credit Agreement as a Lender thereunder and, to the extent of the assigned interest, shall have the obligations of a Lender thereunder.</w:t>
      </w:r>
    </w:p>
    <w:p>
      <w:pPr>
        <w:spacing w:after="0" w:line="70" w:lineRule="exact"/>
        <w:rPr>
          <w:rFonts w:ascii="Arial" w:cs="Arial" w:eastAsia="Arial" w:hAnsi="Arial"/>
          <w:sz w:val="17"/>
          <w:szCs w:val="17"/>
          <w:color w:val="auto"/>
        </w:rPr>
      </w:pPr>
    </w:p>
    <w:p>
      <w:pPr>
        <w:ind w:right="100" w:firstLine="1041"/>
        <w:spacing w:after="0" w:line="257" w:lineRule="auto"/>
        <w:tabs>
          <w:tab w:leader="none" w:pos="12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 Assignment and Acceptance (the “</w:t>
      </w:r>
      <w:r>
        <w:rPr>
          <w:rFonts w:ascii="Arial" w:cs="Arial" w:eastAsia="Arial" w:hAnsi="Arial"/>
          <w:sz w:val="18"/>
          <w:szCs w:val="18"/>
          <w:u w:val="single" w:color="auto"/>
          <w:color w:val="auto"/>
        </w:rPr>
        <w:t>Assignment Effective Date</w:t>
      </w:r>
      <w:r>
        <w:rPr>
          <w:rFonts w:ascii="Arial" w:cs="Arial" w:eastAsia="Arial" w:hAnsi="Arial"/>
          <w:sz w:val="18"/>
          <w:szCs w:val="18"/>
          <w:color w:val="auto"/>
        </w:rPr>
        <w:t xml:space="preserve">”) shall be the date of acceptance hereof by the Agent, unless otherwise specified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3" w:name="page194"/>
    <w:bookmarkEnd w:id="193"/>
    <w:p>
      <w:pPr>
        <w:ind w:right="40" w:firstLine="1041"/>
        <w:spacing w:after="0" w:line="279" w:lineRule="auto"/>
        <w:tabs>
          <w:tab w:leader="none" w:pos="121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Upon such acceptance and recording by the Agent, as of the Assignment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65" w:lineRule="exact"/>
        <w:rPr>
          <w:rFonts w:ascii="Arial" w:cs="Arial" w:eastAsia="Arial" w:hAnsi="Arial"/>
          <w:sz w:val="17"/>
          <w:szCs w:val="17"/>
          <w:color w:val="auto"/>
        </w:rPr>
      </w:pPr>
    </w:p>
    <w:p>
      <w:pPr>
        <w:ind w:firstLine="1041"/>
        <w:spacing w:after="0" w:line="273" w:lineRule="auto"/>
        <w:tabs>
          <w:tab w:leader="none" w:pos="121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Upon such acceptance and recording by the Agent, from and after the Assignment Effective Date, the Agent shall make all payments under the Credit Agreement and the applicable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applicable Notes for periods prior to the Assignment Effective Date directly between themselves.</w:t>
      </w:r>
    </w:p>
    <w:p>
      <w:pPr>
        <w:spacing w:after="0" w:line="70" w:lineRule="exact"/>
        <w:rPr>
          <w:rFonts w:ascii="Arial" w:cs="Arial" w:eastAsia="Arial" w:hAnsi="Arial"/>
          <w:sz w:val="17"/>
          <w:szCs w:val="17"/>
          <w:color w:val="auto"/>
        </w:rPr>
      </w:pPr>
    </w:p>
    <w:p>
      <w:pPr>
        <w:ind w:left="1220" w:hanging="179"/>
        <w:spacing w:after="0"/>
        <w:tabs>
          <w:tab w:leader="none" w:pos="1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113" w:lineRule="exact"/>
        <w:rPr>
          <w:rFonts w:ascii="Arial" w:cs="Arial" w:eastAsia="Arial" w:hAnsi="Arial"/>
          <w:sz w:val="18"/>
          <w:szCs w:val="18"/>
          <w:color w:val="auto"/>
        </w:rPr>
      </w:pPr>
    </w:p>
    <w:p>
      <w:pPr>
        <w:ind w:right="100" w:firstLine="1041"/>
        <w:spacing w:after="0" w:line="254" w:lineRule="auto"/>
        <w:tabs>
          <w:tab w:leader="none" w:pos="130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Assignment and Acceptance by telecopier shall be effective as delivery of a manually executed counterpart of this Assignment and Acceptance.</w:t>
      </w:r>
    </w:p>
    <w:p>
      <w:pPr>
        <w:spacing w:after="0" w:line="191" w:lineRule="exact"/>
        <w:rPr>
          <w:sz w:val="20"/>
          <w:szCs w:val="20"/>
          <w:color w:val="auto"/>
        </w:rPr>
      </w:pPr>
    </w:p>
    <w:p>
      <w:pPr>
        <w:ind w:right="180" w:firstLine="518"/>
        <w:spacing w:after="0" w:line="267" w:lineRule="auto"/>
        <w:rPr>
          <w:sz w:val="20"/>
          <w:szCs w:val="20"/>
          <w:color w:val="auto"/>
        </w:rPr>
      </w:pPr>
      <w:r>
        <w:rPr>
          <w:rFonts w:ascii="Arial" w:cs="Arial" w:eastAsia="Arial" w:hAnsi="Arial"/>
          <w:sz w:val="18"/>
          <w:szCs w:val="18"/>
          <w:color w:val="auto"/>
        </w:rPr>
        <w:t xml:space="preserve">IN WITNESS WHEREOF, the Assignor and the Assignee have caused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Assignment and Acceptance to be executed by their officers thereunto duly authorized as of the date specified thereon.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color w:val="auto"/>
        </w:rPr>
        <w:t>Schedule 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w:t>
      </w:r>
    </w:p>
    <w:p>
      <w:pPr>
        <w:spacing w:after="0" w:line="209" w:lineRule="exact"/>
        <w:rPr>
          <w:sz w:val="20"/>
          <w:szCs w:val="20"/>
          <w:color w:val="auto"/>
        </w:rPr>
      </w:pPr>
    </w:p>
    <w:p>
      <w:pPr>
        <w:ind w:left="240" w:hanging="233"/>
        <w:spacing w:after="0"/>
        <w:tabs>
          <w:tab w:leader="none" w:pos="2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w:t>
      </w:r>
    </w:p>
    <w:p>
      <w:pPr>
        <w:spacing w:after="0" w:line="246" w:lineRule="exact"/>
        <w:rPr>
          <w:rFonts w:ascii="Arial" w:cs="Arial" w:eastAsia="Arial" w:hAnsi="Arial"/>
          <w:sz w:val="18"/>
          <w:szCs w:val="18"/>
          <w:color w:val="auto"/>
        </w:rPr>
      </w:pPr>
    </w:p>
    <w:p>
      <w:pPr>
        <w:ind w:left="240" w:hanging="233"/>
        <w:spacing w:after="0"/>
        <w:tabs>
          <w:tab w:leader="none" w:pos="2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353"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240" w:hanging="180"/>
        <w:spacing w:after="0"/>
        <w:tabs>
          <w:tab w:leader="none" w:pos="24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 Eastman Kodak Company</w:t>
      </w:r>
    </w:p>
    <w:p>
      <w:pPr>
        <w:spacing w:after="0" w:line="113" w:lineRule="exact"/>
        <w:rPr>
          <w:rFonts w:ascii="Arial" w:cs="Arial" w:eastAsia="Arial" w:hAnsi="Arial"/>
          <w:sz w:val="18"/>
          <w:szCs w:val="18"/>
          <w:color w:val="auto"/>
        </w:rPr>
      </w:pPr>
    </w:p>
    <w:p>
      <w:pPr>
        <w:ind w:left="240" w:hanging="180"/>
        <w:spacing w:after="0"/>
        <w:tabs>
          <w:tab w:leader="none" w:pos="24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Agent</w:t>
      </w:r>
      <w:r>
        <w:rPr>
          <w:rFonts w:ascii="Arial" w:cs="Arial" w:eastAsia="Arial" w:hAnsi="Arial"/>
          <w:sz w:val="18"/>
          <w:szCs w:val="18"/>
          <w:color w:val="auto"/>
        </w:rPr>
        <w:t>: Bank of America, N.A., as the administrative agent and collateral agent under the Credit Agreement</w:t>
      </w:r>
    </w:p>
    <w:p>
      <w:pPr>
        <w:spacing w:after="0" w:line="113" w:lineRule="exact"/>
        <w:rPr>
          <w:rFonts w:ascii="Arial" w:cs="Arial" w:eastAsia="Arial" w:hAnsi="Arial"/>
          <w:sz w:val="18"/>
          <w:szCs w:val="18"/>
          <w:color w:val="auto"/>
        </w:rPr>
      </w:pPr>
    </w:p>
    <w:p>
      <w:pPr>
        <w:ind w:left="780" w:right="300" w:hanging="720"/>
        <w:spacing w:after="0" w:line="267" w:lineRule="auto"/>
        <w:tabs>
          <w:tab w:leader="none" w:pos="234"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Amended and Restated Credit Agreement, dated as of May 26, 2016, among Eastman Kodak Company, certain of its subsidiaries, the Lenders from time to time party thereto, and Bank of America, N.A., as Agent</w:t>
      </w:r>
    </w:p>
    <w:p>
      <w:pPr>
        <w:spacing w:after="0" w:line="72" w:lineRule="exact"/>
        <w:rPr>
          <w:rFonts w:ascii="Arial" w:cs="Arial" w:eastAsia="Arial" w:hAnsi="Arial"/>
          <w:sz w:val="18"/>
          <w:szCs w:val="18"/>
          <w:color w:val="auto"/>
        </w:rPr>
      </w:pPr>
    </w:p>
    <w:p>
      <w:pPr>
        <w:ind w:left="240" w:hanging="180"/>
        <w:spacing w:after="0"/>
        <w:tabs>
          <w:tab w:leader="none" w:pos="24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Assigned Interest[s] in Revolving Credit Facility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-1147445</wp:posOffset>
            </wp:positionV>
            <wp:extent cx="18796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79600"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-1291590</wp:posOffset>
            </wp:positionV>
            <wp:extent cx="18796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79600"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-1435735</wp:posOffset>
            </wp:positionV>
            <wp:extent cx="18796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79600"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-1579245</wp:posOffset>
            </wp:positionV>
            <wp:extent cx="18796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540" w:type="dxa"/>
            <w:vAlign w:val="bottom"/>
            <w:tcBorders>
              <w:top w:val="single" w:sz="8" w:color="auto"/>
              <w:lef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right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right w:val="single" w:sz="8" w:color="auto"/>
            </w:tcBorders>
            <w:gridSpan w:val="5"/>
          </w:tcPr>
          <w:p>
            <w:pPr>
              <w:jc w:val="center"/>
              <w:ind w:right="540"/>
              <w:spacing w:after="0" w:line="141" w:lineRule="exact"/>
              <w:rPr>
                <w:sz w:val="20"/>
                <w:szCs w:val="20"/>
                <w:color w:val="auto"/>
              </w:rPr>
            </w:pPr>
            <w:r>
              <w:rPr>
                <w:rFonts w:ascii="Arial" w:cs="Arial" w:eastAsia="Arial" w:hAnsi="Arial"/>
                <w:sz w:val="14"/>
                <w:szCs w:val="14"/>
                <w:color w:val="auto"/>
                <w:w w:val="92"/>
              </w:rPr>
              <w:t>Aggregate</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20" w:type="dxa"/>
            <w:vAlign w:val="bottom"/>
            <w:tcBorders>
              <w:top w:val="single" w:sz="8" w:color="auto"/>
              <w:right w:val="single" w:sz="8" w:color="auto"/>
            </w:tcBorders>
            <w:gridSpan w:val="5"/>
            <w:vMerge w:val="restart"/>
          </w:tcPr>
          <w:p>
            <w:pPr>
              <w:jc w:val="center"/>
              <w:ind w:right="620"/>
              <w:spacing w:after="0"/>
              <w:rPr>
                <w:sz w:val="20"/>
                <w:szCs w:val="20"/>
                <w:color w:val="auto"/>
              </w:rPr>
            </w:pPr>
            <w:r>
              <w:rPr>
                <w:rFonts w:ascii="Arial" w:cs="Arial" w:eastAsia="Arial" w:hAnsi="Arial"/>
                <w:sz w:val="14"/>
                <w:szCs w:val="14"/>
                <w:color w:val="auto"/>
                <w:w w:val="97"/>
              </w:rPr>
              <w:t>Amount of</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right w:val="single" w:sz="8" w:color="auto"/>
            </w:tcBorders>
            <w:gridSpan w:val="11"/>
            <w:vMerge w:val="restart"/>
          </w:tcPr>
          <w:p>
            <w:pPr>
              <w:jc w:val="center"/>
              <w:ind w:right="520"/>
              <w:spacing w:after="0"/>
              <w:rPr>
                <w:sz w:val="20"/>
                <w:szCs w:val="20"/>
                <w:color w:val="auto"/>
              </w:rPr>
            </w:pPr>
            <w:r>
              <w:rPr>
                <w:rFonts w:ascii="Arial" w:cs="Arial" w:eastAsia="Arial" w:hAnsi="Arial"/>
                <w:sz w:val="14"/>
                <w:szCs w:val="14"/>
                <w:color w:val="auto"/>
                <w:w w:val="86"/>
              </w:rPr>
              <w:t>Percentage</w:t>
            </w: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4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Borders>
              <w:right w:val="single" w:sz="8" w:color="auto"/>
            </w:tcBorders>
            <w:gridSpan w:val="5"/>
            <w:vMerge w:val="restart"/>
          </w:tcPr>
          <w:p>
            <w:pPr>
              <w:jc w:val="center"/>
              <w:ind w:right="520"/>
              <w:spacing w:after="0" w:line="147" w:lineRule="exact"/>
              <w:rPr>
                <w:sz w:val="20"/>
                <w:szCs w:val="20"/>
                <w:color w:val="auto"/>
              </w:rPr>
            </w:pPr>
            <w:r>
              <w:rPr>
                <w:rFonts w:ascii="Arial" w:cs="Arial" w:eastAsia="Arial" w:hAnsi="Arial"/>
                <w:sz w:val="14"/>
                <w:szCs w:val="14"/>
                <w:color w:val="auto"/>
                <w:w w:val="97"/>
              </w:rPr>
              <w:t>Amount of</w:t>
            </w: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Borders>
              <w:right w:val="single" w:sz="8" w:color="auto"/>
            </w:tcBorders>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Borders>
              <w:right w:val="single" w:sz="8" w:color="auto"/>
            </w:tcBorders>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54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Borders>
              <w:right w:val="single" w:sz="8" w:color="auto"/>
            </w:tcBorders>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Borders>
              <w:right w:val="single" w:sz="8" w:color="auto"/>
            </w:tcBorders>
            <w:gridSpan w:val="5"/>
            <w:vMerge w:val="restart"/>
          </w:tcPr>
          <w:p>
            <w:pPr>
              <w:jc w:val="center"/>
              <w:ind w:right="640"/>
              <w:spacing w:after="0" w:line="147" w:lineRule="exact"/>
              <w:rPr>
                <w:sz w:val="20"/>
                <w:szCs w:val="20"/>
                <w:color w:val="auto"/>
              </w:rPr>
            </w:pPr>
            <w:r>
              <w:rPr>
                <w:rFonts w:ascii="Arial" w:cs="Arial" w:eastAsia="Arial" w:hAnsi="Arial"/>
                <w:sz w:val="14"/>
                <w:szCs w:val="14"/>
                <w:color w:val="auto"/>
                <w:w w:val="97"/>
              </w:rPr>
              <w:t>Revolving</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Borders>
              <w:right w:val="single" w:sz="8" w:color="auto"/>
            </w:tcBorders>
            <w:gridSpan w:val="11"/>
            <w:vMerge w:val="restart"/>
          </w:tcPr>
          <w:p>
            <w:pPr>
              <w:jc w:val="center"/>
              <w:ind w:right="500"/>
              <w:spacing w:after="0" w:line="147" w:lineRule="exact"/>
              <w:rPr>
                <w:sz w:val="20"/>
                <w:szCs w:val="20"/>
                <w:color w:val="auto"/>
              </w:rPr>
            </w:pPr>
            <w:r>
              <w:rPr>
                <w:rFonts w:ascii="Arial" w:cs="Arial" w:eastAsia="Arial" w:hAnsi="Arial"/>
                <w:sz w:val="14"/>
                <w:szCs w:val="14"/>
                <w:color w:val="auto"/>
                <w:w w:val="92"/>
              </w:rPr>
              <w:t>Assigned of</w:t>
            </w: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54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Borders>
              <w:right w:val="single" w:sz="8" w:color="auto"/>
            </w:tcBorders>
            <w:gridSpan w:val="5"/>
            <w:vMerge w:val="restart"/>
          </w:tcPr>
          <w:p>
            <w:pPr>
              <w:jc w:val="center"/>
              <w:ind w:right="540"/>
              <w:spacing w:after="0" w:line="147" w:lineRule="exact"/>
              <w:rPr>
                <w:sz w:val="20"/>
                <w:szCs w:val="20"/>
                <w:color w:val="auto"/>
              </w:rPr>
            </w:pPr>
            <w:r>
              <w:rPr>
                <w:rFonts w:ascii="Arial" w:cs="Arial" w:eastAsia="Arial" w:hAnsi="Arial"/>
                <w:sz w:val="14"/>
                <w:szCs w:val="14"/>
                <w:color w:val="auto"/>
                <w:w w:val="97"/>
              </w:rPr>
              <w:t>Revolving</w:t>
            </w: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Borders>
              <w:right w:val="single" w:sz="8" w:color="auto"/>
            </w:tcBorders>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Borders>
              <w:right w:val="single" w:sz="8" w:color="auto"/>
            </w:tcBorders>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Borders>
              <w:right w:val="single" w:sz="8" w:color="auto"/>
            </w:tcBorders>
            <w:gridSpan w:val="4"/>
            <w:vMerge w:val="restart"/>
          </w:tcPr>
          <w:p>
            <w:pPr>
              <w:jc w:val="center"/>
              <w:ind w:right="700"/>
              <w:spacing w:after="0" w:line="147" w:lineRule="exact"/>
              <w:rPr>
                <w:sz w:val="20"/>
                <w:szCs w:val="20"/>
                <w:color w:val="auto"/>
              </w:rPr>
            </w:pPr>
            <w:r>
              <w:rPr>
                <w:rFonts w:ascii="Arial" w:cs="Arial" w:eastAsia="Arial" w:hAnsi="Arial"/>
                <w:sz w:val="14"/>
                <w:szCs w:val="14"/>
                <w:color w:val="auto"/>
                <w:w w:val="93"/>
              </w:rPr>
              <w:t>CUSIP</w:t>
            </w:r>
          </w:p>
        </w:tc>
        <w:tc>
          <w:tcPr>
            <w:tcW w:w="0" w:type="dxa"/>
            <w:vAlign w:val="bottom"/>
          </w:tcPr>
          <w:p>
            <w:pPr>
              <w:spacing w:after="0"/>
              <w:rPr>
                <w:sz w:val="1"/>
                <w:szCs w:val="1"/>
                <w:color w:val="auto"/>
              </w:rPr>
            </w:pPr>
          </w:p>
        </w:tc>
      </w:tr>
      <w:tr>
        <w:trPr>
          <w:trHeight w:val="67"/>
        </w:trPr>
        <w:tc>
          <w:tcPr>
            <w:tcW w:w="540" w:type="dxa"/>
            <w:vAlign w:val="bottom"/>
            <w:tcBorders>
              <w:left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1360" w:type="dxa"/>
            <w:vAlign w:val="bottom"/>
            <w:tcBorders>
              <w:right w:val="single" w:sz="8" w:color="auto"/>
            </w:tcBorders>
            <w:gridSpan w:val="4"/>
            <w:vMerge w:val="restart"/>
          </w:tcPr>
          <w:p>
            <w:pPr>
              <w:spacing w:after="0" w:line="152" w:lineRule="exact"/>
              <w:rPr>
                <w:sz w:val="20"/>
                <w:szCs w:val="20"/>
                <w:color w:val="auto"/>
              </w:rPr>
            </w:pPr>
            <w:r>
              <w:rPr>
                <w:rFonts w:ascii="Arial" w:cs="Arial" w:eastAsia="Arial" w:hAnsi="Arial"/>
                <w:sz w:val="14"/>
                <w:szCs w:val="14"/>
                <w:color w:val="auto"/>
              </w:rPr>
              <w:t>Assignor[s]</w:t>
            </w:r>
            <w:r>
              <w:rPr>
                <w:rFonts w:ascii="Arial" w:cs="Arial" w:eastAsia="Arial" w:hAnsi="Arial"/>
                <w:sz w:val="12"/>
                <w:szCs w:val="12"/>
                <w:u w:val="single" w:color="auto"/>
                <w:color w:val="auto"/>
              </w:rPr>
              <w:t>5</w:t>
            </w:r>
          </w:p>
        </w:tc>
        <w:tc>
          <w:tcPr>
            <w:tcW w:w="460" w:type="dxa"/>
            <w:vAlign w:val="bottom"/>
          </w:tcPr>
          <w:p>
            <w:pPr>
              <w:spacing w:after="0"/>
              <w:rPr>
                <w:sz w:val="5"/>
                <w:szCs w:val="5"/>
                <w:color w:val="auto"/>
              </w:rPr>
            </w:pPr>
          </w:p>
        </w:tc>
        <w:tc>
          <w:tcPr>
            <w:tcW w:w="1480" w:type="dxa"/>
            <w:vAlign w:val="bottom"/>
            <w:tcBorders>
              <w:right w:val="single" w:sz="8" w:color="auto"/>
            </w:tcBorders>
            <w:gridSpan w:val="5"/>
            <w:vMerge w:val="restart"/>
          </w:tcPr>
          <w:p>
            <w:pPr>
              <w:ind w:left="120"/>
              <w:spacing w:after="0" w:line="152" w:lineRule="exact"/>
              <w:rPr>
                <w:sz w:val="20"/>
                <w:szCs w:val="20"/>
                <w:color w:val="auto"/>
              </w:rPr>
            </w:pPr>
            <w:r>
              <w:rPr>
                <w:rFonts w:ascii="Arial" w:cs="Arial" w:eastAsia="Arial" w:hAnsi="Arial"/>
                <w:sz w:val="14"/>
                <w:szCs w:val="14"/>
                <w:color w:val="auto"/>
              </w:rPr>
              <w:t>Assignee[s]</w:t>
            </w:r>
            <w:r>
              <w:rPr>
                <w:rFonts w:ascii="Arial" w:cs="Arial" w:eastAsia="Arial" w:hAnsi="Arial"/>
                <w:sz w:val="12"/>
                <w:szCs w:val="12"/>
                <w:u w:val="single" w:color="auto"/>
                <w:color w:val="auto"/>
              </w:rPr>
              <w:t>6</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Borders>
              <w:right w:val="single" w:sz="8" w:color="auto"/>
            </w:tcBorders>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Borders>
              <w:right w:val="single" w:sz="8" w:color="auto"/>
            </w:tcBorders>
            <w:gridSpan w:val="4"/>
            <w:vMerge w:val="restart"/>
          </w:tcPr>
          <w:p>
            <w:pPr>
              <w:jc w:val="center"/>
              <w:ind w:right="720"/>
              <w:spacing w:after="0" w:line="152" w:lineRule="exact"/>
              <w:rPr>
                <w:sz w:val="20"/>
                <w:szCs w:val="20"/>
                <w:color w:val="auto"/>
              </w:rPr>
            </w:pPr>
            <w:r>
              <w:rPr>
                <w:rFonts w:ascii="Arial" w:cs="Arial" w:eastAsia="Arial" w:hAnsi="Arial"/>
                <w:sz w:val="14"/>
                <w:szCs w:val="14"/>
                <w:color w:val="auto"/>
                <w:w w:val="96"/>
              </w:rPr>
              <w:t>Credit</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Borders>
              <w:right w:val="single" w:sz="8" w:color="auto"/>
            </w:tcBorders>
            <w:gridSpan w:val="11"/>
            <w:vMerge w:val="restart"/>
          </w:tcPr>
          <w:p>
            <w:pPr>
              <w:jc w:val="center"/>
              <w:ind w:right="500"/>
              <w:spacing w:after="0" w:line="152" w:lineRule="exact"/>
              <w:rPr>
                <w:sz w:val="20"/>
                <w:szCs w:val="20"/>
                <w:color w:val="auto"/>
              </w:rPr>
            </w:pPr>
            <w:r>
              <w:rPr>
                <w:rFonts w:ascii="Arial" w:cs="Arial" w:eastAsia="Arial" w:hAnsi="Arial"/>
                <w:sz w:val="14"/>
                <w:szCs w:val="14"/>
                <w:color w:val="auto"/>
                <w:w w:val="97"/>
              </w:rPr>
              <w:t>Revolving</w:t>
            </w:r>
          </w:p>
        </w:tc>
        <w:tc>
          <w:tcPr>
            <w:tcW w:w="660" w:type="dxa"/>
            <w:vAlign w:val="bottom"/>
          </w:tcPr>
          <w:p>
            <w:pPr>
              <w:spacing w:after="0"/>
              <w:rPr>
                <w:sz w:val="5"/>
                <w:szCs w:val="5"/>
                <w:color w:val="auto"/>
              </w:rPr>
            </w:pPr>
          </w:p>
        </w:tc>
        <w:tc>
          <w:tcPr>
            <w:tcW w:w="11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540" w:type="dxa"/>
            <w:vAlign w:val="bottom"/>
            <w:tcBorders>
              <w:left w:val="single" w:sz="8" w:color="auto"/>
            </w:tcBorders>
          </w:tcPr>
          <w:p>
            <w:pPr>
              <w:spacing w:after="0"/>
              <w:rPr>
                <w:sz w:val="7"/>
                <w:szCs w:val="7"/>
                <w:color w:val="auto"/>
              </w:rPr>
            </w:pPr>
          </w:p>
        </w:tc>
        <w:tc>
          <w:tcPr>
            <w:tcW w:w="80" w:type="dxa"/>
            <w:vAlign w:val="bottom"/>
            <w:vMerge w:val="continue"/>
          </w:tcPr>
          <w:p>
            <w:pPr>
              <w:spacing w:after="0"/>
              <w:rPr>
                <w:sz w:val="7"/>
                <w:szCs w:val="7"/>
                <w:color w:val="auto"/>
              </w:rPr>
            </w:pPr>
          </w:p>
        </w:tc>
        <w:tc>
          <w:tcPr>
            <w:tcW w:w="1360" w:type="dxa"/>
            <w:vAlign w:val="bottom"/>
            <w:tcBorders>
              <w:right w:val="single" w:sz="8" w:color="auto"/>
            </w:tcBorders>
            <w:gridSpan w:val="4"/>
            <w:vMerge w:val="continue"/>
          </w:tcPr>
          <w:p>
            <w:pPr>
              <w:spacing w:after="0"/>
              <w:rPr>
                <w:sz w:val="7"/>
                <w:szCs w:val="7"/>
                <w:color w:val="auto"/>
              </w:rPr>
            </w:pPr>
          </w:p>
        </w:tc>
        <w:tc>
          <w:tcPr>
            <w:tcW w:w="460" w:type="dxa"/>
            <w:vAlign w:val="bottom"/>
          </w:tcPr>
          <w:p>
            <w:pPr>
              <w:spacing w:after="0"/>
              <w:rPr>
                <w:sz w:val="7"/>
                <w:szCs w:val="7"/>
                <w:color w:val="auto"/>
              </w:rPr>
            </w:pPr>
          </w:p>
        </w:tc>
        <w:tc>
          <w:tcPr>
            <w:tcW w:w="1480" w:type="dxa"/>
            <w:vAlign w:val="bottom"/>
            <w:tcBorders>
              <w:right w:val="single" w:sz="8" w:color="auto"/>
            </w:tcBorders>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tcBorders>
              <w:right w:val="single" w:sz="8" w:color="auto"/>
            </w:tcBorders>
            <w:gridSpan w:val="5"/>
            <w:vMerge w:val="restart"/>
          </w:tcPr>
          <w:p>
            <w:pPr>
              <w:jc w:val="center"/>
              <w:ind w:right="540"/>
              <w:spacing w:after="0" w:line="152" w:lineRule="exact"/>
              <w:rPr>
                <w:sz w:val="20"/>
                <w:szCs w:val="20"/>
                <w:color w:val="auto"/>
              </w:rPr>
            </w:pPr>
            <w:r>
              <w:rPr>
                <w:rFonts w:ascii="Arial" w:cs="Arial" w:eastAsia="Arial" w:hAnsi="Arial"/>
                <w:sz w:val="14"/>
                <w:szCs w:val="14"/>
                <w:color w:val="auto"/>
                <w:w w:val="96"/>
              </w:rPr>
              <w:t>Credit</w:t>
            </w: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Borders>
              <w:right w:val="single" w:sz="8" w:color="auto"/>
            </w:tcBorders>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Borders>
              <w:right w:val="single" w:sz="8" w:color="auto"/>
            </w:tcBorders>
            <w:gridSpan w:val="11"/>
            <w:vMerge w:val="continue"/>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Borders>
              <w:right w:val="single" w:sz="8" w:color="auto"/>
            </w:tcBorders>
            <w:gridSpan w:val="4"/>
            <w:vMerge w:val="restart"/>
          </w:tcPr>
          <w:p>
            <w:pPr>
              <w:jc w:val="center"/>
              <w:ind w:right="680"/>
              <w:spacing w:after="0" w:line="152" w:lineRule="exact"/>
              <w:rPr>
                <w:sz w:val="20"/>
                <w:szCs w:val="20"/>
                <w:color w:val="auto"/>
              </w:rPr>
            </w:pPr>
            <w:r>
              <w:rPr>
                <w:rFonts w:ascii="Arial" w:cs="Arial" w:eastAsia="Arial" w:hAnsi="Arial"/>
                <w:sz w:val="14"/>
                <w:szCs w:val="14"/>
                <w:color w:val="auto"/>
                <w:w w:val="92"/>
              </w:rPr>
              <w:t>Number</w:t>
            </w:r>
          </w:p>
        </w:tc>
        <w:tc>
          <w:tcPr>
            <w:tcW w:w="0" w:type="dxa"/>
            <w:vAlign w:val="bottom"/>
          </w:tcPr>
          <w:p>
            <w:pPr>
              <w:spacing w:after="0"/>
              <w:rPr>
                <w:sz w:val="1"/>
                <w:szCs w:val="1"/>
                <w:color w:val="auto"/>
              </w:rPr>
            </w:pPr>
          </w:p>
        </w:tc>
      </w:tr>
      <w:tr>
        <w:trPr>
          <w:trHeight w:val="47"/>
        </w:trPr>
        <w:tc>
          <w:tcPr>
            <w:tcW w:w="540" w:type="dxa"/>
            <w:vAlign w:val="bottom"/>
            <w:tcBorders>
              <w:lef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Borders>
              <w:right w:val="single" w:sz="8" w:color="auto"/>
            </w:tcBorders>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Borders>
              <w:right w:val="single" w:sz="8" w:color="auto"/>
            </w:tcBorders>
            <w:gridSpan w:val="6"/>
            <w:vMerge w:val="restart"/>
          </w:tcPr>
          <w:p>
            <w:pPr>
              <w:jc w:val="center"/>
              <w:ind w:right="240"/>
              <w:spacing w:after="0" w:line="127" w:lineRule="exact"/>
              <w:rPr>
                <w:sz w:val="20"/>
                <w:szCs w:val="20"/>
                <w:color w:val="auto"/>
              </w:rPr>
            </w:pPr>
            <w:r>
              <w:rPr>
                <w:rFonts w:ascii="Arial" w:cs="Arial" w:eastAsia="Arial" w:hAnsi="Arial"/>
                <w:sz w:val="14"/>
                <w:szCs w:val="14"/>
                <w:color w:val="auto"/>
                <w:w w:val="92"/>
              </w:rPr>
              <w:t>Commitments</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auto"/>
            </w:tcBorders>
            <w:gridSpan w:val="4"/>
            <w:vMerge w:val="restart"/>
          </w:tcPr>
          <w:p>
            <w:pPr>
              <w:jc w:val="center"/>
              <w:spacing w:after="0" w:line="127" w:lineRule="exact"/>
              <w:rPr>
                <w:sz w:val="20"/>
                <w:szCs w:val="20"/>
                <w:color w:val="auto"/>
              </w:rPr>
            </w:pPr>
            <w:r>
              <w:rPr>
                <w:rFonts w:ascii="Arial" w:cs="Arial" w:eastAsia="Arial" w:hAnsi="Arial"/>
                <w:sz w:val="14"/>
                <w:szCs w:val="14"/>
                <w:color w:val="auto"/>
                <w:w w:val="96"/>
              </w:rPr>
              <w:t>Credit</w:t>
            </w:r>
          </w:p>
        </w:tc>
        <w:tc>
          <w:tcPr>
            <w:tcW w:w="620" w:type="dxa"/>
            <w:vAlign w:val="bottom"/>
            <w:tcBorders>
              <w:right w:val="single" w:sz="8" w:color="auto"/>
            </w:tcBorders>
            <w:gridSpan w:val="6"/>
            <w:vMerge w:val="restart"/>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Borders>
              <w:right w:val="single" w:sz="8" w:color="auto"/>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54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Borders>
              <w:right w:val="single" w:sz="8" w:color="auto"/>
            </w:tcBorders>
            <w:gridSpan w:val="5"/>
            <w:vMerge w:val="restart"/>
          </w:tcPr>
          <w:p>
            <w:pPr>
              <w:jc w:val="center"/>
              <w:ind w:right="580"/>
              <w:spacing w:after="0" w:line="121" w:lineRule="exact"/>
              <w:rPr>
                <w:sz w:val="20"/>
                <w:szCs w:val="20"/>
                <w:color w:val="auto"/>
              </w:rPr>
            </w:pPr>
            <w:r>
              <w:rPr>
                <w:rFonts w:ascii="Arial" w:cs="Arial" w:eastAsia="Arial" w:hAnsi="Arial"/>
                <w:sz w:val="14"/>
                <w:szCs w:val="14"/>
                <w:color w:val="auto"/>
                <w:w w:val="92"/>
              </w:rPr>
              <w:t>Commitments</w:t>
            </w:r>
          </w:p>
        </w:tc>
        <w:tc>
          <w:tcPr>
            <w:tcW w:w="220" w:type="dxa"/>
            <w:vAlign w:val="bottom"/>
          </w:tcPr>
          <w:p>
            <w:pPr>
              <w:spacing w:after="0"/>
              <w:rPr>
                <w:sz w:val="5"/>
                <w:szCs w:val="5"/>
                <w:color w:val="auto"/>
              </w:rPr>
            </w:pPr>
          </w:p>
        </w:tc>
        <w:tc>
          <w:tcPr>
            <w:tcW w:w="1720" w:type="dxa"/>
            <w:vAlign w:val="bottom"/>
            <w:tcBorders>
              <w:right w:val="single" w:sz="8" w:color="auto"/>
            </w:tcBorders>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top w:val="single" w:sz="8" w:color="auto"/>
            </w:tcBorders>
            <w:gridSpan w:val="4"/>
            <w:vMerge w:val="continue"/>
          </w:tcPr>
          <w:p>
            <w:pPr>
              <w:spacing w:after="0"/>
              <w:rPr>
                <w:sz w:val="5"/>
                <w:szCs w:val="5"/>
                <w:color w:val="auto"/>
              </w:rPr>
            </w:pPr>
          </w:p>
        </w:tc>
        <w:tc>
          <w:tcPr>
            <w:tcW w:w="620" w:type="dxa"/>
            <w:vAlign w:val="bottom"/>
            <w:tcBorders>
              <w:right w:val="single" w:sz="8" w:color="auto"/>
            </w:tcBorders>
            <w:gridSpan w:val="6"/>
            <w:vMerge w:val="continue"/>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right w:val="single" w:sz="8" w:color="auto"/>
            </w:tcBorders>
            <w:gridSpan w:val="5"/>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540" w:type="dxa"/>
            <w:vAlign w:val="bottom"/>
            <w:tcBorders>
              <w:lef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Borders>
              <w:right w:val="single" w:sz="8" w:color="auto"/>
            </w:tcBorders>
            <w:gridSpan w:val="5"/>
            <w:vMerge w:val="continue"/>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right w:val="single" w:sz="8" w:color="auto"/>
            </w:tcBorders>
            <w:gridSpan w:val="4"/>
            <w:vMerge w:val="restart"/>
          </w:tcPr>
          <w:p>
            <w:pPr>
              <w:jc w:val="center"/>
              <w:ind w:right="720"/>
              <w:spacing w:after="0" w:line="127" w:lineRule="exact"/>
              <w:rPr>
                <w:sz w:val="20"/>
                <w:szCs w:val="20"/>
                <w:color w:val="auto"/>
              </w:rPr>
            </w:pPr>
            <w:r>
              <w:rPr>
                <w:rFonts w:ascii="Arial" w:cs="Arial" w:eastAsia="Arial" w:hAnsi="Arial"/>
                <w:sz w:val="14"/>
                <w:szCs w:val="14"/>
                <w:color w:val="auto"/>
                <w:w w:val="90"/>
              </w:rPr>
              <w:t>Assigned</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right w:val="single" w:sz="8" w:color="auto"/>
            </w:tcBorders>
            <w:gridSpan w:val="12"/>
            <w:vMerge w:val="restart"/>
          </w:tcPr>
          <w:p>
            <w:pPr>
              <w:jc w:val="center"/>
              <w:ind w:right="380"/>
              <w:spacing w:after="0" w:line="127" w:lineRule="exact"/>
              <w:rPr>
                <w:sz w:val="20"/>
                <w:szCs w:val="20"/>
                <w:color w:val="auto"/>
              </w:rPr>
            </w:pPr>
            <w:r>
              <w:rPr>
                <w:rFonts w:ascii="Arial" w:cs="Arial" w:eastAsia="Arial" w:hAnsi="Arial"/>
                <w:sz w:val="14"/>
                <w:szCs w:val="14"/>
                <w:color w:val="auto"/>
                <w:w w:val="95"/>
              </w:rPr>
              <w:t>Commitment</w:t>
            </w:r>
            <w:r>
              <w:rPr>
                <w:rFonts w:ascii="Arial" w:cs="Arial" w:eastAsia="Arial" w:hAnsi="Arial"/>
                <w:sz w:val="12"/>
                <w:szCs w:val="12"/>
                <w:u w:val="single" w:color="auto"/>
                <w:color w:val="auto"/>
                <w:w w:val="95"/>
              </w:rPr>
              <w:t>8</w:t>
            </w: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54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tcBorders>
              <w:right w:val="single" w:sz="8" w:color="auto"/>
            </w:tcBorders>
            <w:gridSpan w:val="5"/>
            <w:vMerge w:val="restart"/>
          </w:tcPr>
          <w:p>
            <w:pPr>
              <w:jc w:val="right"/>
              <w:ind w:right="540"/>
              <w:spacing w:after="0" w:line="152" w:lineRule="exact"/>
              <w:rPr>
                <w:sz w:val="20"/>
                <w:szCs w:val="20"/>
                <w:color w:val="auto"/>
              </w:rPr>
            </w:pPr>
            <w:r>
              <w:rPr>
                <w:rFonts w:ascii="Arial" w:cs="Arial" w:eastAsia="Arial" w:hAnsi="Arial"/>
                <w:sz w:val="14"/>
                <w:szCs w:val="14"/>
                <w:color w:val="auto"/>
                <w:w w:val="90"/>
              </w:rPr>
              <w:t>for all Lenders</w:t>
            </w:r>
            <w:r>
              <w:rPr>
                <w:rFonts w:ascii="Arial" w:cs="Arial" w:eastAsia="Arial" w:hAnsi="Arial"/>
                <w:sz w:val="12"/>
                <w:szCs w:val="12"/>
                <w:u w:val="single" w:color="auto"/>
                <w:color w:val="auto"/>
                <w:w w:val="90"/>
              </w:rPr>
              <w:t>7</w:t>
            </w: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Borders>
              <w:right w:val="single" w:sz="8" w:color="auto"/>
            </w:tcBorders>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Borders>
              <w:right w:val="single" w:sz="8" w:color="auto"/>
            </w:tcBorders>
            <w:gridSpan w:val="1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540" w:type="dxa"/>
            <w:vAlign w:val="bottom"/>
            <w:tcBorders>
              <w:lef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Borders>
              <w:right w:val="single" w:sz="8" w:color="auto"/>
            </w:tcBorders>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4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360" w:type="dxa"/>
            <w:vAlign w:val="bottom"/>
            <w:gridSpan w:val="2"/>
          </w:tcPr>
          <w:p>
            <w:pPr>
              <w:ind w:left="120"/>
              <w:spacing w:after="0" w:line="15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20" w:type="dxa"/>
            <w:vAlign w:val="bottom"/>
            <w:gridSpan w:val="2"/>
          </w:tcPr>
          <w:p>
            <w:pPr>
              <w:jc w:val="right"/>
              <w:ind w:right="320"/>
              <w:spacing w:after="0" w:line="15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280" w:type="dxa"/>
            <w:vAlign w:val="bottom"/>
            <w:gridSpan w:val="10"/>
          </w:tcPr>
          <w:p>
            <w:pPr>
              <w:jc w:val="right"/>
              <w:ind w:right="40"/>
              <w:spacing w:after="0" w:line="15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54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60" w:type="dxa"/>
            <w:vAlign w:val="bottom"/>
            <w:gridSpan w:val="2"/>
          </w:tcPr>
          <w:p>
            <w:pPr>
              <w:ind w:left="120"/>
              <w:spacing w:after="0" w:line="167"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620" w:type="dxa"/>
            <w:vAlign w:val="bottom"/>
            <w:gridSpan w:val="2"/>
          </w:tcPr>
          <w:p>
            <w:pPr>
              <w:jc w:val="right"/>
              <w:ind w:right="320"/>
              <w:spacing w:after="0" w:line="167"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80" w:type="dxa"/>
            <w:vAlign w:val="bottom"/>
            <w:gridSpan w:val="10"/>
          </w:tcPr>
          <w:p>
            <w:pPr>
              <w:jc w:val="right"/>
              <w:ind w:right="40"/>
              <w:spacing w:after="0" w:line="167"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54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60" w:type="dxa"/>
            <w:vAlign w:val="bottom"/>
            <w:gridSpan w:val="2"/>
          </w:tcPr>
          <w:p>
            <w:pPr>
              <w:ind w:left="120"/>
              <w:spacing w:after="0" w:line="167"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620" w:type="dxa"/>
            <w:vAlign w:val="bottom"/>
            <w:gridSpan w:val="2"/>
          </w:tcPr>
          <w:p>
            <w:pPr>
              <w:jc w:val="right"/>
              <w:ind w:right="320"/>
              <w:spacing w:after="0" w:line="167"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80" w:type="dxa"/>
            <w:vAlign w:val="bottom"/>
            <w:gridSpan w:val="10"/>
          </w:tcPr>
          <w:p>
            <w:pPr>
              <w:jc w:val="right"/>
              <w:ind w:right="40"/>
              <w:spacing w:after="0" w:line="167"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3920" w:type="dxa"/>
            <w:vAlign w:val="bottom"/>
            <w:gridSpan w:val="12"/>
          </w:tcPr>
          <w:p>
            <w:pPr>
              <w:ind w:left="60"/>
              <w:spacing w:after="0"/>
              <w:rPr>
                <w:sz w:val="20"/>
                <w:szCs w:val="20"/>
                <w:color w:val="auto"/>
              </w:rPr>
            </w:pPr>
            <w:r>
              <w:rPr>
                <w:rFonts w:ascii="Arial" w:cs="Arial" w:eastAsia="Arial" w:hAnsi="Arial"/>
                <w:sz w:val="18"/>
                <w:szCs w:val="18"/>
                <w:color w:val="auto"/>
                <w:w w:val="98"/>
              </w:rPr>
              <w:t>7. Assigned Interest[s] in Letter of Credit Facility: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9</w:t>
            </w:r>
          </w:p>
        </w:tc>
        <w:tc>
          <w:tcPr>
            <w:tcW w:w="54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10</w:t>
            </w:r>
          </w:p>
        </w:tc>
        <w:tc>
          <w:tcPr>
            <w:tcW w:w="5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gridSpan w:val="8"/>
          </w:tcPr>
          <w:p>
            <w:pPr>
              <w:spacing w:after="0" w:line="195" w:lineRule="exact"/>
              <w:rPr>
                <w:sz w:val="20"/>
                <w:szCs w:val="20"/>
                <w:color w:val="auto"/>
              </w:rPr>
            </w:pPr>
            <w:r>
              <w:rPr>
                <w:rFonts w:ascii="Arial" w:cs="Arial" w:eastAsia="Arial" w:hAnsi="Arial"/>
                <w:sz w:val="18"/>
                <w:szCs w:val="18"/>
                <w:color w:val="auto"/>
                <w:w w:val="92"/>
              </w:rPr>
              <w:t>Amount of Letter of Credit</w:t>
            </w:r>
          </w:p>
        </w:tc>
        <w:tc>
          <w:tcPr>
            <w:tcW w:w="220" w:type="dxa"/>
            <w:vAlign w:val="bottom"/>
          </w:tcPr>
          <w:p>
            <w:pPr>
              <w:spacing w:after="0"/>
              <w:rPr>
                <w:sz w:val="16"/>
                <w:szCs w:val="16"/>
                <w:color w:val="auto"/>
              </w:rPr>
            </w:pPr>
          </w:p>
        </w:tc>
        <w:tc>
          <w:tcPr>
            <w:tcW w:w="1720" w:type="dxa"/>
            <w:vAlign w:val="bottom"/>
            <w:tcBorders>
              <w:right w:val="single" w:sz="8" w:color="auto"/>
            </w:tcBorders>
            <w:gridSpan w:val="6"/>
          </w:tcPr>
          <w:p>
            <w:pPr>
              <w:jc w:val="center"/>
              <w:ind w:right="240"/>
              <w:spacing w:after="0" w:line="195" w:lineRule="exact"/>
              <w:rPr>
                <w:sz w:val="20"/>
                <w:szCs w:val="20"/>
                <w:color w:val="auto"/>
              </w:rPr>
            </w:pPr>
            <w:r>
              <w:rPr>
                <w:rFonts w:ascii="Arial" w:cs="Arial" w:eastAsia="Arial" w:hAnsi="Arial"/>
                <w:sz w:val="18"/>
                <w:szCs w:val="18"/>
                <w:color w:val="auto"/>
                <w:w w:val="94"/>
              </w:rPr>
              <w:t>Amount of Letter of</w:t>
            </w:r>
          </w:p>
        </w:tc>
        <w:tc>
          <w:tcPr>
            <w:tcW w:w="1820" w:type="dxa"/>
            <w:vAlign w:val="bottom"/>
            <w:tcBorders>
              <w:right w:val="single" w:sz="8" w:color="auto"/>
            </w:tcBorders>
            <w:gridSpan w:val="14"/>
          </w:tcPr>
          <w:p>
            <w:pPr>
              <w:jc w:val="center"/>
              <w:ind w:right="20"/>
              <w:spacing w:after="0" w:line="195" w:lineRule="exact"/>
              <w:rPr>
                <w:sz w:val="20"/>
                <w:szCs w:val="20"/>
                <w:color w:val="auto"/>
              </w:rPr>
            </w:pPr>
            <w:r>
              <w:rPr>
                <w:rFonts w:ascii="Arial" w:cs="Arial" w:eastAsia="Arial" w:hAnsi="Arial"/>
                <w:sz w:val="18"/>
                <w:szCs w:val="18"/>
                <w:color w:val="auto"/>
                <w:w w:val="87"/>
              </w:rPr>
              <w:t>Percentage Assigned of</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360" w:type="dxa"/>
            <w:vAlign w:val="bottom"/>
            <w:tcBorders>
              <w:left w:val="single" w:sz="8" w:color="auto"/>
            </w:tcBorders>
            <w:gridSpan w:val="4"/>
          </w:tcPr>
          <w:p>
            <w:pPr>
              <w:ind w:left="540"/>
              <w:spacing w:after="0" w:line="153" w:lineRule="exact"/>
              <w:rPr>
                <w:sz w:val="20"/>
                <w:szCs w:val="20"/>
                <w:color w:val="auto"/>
              </w:rPr>
            </w:pPr>
            <w:r>
              <w:rPr>
                <w:rFonts w:ascii="Arial" w:cs="Arial" w:eastAsia="Arial" w:hAnsi="Arial"/>
                <w:sz w:val="17"/>
                <w:szCs w:val="17"/>
                <w:color w:val="auto"/>
                <w:w w:val="95"/>
              </w:rPr>
              <w:t>Assignor[s]</w:t>
            </w: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300" w:type="dxa"/>
            <w:vAlign w:val="bottom"/>
            <w:gridSpan w:val="4"/>
          </w:tcPr>
          <w:p>
            <w:pPr>
              <w:ind w:left="460"/>
              <w:spacing w:after="0" w:line="153" w:lineRule="exact"/>
              <w:rPr>
                <w:sz w:val="20"/>
                <w:szCs w:val="20"/>
                <w:color w:val="auto"/>
              </w:rPr>
            </w:pPr>
            <w:r>
              <w:rPr>
                <w:rFonts w:ascii="Arial" w:cs="Arial" w:eastAsia="Arial" w:hAnsi="Arial"/>
                <w:sz w:val="17"/>
                <w:szCs w:val="17"/>
                <w:color w:val="auto"/>
                <w:w w:val="93"/>
              </w:rPr>
              <w:t>Assignee[s]</w:t>
            </w:r>
          </w:p>
        </w:tc>
        <w:tc>
          <w:tcPr>
            <w:tcW w:w="140" w:type="dxa"/>
            <w:vAlign w:val="bottom"/>
            <w:tcBorders>
              <w:bottom w:val="single" w:sz="8" w:color="auto"/>
            </w:tcBorders>
            <w:vMerge w:val="continue"/>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Borders>
              <w:right w:val="single" w:sz="8" w:color="auto"/>
            </w:tcBorders>
            <w:gridSpan w:val="6"/>
          </w:tcPr>
          <w:p>
            <w:pPr>
              <w:jc w:val="center"/>
              <w:ind w:right="420"/>
              <w:spacing w:after="0" w:line="153" w:lineRule="exact"/>
              <w:rPr>
                <w:sz w:val="20"/>
                <w:szCs w:val="20"/>
                <w:color w:val="auto"/>
              </w:rPr>
            </w:pPr>
            <w:r>
              <w:rPr>
                <w:rFonts w:ascii="Arial" w:cs="Arial" w:eastAsia="Arial" w:hAnsi="Arial"/>
                <w:sz w:val="17"/>
                <w:szCs w:val="17"/>
                <w:color w:val="auto"/>
                <w:w w:val="95"/>
              </w:rPr>
              <w:t>Commitments</w:t>
            </w:r>
          </w:p>
        </w:tc>
        <w:tc>
          <w:tcPr>
            <w:tcW w:w="1940" w:type="dxa"/>
            <w:vAlign w:val="bottom"/>
            <w:tcBorders>
              <w:right w:val="single" w:sz="8" w:color="auto"/>
            </w:tcBorders>
            <w:gridSpan w:val="7"/>
          </w:tcPr>
          <w:p>
            <w:pPr>
              <w:jc w:val="center"/>
              <w:ind w:right="20"/>
              <w:spacing w:after="0" w:line="153" w:lineRule="exact"/>
              <w:rPr>
                <w:sz w:val="20"/>
                <w:szCs w:val="20"/>
                <w:color w:val="auto"/>
              </w:rPr>
            </w:pPr>
            <w:r>
              <w:rPr>
                <w:rFonts w:ascii="Arial" w:cs="Arial" w:eastAsia="Arial" w:hAnsi="Arial"/>
                <w:sz w:val="17"/>
                <w:szCs w:val="17"/>
                <w:color w:val="auto"/>
                <w:w w:val="95"/>
              </w:rPr>
              <w:t>Credit Commitments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right w:val="single" w:sz="8" w:color="auto"/>
            </w:tcBorders>
            <w:gridSpan w:val="12"/>
          </w:tcPr>
          <w:p>
            <w:pPr>
              <w:jc w:val="center"/>
              <w:ind w:right="380"/>
              <w:spacing w:after="0" w:line="153" w:lineRule="exact"/>
              <w:rPr>
                <w:sz w:val="20"/>
                <w:szCs w:val="20"/>
                <w:color w:val="auto"/>
              </w:rPr>
            </w:pPr>
            <w:r>
              <w:rPr>
                <w:rFonts w:ascii="Arial" w:cs="Arial" w:eastAsia="Arial" w:hAnsi="Arial"/>
                <w:sz w:val="17"/>
                <w:szCs w:val="17"/>
                <w:color w:val="auto"/>
                <w:w w:val="97"/>
              </w:rPr>
              <w:t>Letter of Credit</w:t>
            </w:r>
          </w:p>
        </w:tc>
        <w:tc>
          <w:tcPr>
            <w:tcW w:w="1800" w:type="dxa"/>
            <w:vAlign w:val="bottom"/>
            <w:tcBorders>
              <w:right w:val="single" w:sz="8" w:color="auto"/>
            </w:tcBorders>
            <w:gridSpan w:val="5"/>
          </w:tcPr>
          <w:p>
            <w:pPr>
              <w:jc w:val="center"/>
              <w:ind w:right="20"/>
              <w:spacing w:after="0" w:line="153" w:lineRule="exact"/>
              <w:rPr>
                <w:sz w:val="20"/>
                <w:szCs w:val="20"/>
                <w:color w:val="auto"/>
              </w:rPr>
            </w:pPr>
            <w:r>
              <w:rPr>
                <w:rFonts w:ascii="Arial" w:cs="Arial" w:eastAsia="Arial" w:hAnsi="Arial"/>
                <w:sz w:val="17"/>
                <w:szCs w:val="17"/>
                <w:color w:val="auto"/>
                <w:w w:val="97"/>
              </w:rPr>
              <w:t>CUSIP Number</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8"/>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4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5"/>
          </w:tcPr>
          <w:p>
            <w:pPr>
              <w:jc w:val="right"/>
              <w:spacing w:after="0" w:line="154" w:lineRule="exact"/>
              <w:rPr>
                <w:sz w:val="20"/>
                <w:szCs w:val="20"/>
                <w:color w:val="auto"/>
              </w:rPr>
            </w:pPr>
            <w:r>
              <w:rPr>
                <w:rFonts w:ascii="Arial" w:cs="Arial" w:eastAsia="Arial" w:hAnsi="Arial"/>
                <w:sz w:val="17"/>
                <w:szCs w:val="17"/>
                <w:color w:val="auto"/>
              </w:rPr>
              <w:t>for all Lenders</w:t>
            </w:r>
          </w:p>
        </w:tc>
        <w:tc>
          <w:tcPr>
            <w:tcW w:w="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11</w:t>
            </w:r>
          </w:p>
        </w:tc>
        <w:tc>
          <w:tcPr>
            <w:tcW w:w="3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Borders>
              <w:right w:val="single" w:sz="8" w:color="auto"/>
            </w:tcBorders>
            <w:gridSpan w:val="5"/>
          </w:tcPr>
          <w:p>
            <w:pPr>
              <w:jc w:val="center"/>
              <w:ind w:right="620"/>
              <w:spacing w:after="0" w:line="154" w:lineRule="exact"/>
              <w:rPr>
                <w:sz w:val="20"/>
                <w:szCs w:val="20"/>
                <w:color w:val="auto"/>
              </w:rPr>
            </w:pPr>
            <w:r>
              <w:rPr>
                <w:rFonts w:ascii="Arial" w:cs="Arial" w:eastAsia="Arial" w:hAnsi="Arial"/>
                <w:sz w:val="17"/>
                <w:szCs w:val="17"/>
                <w:color w:val="auto"/>
                <w:w w:val="94"/>
              </w:rPr>
              <w:t>Assigned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8"/>
          </w:tcPr>
          <w:p>
            <w:pPr>
              <w:jc w:val="right"/>
              <w:spacing w:after="0" w:line="154" w:lineRule="exact"/>
              <w:rPr>
                <w:sz w:val="20"/>
                <w:szCs w:val="20"/>
                <w:color w:val="auto"/>
              </w:rPr>
            </w:pPr>
            <w:r>
              <w:rPr>
                <w:rFonts w:ascii="Arial" w:cs="Arial" w:eastAsia="Arial" w:hAnsi="Arial"/>
                <w:sz w:val="17"/>
                <w:szCs w:val="17"/>
                <w:color w:val="auto"/>
                <w:w w:val="95"/>
              </w:rPr>
              <w:t>Commitment</w:t>
            </w:r>
          </w:p>
        </w:tc>
        <w:tc>
          <w:tcPr>
            <w:tcW w:w="16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5"/>
                <w:szCs w:val="15"/>
                <w:color w:val="auto"/>
                <w:w w:val="83"/>
              </w:rPr>
              <w:t>12</w:t>
            </w:r>
          </w:p>
        </w:tc>
        <w:tc>
          <w:tcPr>
            <w:tcW w:w="380" w:type="dxa"/>
            <w:vAlign w:val="bottom"/>
            <w:tcBorders>
              <w:right w:val="single" w:sz="8" w:color="auto"/>
            </w:tcBorders>
            <w:gridSpan w:val="2"/>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40" w:type="dxa"/>
            <w:vAlign w:val="bottom"/>
            <w:tcBorders>
              <w:left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[8. Trade Date: __________________]</w:t>
      </w:r>
      <w:r>
        <w:rPr>
          <w:rFonts w:ascii="Arial" w:cs="Arial" w:eastAsia="Arial" w:hAnsi="Arial"/>
          <w:sz w:val="15"/>
          <w:szCs w:val="15"/>
          <w:color w:val="auto"/>
        </w:rPr>
        <w:t>13</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_________________, 20__ [TO BE INSERTED BY AGENT AND WHICH SHALL BE THE EFFECTIVE DATE OF RECORDATION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TRANSFER IN THE REGISTER THEREFOR.]</w:t>
      </w:r>
    </w:p>
    <w:p>
      <w:pPr>
        <w:spacing w:after="0" w:line="147" w:lineRule="exact"/>
        <w:rPr>
          <w:sz w:val="20"/>
          <w:szCs w:val="20"/>
          <w:color w:val="auto"/>
        </w:rPr>
      </w:pPr>
    </w:p>
    <w:p>
      <w:pPr>
        <w:ind w:left="120" w:hanging="113"/>
        <w:spacing w:after="0"/>
        <w:tabs>
          <w:tab w:leader="none" w:pos="120" w:val="left"/>
        </w:tabs>
        <w:numPr>
          <w:ilvl w:val="0"/>
          <w:numId w:val="182"/>
        </w:numPr>
        <w:rPr>
          <w:rFonts w:ascii="Arial" w:cs="Arial" w:eastAsia="Arial" w:hAnsi="Arial"/>
          <w:sz w:val="12"/>
          <w:szCs w:val="12"/>
          <w:color w:val="auto"/>
        </w:rPr>
      </w:pPr>
      <w:r>
        <w:rPr>
          <w:rFonts w:ascii="Arial" w:cs="Arial" w:eastAsia="Arial" w:hAnsi="Arial"/>
          <w:sz w:val="14"/>
          <w:szCs w:val="14"/>
          <w:color w:val="auto"/>
        </w:rPr>
        <w:t>List each Assignor, as appropriate.</w:t>
      </w:r>
    </w:p>
    <w:p>
      <w:pPr>
        <w:spacing w:after="0" w:line="218" w:lineRule="auto"/>
        <w:rPr>
          <w:rFonts w:ascii="Arial" w:cs="Arial" w:eastAsia="Arial" w:hAnsi="Arial"/>
          <w:sz w:val="12"/>
          <w:szCs w:val="12"/>
          <w:color w:val="auto"/>
        </w:rPr>
      </w:pPr>
      <w:r>
        <w:rPr>
          <w:rFonts w:ascii="Arial" w:cs="Arial" w:eastAsia="Arial" w:hAnsi="Arial"/>
          <w:sz w:val="12"/>
          <w:szCs w:val="12"/>
          <w:color w:val="auto"/>
        </w:rPr>
        <w:t xml:space="preserve">6 </w:t>
      </w:r>
      <w:r>
        <w:rPr>
          <w:rFonts w:ascii="Arial" w:cs="Arial" w:eastAsia="Arial" w:hAnsi="Arial"/>
          <w:sz w:val="14"/>
          <w:szCs w:val="14"/>
          <w:color w:val="auto"/>
        </w:rPr>
        <w:t>List each Assignor, as appropriate.</w:t>
      </w:r>
    </w:p>
    <w:p>
      <w:pPr>
        <w:ind w:left="120" w:right="360" w:hanging="107"/>
        <w:spacing w:after="0" w:line="218" w:lineRule="auto"/>
        <w:rPr>
          <w:rFonts w:ascii="Arial" w:cs="Arial" w:eastAsia="Arial" w:hAnsi="Arial"/>
          <w:sz w:val="12"/>
          <w:szCs w:val="12"/>
          <w:color w:val="auto"/>
        </w:rPr>
      </w:pPr>
      <w:r>
        <w:rPr>
          <w:rFonts w:ascii="Arial" w:cs="Arial" w:eastAsia="Arial" w:hAnsi="Arial"/>
          <w:sz w:val="12"/>
          <w:szCs w:val="12"/>
          <w:color w:val="auto"/>
        </w:rPr>
        <w:t xml:space="preserve">7 </w:t>
      </w:r>
      <w:r>
        <w:rPr>
          <w:rFonts w:ascii="Arial" w:cs="Arial" w:eastAsia="Arial" w:hAnsi="Arial"/>
          <w:sz w:val="14"/>
          <w:szCs w:val="14"/>
          <w:color w:val="auto"/>
        </w:rPr>
        <w:t>Amounts in this column and in the column immediately to the right to be adjusted by the counterparties to take into account any payments or prepayments made between the Trade Date and the</w:t>
      </w:r>
      <w:r>
        <w:rPr>
          <w:rFonts w:ascii="Arial" w:cs="Arial" w:eastAsia="Arial" w:hAnsi="Arial"/>
          <w:sz w:val="12"/>
          <w:szCs w:val="12"/>
          <w:color w:val="auto"/>
        </w:rPr>
        <w:t xml:space="preserve"> </w:t>
      </w:r>
      <w:r>
        <w:rPr>
          <w:rFonts w:ascii="Arial" w:cs="Arial" w:eastAsia="Arial" w:hAnsi="Arial"/>
          <w:sz w:val="14"/>
          <w:szCs w:val="14"/>
          <w:color w:val="auto"/>
        </w:rPr>
        <w:t>Effective Date.</w:t>
      </w:r>
    </w:p>
    <w:p>
      <w:pPr>
        <w:ind w:right="4940"/>
        <w:spacing w:after="0" w:line="237" w:lineRule="auto"/>
        <w:rPr>
          <w:rFonts w:ascii="Arial" w:cs="Arial" w:eastAsia="Arial" w:hAnsi="Arial"/>
          <w:sz w:val="12"/>
          <w:szCs w:val="12"/>
          <w:color w:val="auto"/>
        </w:rPr>
      </w:pPr>
      <w:r>
        <w:rPr>
          <w:rFonts w:ascii="Arial" w:cs="Arial" w:eastAsia="Arial" w:hAnsi="Arial"/>
          <w:sz w:val="12"/>
          <w:szCs w:val="12"/>
          <w:color w:val="auto"/>
        </w:rPr>
        <w:t xml:space="preserve">8 </w:t>
      </w:r>
      <w:r>
        <w:rPr>
          <w:rFonts w:ascii="Arial" w:cs="Arial" w:eastAsia="Arial" w:hAnsi="Arial"/>
          <w:sz w:val="14"/>
          <w:szCs w:val="14"/>
          <w:color w:val="auto"/>
        </w:rPr>
        <w:t>Set forth, to at least 9 decimals, as a percentage of the Revolving Credit Commitment of all Lenders thereunder.</w:t>
      </w:r>
      <w:r>
        <w:rPr>
          <w:rFonts w:ascii="Arial" w:cs="Arial" w:eastAsia="Arial" w:hAnsi="Arial"/>
          <w:sz w:val="12"/>
          <w:szCs w:val="12"/>
          <w:color w:val="auto"/>
        </w:rPr>
        <w:t xml:space="preserve"> </w:t>
      </w:r>
      <w:r>
        <w:rPr>
          <w:rFonts w:ascii="Arial" w:cs="Arial" w:eastAsia="Arial" w:hAnsi="Arial"/>
          <w:sz w:val="15"/>
          <w:szCs w:val="15"/>
          <w:color w:val="auto"/>
        </w:rPr>
        <w:t xml:space="preserve">9 </w:t>
      </w:r>
      <w:r>
        <w:rPr>
          <w:rFonts w:ascii="Arial" w:cs="Arial" w:eastAsia="Arial" w:hAnsi="Arial"/>
          <w:sz w:val="14"/>
          <w:szCs w:val="14"/>
          <w:color w:val="auto"/>
        </w:rPr>
        <w:t>List each Assignor,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-585470</wp:posOffset>
            </wp:positionV>
            <wp:extent cx="14478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160" w:hanging="153"/>
        <w:spacing w:after="0"/>
        <w:tabs>
          <w:tab w:leader="none" w:pos="160" w:val="left"/>
        </w:tabs>
        <w:numPr>
          <w:ilvl w:val="0"/>
          <w:numId w:val="183"/>
        </w:numPr>
        <w:rPr>
          <w:rFonts w:ascii="Arial" w:cs="Arial" w:eastAsia="Arial" w:hAnsi="Arial"/>
          <w:sz w:val="12"/>
          <w:szCs w:val="12"/>
          <w:color w:val="auto"/>
        </w:rPr>
      </w:pPr>
      <w:r>
        <w:rPr>
          <w:rFonts w:ascii="Arial" w:cs="Arial" w:eastAsia="Arial" w:hAnsi="Arial"/>
          <w:sz w:val="14"/>
          <w:szCs w:val="14"/>
          <w:color w:val="auto"/>
        </w:rPr>
        <w:t>List each Assignor, as appropriate.</w:t>
      </w:r>
    </w:p>
    <w:p>
      <w:pPr>
        <w:ind w:left="160" w:right="300" w:hanging="153"/>
        <w:spacing w:after="0" w:line="218" w:lineRule="auto"/>
        <w:tabs>
          <w:tab w:leader="none" w:pos="160" w:val="left"/>
        </w:tabs>
        <w:numPr>
          <w:ilvl w:val="0"/>
          <w:numId w:val="183"/>
        </w:numPr>
        <w:rPr>
          <w:rFonts w:ascii="Arial" w:cs="Arial" w:eastAsia="Arial" w:hAnsi="Arial"/>
          <w:sz w:val="12"/>
          <w:szCs w:val="12"/>
          <w:color w:val="auto"/>
        </w:rPr>
      </w:pPr>
      <w:r>
        <w:rPr>
          <w:rFonts w:ascii="Arial" w:cs="Arial" w:eastAsia="Arial" w:hAnsi="Arial"/>
          <w:sz w:val="14"/>
          <w:szCs w:val="14"/>
          <w:color w:val="auto"/>
        </w:rPr>
        <w:t>Amounts in this column and in the column immediately to the right to be adjusted by the counterparties to take into account any payments or prepayments made between the Trade Date and the Effective Date.</w:t>
      </w:r>
    </w:p>
    <w:p>
      <w:pPr>
        <w:ind w:left="160" w:hanging="153"/>
        <w:spacing w:after="0" w:line="218" w:lineRule="auto"/>
        <w:tabs>
          <w:tab w:leader="none" w:pos="160" w:val="left"/>
        </w:tabs>
        <w:numPr>
          <w:ilvl w:val="0"/>
          <w:numId w:val="183"/>
        </w:numPr>
        <w:rPr>
          <w:rFonts w:ascii="Arial" w:cs="Arial" w:eastAsia="Arial" w:hAnsi="Arial"/>
          <w:sz w:val="12"/>
          <w:szCs w:val="12"/>
          <w:color w:val="auto"/>
        </w:rPr>
      </w:pPr>
      <w:r>
        <w:rPr>
          <w:rFonts w:ascii="Arial" w:cs="Arial" w:eastAsia="Arial" w:hAnsi="Arial"/>
          <w:sz w:val="14"/>
          <w:szCs w:val="14"/>
          <w:color w:val="auto"/>
        </w:rPr>
        <w:t>Set forth, to at least 9 decimals, as a percentage of the Letter of Credit Commitment of all Lenders thereunder.</w:t>
      </w:r>
    </w:p>
    <w:p>
      <w:pPr>
        <w:ind w:left="160" w:hanging="153"/>
        <w:spacing w:after="0"/>
        <w:tabs>
          <w:tab w:leader="none" w:pos="160" w:val="left"/>
        </w:tabs>
        <w:numPr>
          <w:ilvl w:val="0"/>
          <w:numId w:val="183"/>
        </w:numPr>
        <w:rPr>
          <w:rFonts w:ascii="Arial" w:cs="Arial" w:eastAsia="Arial" w:hAnsi="Arial"/>
          <w:sz w:val="12"/>
          <w:szCs w:val="12"/>
          <w:color w:val="auto"/>
        </w:rPr>
      </w:pPr>
      <w:r>
        <w:rPr>
          <w:rFonts w:ascii="Arial" w:cs="Arial" w:eastAsia="Arial" w:hAnsi="Arial"/>
          <w:sz w:val="14"/>
          <w:szCs w:val="14"/>
          <w:color w:val="auto"/>
        </w:rPr>
        <w:t>To be completed if the Assignor and the Assignee intend that the minimum assignment amount is to be determined as of the Trade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The terms set forth in this Assignment and Acceptance are hereby agreed to:</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12065</wp:posOffset>
            </wp:positionV>
            <wp:extent cx="259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jc w:val="right"/>
        <w:ind w:right="2519"/>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12065</wp:posOffset>
            </wp:positionV>
            <wp:extent cx="259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Domestic Lending Office:</w:t>
      </w:r>
    </w:p>
    <w:p>
      <w:pPr>
        <w:spacing w:after="0" w:line="2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[Address]</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Eurodollar Lending Office:</w:t>
      </w:r>
    </w:p>
    <w:p>
      <w:pPr>
        <w:spacing w:after="0" w:line="4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[Address]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 this</w:t>
      </w: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gridSpan w:val="2"/>
          </w:tcPr>
          <w:p>
            <w:pPr>
              <w:ind w:left="40"/>
              <w:spacing w:after="0" w:line="192" w:lineRule="exact"/>
              <w:rPr>
                <w:sz w:val="20"/>
                <w:szCs w:val="20"/>
                <w:color w:val="auto"/>
              </w:rPr>
            </w:pPr>
            <w:r>
              <w:rPr>
                <w:rFonts w:ascii="Arial" w:cs="Arial" w:eastAsia="Arial" w:hAnsi="Arial"/>
                <w:sz w:val="18"/>
                <w:szCs w:val="18"/>
                <w:color w:val="auto"/>
                <w:w w:val="97"/>
              </w:rPr>
              <w:t>day of</w:t>
            </w:r>
          </w:p>
        </w:tc>
        <w:tc>
          <w:tcPr>
            <w:tcW w:w="1100" w:type="dxa"/>
            <w:vAlign w:val="bottom"/>
            <w:tcBorders>
              <w:bottom w:val="single" w:sz="8" w:color="auto"/>
            </w:tcBorders>
            <w:gridSpan w:val="4"/>
          </w:tcPr>
          <w:p>
            <w:pPr>
              <w:spacing w:after="0"/>
              <w:rPr>
                <w:sz w:val="16"/>
                <w:szCs w:val="16"/>
                <w:color w:val="auto"/>
              </w:rPr>
            </w:pP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w w:val="86"/>
              </w:rPr>
              <w:t>, 20</w:t>
            </w:r>
          </w:p>
        </w:tc>
        <w:tc>
          <w:tcPr>
            <w:tcW w:w="26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45"/>
        </w:trPr>
        <w:tc>
          <w:tcPr>
            <w:tcW w:w="3860" w:type="dxa"/>
            <w:vAlign w:val="bottom"/>
            <w:gridSpan w:val="13"/>
          </w:tcPr>
          <w:p>
            <w:pPr>
              <w:spacing w:after="0"/>
              <w:rPr>
                <w:sz w:val="20"/>
                <w:szCs w:val="20"/>
                <w:color w:val="auto"/>
              </w:rPr>
            </w:pPr>
            <w:r>
              <w:rPr>
                <w:rFonts w:ascii="Arial" w:cs="Arial" w:eastAsia="Arial" w:hAnsi="Arial"/>
                <w:sz w:val="18"/>
                <w:szCs w:val="18"/>
                <w:color w:val="auto"/>
              </w:rPr>
              <w:t>BANK OF AMERICA, N.A., as Agent</w:t>
            </w:r>
          </w:p>
        </w:tc>
      </w:tr>
      <w:tr>
        <w:trPr>
          <w:trHeight w:val="416"/>
        </w:trPr>
        <w:tc>
          <w:tcPr>
            <w:tcW w:w="1260" w:type="dxa"/>
            <w:vAlign w:val="bottom"/>
            <w:gridSpan w:val="5"/>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88"/>
        </w:trPr>
        <w:tc>
          <w:tcPr>
            <w:tcW w:w="1120" w:type="dxa"/>
            <w:vAlign w:val="bottom"/>
            <w:gridSpan w:val="4"/>
          </w:tcPr>
          <w:p>
            <w:pPr>
              <w:spacing w:after="0"/>
              <w:rPr>
                <w:sz w:val="20"/>
                <w:szCs w:val="20"/>
                <w:color w:val="auto"/>
              </w:rPr>
            </w:pPr>
            <w:r>
              <w:rPr>
                <w:rFonts w:ascii="Arial" w:cs="Arial" w:eastAsia="Arial" w:hAnsi="Arial"/>
                <w:sz w:val="18"/>
                <w:szCs w:val="18"/>
                <w:color w:val="auto"/>
                <w:w w:val="95"/>
              </w:rPr>
              <w:t>[Approved this</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gridSpan w:val="5"/>
          </w:tcPr>
          <w:p>
            <w:pPr>
              <w:jc w:val="right"/>
              <w:ind w:right="1720"/>
              <w:spacing w:after="0"/>
              <w:rPr>
                <w:sz w:val="20"/>
                <w:szCs w:val="20"/>
                <w:color w:val="auto"/>
              </w:rPr>
            </w:pPr>
            <w:r>
              <w:rPr>
                <w:rFonts w:ascii="Arial" w:cs="Arial" w:eastAsia="Arial" w:hAnsi="Arial"/>
                <w:sz w:val="18"/>
                <w:szCs w:val="18"/>
                <w:color w:val="auto"/>
                <w:w w:val="96"/>
              </w:rPr>
              <w:t>day</w:t>
            </w:r>
          </w:p>
        </w:tc>
      </w:tr>
      <w:tr>
        <w:trPr>
          <w:trHeight w:val="193"/>
        </w:trPr>
        <w:tc>
          <w:tcPr>
            <w:tcW w:w="200" w:type="dxa"/>
            <w:vAlign w:val="bottom"/>
          </w:tcPr>
          <w:p>
            <w:pPr>
              <w:spacing w:after="0" w:line="194" w:lineRule="exact"/>
              <w:rPr>
                <w:sz w:val="20"/>
                <w:szCs w:val="20"/>
                <w:color w:val="auto"/>
              </w:rPr>
            </w:pPr>
            <w:r>
              <w:rPr>
                <w:rFonts w:ascii="Arial" w:cs="Arial" w:eastAsia="Arial" w:hAnsi="Arial"/>
                <w:sz w:val="18"/>
                <w:szCs w:val="18"/>
                <w:color w:val="auto"/>
              </w:rPr>
              <w:t>of</w:t>
            </w:r>
          </w:p>
        </w:tc>
        <w:tc>
          <w:tcPr>
            <w:tcW w:w="1060" w:type="dxa"/>
            <w:vAlign w:val="bottom"/>
            <w:tcBorders>
              <w:bottom w:val="single" w:sz="8" w:color="auto"/>
            </w:tcBorders>
            <w:gridSpan w:val="4"/>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Arial" w:cs="Arial" w:eastAsia="Arial" w:hAnsi="Arial"/>
                <w:sz w:val="18"/>
                <w:szCs w:val="18"/>
                <w:color w:val="auto"/>
                <w:w w:val="86"/>
              </w:rPr>
              <w:t>, 20</w:t>
            </w:r>
          </w:p>
        </w:tc>
        <w:tc>
          <w:tcPr>
            <w:tcW w:w="2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45"/>
        </w:trPr>
        <w:tc>
          <w:tcPr>
            <w:tcW w:w="3860" w:type="dxa"/>
            <w:vAlign w:val="bottom"/>
            <w:gridSpan w:val="13"/>
          </w:tcPr>
          <w:p>
            <w:pPr>
              <w:spacing w:after="0"/>
              <w:rPr>
                <w:sz w:val="20"/>
                <w:szCs w:val="20"/>
                <w:color w:val="auto"/>
              </w:rPr>
            </w:pPr>
            <w:r>
              <w:rPr>
                <w:rFonts w:ascii="Arial" w:cs="Arial" w:eastAsia="Arial" w:hAnsi="Arial"/>
                <w:sz w:val="18"/>
                <w:szCs w:val="18"/>
                <w:color w:val="auto"/>
              </w:rPr>
              <w:t>EASTMAN KODAK COMPANY</w:t>
            </w:r>
          </w:p>
        </w:tc>
      </w:tr>
      <w:tr>
        <w:trPr>
          <w:trHeight w:val="388"/>
        </w:trPr>
        <w:tc>
          <w:tcPr>
            <w:tcW w:w="1260" w:type="dxa"/>
            <w:vAlign w:val="bottom"/>
            <w:gridSpan w:val="5"/>
          </w:tcPr>
          <w:p>
            <w:pPr>
              <w:spacing w:after="0"/>
              <w:rPr>
                <w:sz w:val="20"/>
                <w:szCs w:val="20"/>
                <w:color w:val="auto"/>
              </w:rPr>
            </w:pPr>
            <w:r>
              <w:rPr>
                <w:rFonts w:ascii="Arial" w:cs="Arial" w:eastAsia="Arial" w:hAnsi="Arial"/>
                <w:sz w:val="18"/>
                <w:szCs w:val="18"/>
                <w:color w:val="auto"/>
              </w:rPr>
              <w:t>By</w:t>
            </w:r>
          </w:p>
        </w:tc>
        <w:tc>
          <w:tcPr>
            <w:tcW w:w="2600" w:type="dxa"/>
            <w:vAlign w:val="bottom"/>
            <w:gridSpan w:val="8"/>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Title:</w:t>
            </w: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340"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t>EXHIBIT D - FORM OF</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SOLVENCY CERTIFICATE</w:t>
      </w:r>
    </w:p>
    <w:p>
      <w:pPr>
        <w:spacing w:after="0" w:line="102"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___________________, 20__</w:t>
      </w:r>
    </w:p>
    <w:p>
      <w:pPr>
        <w:spacing w:after="0" w:line="136"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color w:val="auto"/>
        </w:rPr>
        <w:t>This Solvency Certificate is being executed and delivered pursuant to Section 3.01(b)(vi) of that certain Amended and Restated Credit Agreement, dated as of May 26, 2016, among Eastman Kodak Company, a New Jersey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certain of its subsidiaries, the Lenders and Bank of America, N.A., as administrative agent and collateral agent for the Lenders (as amended, restated, amended and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w:t>
      </w:r>
    </w:p>
    <w:p>
      <w:pPr>
        <w:spacing w:after="0" w:line="156"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 the Chief Financial Officer of the Company, in such capacity and not in an individual capacity, hereby certify as follows:</w:t>
      </w:r>
    </w:p>
    <w:p>
      <w:pPr>
        <w:spacing w:after="0" w:line="119" w:lineRule="exact"/>
        <w:rPr>
          <w:sz w:val="20"/>
          <w:szCs w:val="20"/>
          <w:color w:val="auto"/>
        </w:rPr>
      </w:pPr>
    </w:p>
    <w:p>
      <w:pPr>
        <w:ind w:right="220" w:firstLine="525"/>
        <w:spacing w:after="0" w:line="267" w:lineRule="auto"/>
        <w:tabs>
          <w:tab w:leader="none" w:pos="69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am generally familiar with the businesses and assets of the Company and its subsidiaries, taken as a whole, and am duly authorized to execute this Solvency Certificate on behalf of the Company pursuant to the Credit Agreement.</w:t>
      </w:r>
    </w:p>
    <w:p>
      <w:pPr>
        <w:spacing w:after="0" w:line="72" w:lineRule="exact"/>
        <w:rPr>
          <w:rFonts w:ascii="Arial" w:cs="Arial" w:eastAsia="Arial" w:hAnsi="Arial"/>
          <w:sz w:val="18"/>
          <w:szCs w:val="18"/>
          <w:color w:val="auto"/>
        </w:rPr>
      </w:pPr>
    </w:p>
    <w:p>
      <w:pPr>
        <w:jc w:val="both"/>
        <w:ind w:right="360" w:firstLine="525"/>
        <w:spacing w:after="0" w:line="279" w:lineRule="auto"/>
        <w:tabs>
          <w:tab w:leader="none" w:pos="69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 am familiar with the historical and current financial condition of the Company and its subsidiaries on a consolidated basis as the Chief Financial Officer of the Company. In preparing this certificate, I have made such investigations and inquiries as I deem necessary and prudent in connection with the matters set forth herein and have reviewed the terms of the Credit Agreement and the other Loan Documents.</w:t>
      </w:r>
    </w:p>
    <w:p>
      <w:pPr>
        <w:spacing w:after="0" w:line="65" w:lineRule="exact"/>
        <w:rPr>
          <w:rFonts w:ascii="Arial" w:cs="Arial" w:eastAsia="Arial" w:hAnsi="Arial"/>
          <w:sz w:val="17"/>
          <w:szCs w:val="17"/>
          <w:color w:val="auto"/>
        </w:rPr>
      </w:pPr>
    </w:p>
    <w:p>
      <w:pPr>
        <w:ind w:firstLine="525"/>
        <w:spacing w:after="0" w:line="265" w:lineRule="auto"/>
        <w:tabs>
          <w:tab w:leader="none" w:pos="69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As of the date hereof and after giving effect to the Closing Date Transactions, that, (i) the sum of the debt and liabilities (including subordinated and contingent liabilities) of the Company and its subsidiaries, taken as a whole, does not exceed the fair value of the present assets of the Company and its subsidiaries, taken as a whole; (ii) the present fair saleable value of the assets of the Company and its subsidiaries, taken as a whole, is greater than the total amount that will be required to pay the probable debt and liabilities (including subordinated and contingent liabilities) of the Company and its subsidiaries as they become absolute and matured, (iii) the capital of the Company and its subsidiaries, taken as a whole, is not unreasonably small in relation to the business of the Company or its subsidiaries, taken as a whole, contemplated as of the date hereof and as proposed to be conducted following the Closing Date; and (iv) the Company and its subsidiaries, taken as a whole, have not incurred, or believe that they will incur, debts or other liabilities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7" w:name="page198"/>
    <w:bookmarkEnd w:id="197"/>
    <w:p>
      <w:pPr>
        <w:ind w:firstLine="518"/>
        <w:spacing w:after="0" w:line="267" w:lineRule="auto"/>
        <w:rPr>
          <w:sz w:val="20"/>
          <w:szCs w:val="20"/>
          <w:color w:val="auto"/>
        </w:rPr>
      </w:pPr>
      <w:r>
        <w:rPr>
          <w:rFonts w:ascii="Arial" w:cs="Arial" w:eastAsia="Arial" w:hAnsi="Arial"/>
          <w:sz w:val="18"/>
          <w:szCs w:val="18"/>
          <w:color w:val="auto"/>
        </w:rPr>
        <w:t>IN WITNESS WHEREOF, the undersigned has executed this Solvency Certificate in such undersigned’s capacity as Chief Financial Officer of the Company, on behalf of the Company, and not individually, as of the date first stated above.</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EASTMAN KODAK COMPANY</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12065</wp:posOffset>
            </wp:positionV>
            <wp:extent cx="23964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964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12065</wp:posOffset>
            </wp:positionV>
            <wp:extent cx="23964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964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60"/>
          </w:cols>
          <w:pgMar w:left="240" w:top="341" w:right="69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t>EXHIBIT E - FORM OF</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SUPPLEMENT</w:t>
      </w:r>
    </w:p>
    <w:p>
      <w:pPr>
        <w:spacing w:after="0" w:line="102" w:lineRule="exact"/>
        <w:rPr>
          <w:sz w:val="20"/>
          <w:szCs w:val="20"/>
          <w:color w:val="auto"/>
        </w:rPr>
      </w:pPr>
    </w:p>
    <w:p>
      <w:pPr>
        <w:ind w:left="9520"/>
        <w:spacing w:after="0"/>
        <w:rPr>
          <w:sz w:val="20"/>
          <w:szCs w:val="20"/>
          <w:color w:val="auto"/>
        </w:rPr>
      </w:pPr>
      <w:r>
        <w:rPr>
          <w:rFonts w:ascii="Arial" w:cs="Arial" w:eastAsia="Arial" w:hAnsi="Arial"/>
          <w:sz w:val="14"/>
          <w:szCs w:val="14"/>
          <w:color w:val="auto"/>
        </w:rPr>
        <w:t>______________ __, 20__</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each of the Lenders</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party to the Credit Agreement</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defined below) and to Bank of America, N.A.,</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Agent for such Lenders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right="240" w:firstLine="518"/>
        <w:spacing w:after="0" w:line="254" w:lineRule="auto"/>
        <w:rPr>
          <w:sz w:val="20"/>
          <w:szCs w:val="20"/>
          <w:color w:val="auto"/>
        </w:rPr>
      </w:pPr>
      <w:r>
        <w:rPr>
          <w:rFonts w:ascii="Arial" w:cs="Arial" w:eastAsia="Arial" w:hAnsi="Arial"/>
          <w:sz w:val="18"/>
          <w:szCs w:val="18"/>
          <w:color w:val="auto"/>
        </w:rPr>
        <w:t>Reference is made to the Amended and Restated Credit Agreement, dated as of May 26, 2016 (as amended or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EASTMAN KODAK COMPANY, a New Jersey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certain of its subsidiaries, the Lenders (as defined in the Credit Agreement) and Bank of America, N.A., as administrative agent and collateral agent for the Lenders (the “</w:t>
      </w:r>
      <w:r>
        <w:rPr>
          <w:rFonts w:ascii="Arial" w:cs="Arial" w:eastAsia="Arial" w:hAnsi="Arial"/>
          <w:sz w:val="18"/>
          <w:szCs w:val="18"/>
          <w:u w:val="single" w:color="auto"/>
          <w:color w:val="auto"/>
        </w:rPr>
        <w:t>Agent</w:t>
      </w:r>
      <w:r>
        <w:rPr>
          <w:rFonts w:ascii="Arial" w:cs="Arial" w:eastAsia="Arial" w:hAnsi="Arial"/>
          <w:sz w:val="18"/>
          <w:szCs w:val="18"/>
          <w:color w:val="auto"/>
        </w:rPr>
        <w:t>”). Terms defined in the Credit Agreement are used herein with the same meaning.</w:t>
      </w:r>
    </w:p>
    <w:p>
      <w:pPr>
        <w:spacing w:after="0" w:line="84" w:lineRule="exact"/>
        <w:rPr>
          <w:sz w:val="20"/>
          <w:szCs w:val="20"/>
          <w:color w:val="auto"/>
        </w:rPr>
      </w:pPr>
    </w:p>
    <w:p>
      <w:pPr>
        <w:ind w:right="100" w:firstLine="518"/>
        <w:spacing w:after="0" w:line="26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Guaranty; Limitation of Liability</w:t>
      </w:r>
      <w:r>
        <w:rPr>
          <w:rFonts w:ascii="Arial" w:cs="Arial" w:eastAsia="Arial" w:hAnsi="Arial"/>
          <w:sz w:val="17"/>
          <w:szCs w:val="17"/>
          <w:color w:val="auto"/>
        </w:rPr>
        <w:t>. (a) The undersigned hereby absolutely, unconditionally and irrevocably guarantees the punctual payment when due, whether at scheduled maturity or on any date of a required prepayment or by acceleration, demand or otherwise, of all Guaranteed Obligations, and agrees to pay any and all expenses (including, without limitation, fees and expenses of counsel) incurred by the Agent or any Lender in enforcing any rights under this Guaranty Supplement, the Guaranty or any other Loan Document. Without limiting the generality of the foregoing, the undersigned’s liability shall extend to all amounts that constitute part of the applicable Guaranteed Obligations and would be owed by any other Loan Party or Subsidiary of the Company, as applicable, to the Agent or any Lender under or in respect of the Loan Documents or any Bank Product Agreement or any agreement evidencing a Specified Secured Obligation but for the fact that they are unenforceable or not allowable due to the existence of a bankruptcy, reorganization or similar proceeding involving such other Loan Party or Subsidiary, as the case may be.</w:t>
      </w:r>
    </w:p>
    <w:p>
      <w:pPr>
        <w:spacing w:after="0" w:line="74" w:lineRule="exact"/>
        <w:rPr>
          <w:sz w:val="20"/>
          <w:szCs w:val="20"/>
          <w:color w:val="auto"/>
        </w:rPr>
      </w:pPr>
    </w:p>
    <w:p>
      <w:pPr>
        <w:ind w:right="20" w:firstLine="1041"/>
        <w:spacing w:after="0" w:line="267" w:lineRule="auto"/>
        <w:tabs>
          <w:tab w:leader="none" w:pos="1286"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undersigned, and by its acceptance of this Guaranty Supplement, the Agent and each Lender, hereby confirms that it is the intention of all such Persons that this Guaranty Supplement, the Guaranty and the obligations of the undersigned hereunder and thereunder not constitute a fraudulent transfer or conveyance for purposes of Bankruptcy Law, the Uniform Fraudulent Conveyance Act, the Uniform Fraudulent Transfer Act or any similar foreign, federal or state law to the extent applicable to this Guaranty Supplement, the Guaranty and the obligations of the undersigned hereunder and thereunder. To effectuate the foregoing intention, the Agent, the Lenders and the undersigned hereby irrevocably agree that the obligations of the undersigned under this Guaranty Supplement and the Guaranty at any time shall be limited to the maximum amount as will result in the obligations of the undersigned under this Guaranty Supplement and the Guaranty not constituting a fraudulent transfer or conveyance.</w:t>
      </w:r>
    </w:p>
    <w:p>
      <w:pPr>
        <w:spacing w:after="0" w:line="77" w:lineRule="exact"/>
        <w:rPr>
          <w:rFonts w:ascii="Arial" w:cs="Arial" w:eastAsia="Arial" w:hAnsi="Arial"/>
          <w:sz w:val="17"/>
          <w:szCs w:val="17"/>
          <w:color w:val="auto"/>
        </w:rPr>
      </w:pPr>
    </w:p>
    <w:p>
      <w:pPr>
        <w:ind w:firstLine="1041"/>
        <w:spacing w:after="0" w:line="254" w:lineRule="auto"/>
        <w:tabs>
          <w:tab w:leader="none" w:pos="127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undersigned hereby unconditionally and irrevocably agrees that in the event any payment shall be required to be made to the Agent or any Lender under this Guaranty Supplement, the Guaranty or any other guaranty, the undersigned will contribute, to the maximum extent permitted by applicable law, such amounts to each other Guarantor and each other guarantor so as to maximize the aggregate amount paid to the Agent and the Lenders under or in respect of the Loan Documents.</w:t>
      </w:r>
    </w:p>
    <w:p>
      <w:pPr>
        <w:spacing w:after="0" w:line="84" w:lineRule="exact"/>
        <w:rPr>
          <w:sz w:val="20"/>
          <w:szCs w:val="20"/>
          <w:color w:val="auto"/>
        </w:rPr>
      </w:pPr>
    </w:p>
    <w:p>
      <w:pPr>
        <w:ind w:right="200" w:firstLine="518"/>
        <w:spacing w:after="0" w:line="295"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Obligations Under the Guaranty.</w:t>
      </w:r>
      <w:r>
        <w:rPr>
          <w:rFonts w:ascii="Arial" w:cs="Arial" w:eastAsia="Arial" w:hAnsi="Arial"/>
          <w:sz w:val="16"/>
          <w:szCs w:val="16"/>
          <w:color w:val="auto"/>
        </w:rPr>
        <w:t xml:space="preserve"> The undersigned hereby agrees, as of the date first above written, to be bound as a Guarantor by all of the terms and conditions of the Guaranty to the same extent as each of the other Guarantors thereunder. The undersigned further agrees, as of the date first above written, that each reference in the Guaranty to an “Additional Guarantor” or a “Guarantor” shall also mean and be a reference to the undersigned, and each reference in any other Loan Document to a “Subsidiary Guarantor” or a “Loan Party” shall also mean and be a reference to the undersigned.</w:t>
      </w:r>
    </w:p>
    <w:p>
      <w:pPr>
        <w:spacing w:after="0" w:line="56" w:lineRule="exact"/>
        <w:rPr>
          <w:sz w:val="20"/>
          <w:szCs w:val="20"/>
          <w:color w:val="auto"/>
        </w:rPr>
      </w:pPr>
    </w:p>
    <w:p>
      <w:pPr>
        <w:ind w:right="320" w:firstLine="518"/>
        <w:spacing w:after="0" w:line="26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undersigned hereby makes, as to itself and as of the date first above written, each representation and warranty set forth in Section 4.01 of the Credit Agreement to the same extent as each other Guarantor.</w:t>
      </w:r>
    </w:p>
    <w:p>
      <w:pPr>
        <w:spacing w:after="0" w:line="73" w:lineRule="exact"/>
        <w:rPr>
          <w:sz w:val="20"/>
          <w:szCs w:val="20"/>
          <w:color w:val="auto"/>
        </w:rPr>
      </w:pPr>
    </w:p>
    <w:p>
      <w:pPr>
        <w:ind w:right="260" w:firstLine="518"/>
        <w:spacing w:after="0" w:line="26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Delivery by Telecopier</w:t>
      </w:r>
      <w:r>
        <w:rPr>
          <w:rFonts w:ascii="Arial" w:cs="Arial" w:eastAsia="Arial" w:hAnsi="Arial"/>
          <w:sz w:val="18"/>
          <w:szCs w:val="18"/>
          <w:color w:val="auto"/>
        </w:rPr>
        <w:t>. Delivery of an executed counterpart of a signature page to this Guaranty Supplement by telecopier or .pdf shall be effective as delivery of an original executed counterpart of this Guaranty Supplement.</w:t>
      </w:r>
    </w:p>
    <w:p>
      <w:pPr>
        <w:spacing w:after="0" w:line="73" w:lineRule="exact"/>
        <w:rPr>
          <w:sz w:val="20"/>
          <w:szCs w:val="20"/>
          <w:color w:val="auto"/>
        </w:rPr>
      </w:pPr>
    </w:p>
    <w:p>
      <w:pPr>
        <w:ind w:right="580" w:firstLine="518"/>
        <w:spacing w:after="0" w:line="26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Waiver of Jury Trial, Etc. (a) THIS GUARANTY SUPPLEMENT SHALL BE GOVERNED BY, AND CONSTRUED IN ACCORDANCE WITH, THE LAWS OF THE STATE OF NEW YORK.</w:t>
      </w:r>
    </w:p>
    <w:p>
      <w:pPr>
        <w:spacing w:after="0" w:line="73" w:lineRule="exact"/>
        <w:rPr>
          <w:sz w:val="20"/>
          <w:szCs w:val="20"/>
          <w:color w:val="auto"/>
        </w:rPr>
      </w:pPr>
    </w:p>
    <w:p>
      <w:pPr>
        <w:ind w:right="40" w:firstLine="1041"/>
        <w:spacing w:after="0" w:line="267" w:lineRule="auto"/>
        <w:tabs>
          <w:tab w:leader="none" w:pos="1881"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UNDERSIGNED IRREVOCABLY AND UNCONDITIONALLY SUBMITS, FOR ITSELF AND ITS PROPERTY, TO THE NONEXCLUSIVE JURISDICTION OF THE COURTS OF THE STATE OF NEW YORK IN THE BOROUGH OF MANHATTAN AND OF THE UNITED STATES DISTRICT COURT OF THE SOUTHERN DISTRICT OF NEW YORK, AND ANY APPELLATE COURT FROM ANY THEREOF, IN ANY ACTION OR PROCEEDING ARISING OUT OF OR RELATING TO THIS GUARANTY SUPPLEMENT, THE GUARANTY OR ANY OTHER LOAN DOCUMENT, OR FOR RECOGNITION OR ENFORCEMENT OF ANY JUDGMENT, AND THE UNDERSIGNED IRREVOCABLY AND UNCONDITIONALLY AGREES THAT ALL CLAIMS IN RESPECT OF ANY SUCH ACTION OR PROCEEDING MAY BE HEARD AND DETERMINED IN SUCH NEW YORK STATE COURT OR, TO THE FULLEST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9" w:name="page200"/>
    <w:bookmarkEnd w:id="199"/>
    <w:p>
      <w:pPr>
        <w:ind w:right="80"/>
        <w:spacing w:after="0" w:line="269" w:lineRule="auto"/>
        <w:rPr>
          <w:sz w:val="20"/>
          <w:szCs w:val="20"/>
          <w:color w:val="auto"/>
        </w:rPr>
      </w:pPr>
      <w:r>
        <w:rPr>
          <w:rFonts w:ascii="Arial" w:cs="Arial" w:eastAsia="Arial" w:hAnsi="Arial"/>
          <w:sz w:val="17"/>
          <w:szCs w:val="17"/>
          <w:color w:val="auto"/>
        </w:rPr>
        <w:t>EXTENT PERMITTED BY APPLICABLE LAW, IN SUCH FEDERAL COURT. THE UNDERSIGNED AGREES THAT A FINAL JUDGMENT IN ANY SUCH ACTION OR PROCEEDING SHALL BE CONCLUSIVE AND MAY BE ENFORCED IN OTHER JURISDICTIONS BY SUIT ON THE JUDGMENT OR IN ANY OTHER MANNER PROVIDED BY LAW. NOTHING IN THIS GUARANTY SUPPLEMENT, THE GUARANTY OR IN ANY OTHER LOAN DOCUMENT SHALL AFFECT ANY RIGHT THAT THE AGENT, ANY LENDER OR ANY ISSUING BANK MAY OTHERWISE HAVE TO BRING ANY ACTION OR PROCEEDING RELATING TO THIS GUARANTY SUPPLEMENT, THE GUARANTY OR ANY OTHER LOAN DOCUMENT AGAINST THE BORROWER OR ANY OTHER LOAN PARTIES OR ITS PROPERTIES IN THE COURTS OF ANY JURISDICTION.</w:t>
      </w:r>
    </w:p>
    <w:p>
      <w:pPr>
        <w:spacing w:after="0" w:line="72" w:lineRule="exact"/>
        <w:rPr>
          <w:sz w:val="20"/>
          <w:szCs w:val="20"/>
          <w:color w:val="auto"/>
        </w:rPr>
      </w:pPr>
    </w:p>
    <w:p>
      <w:pPr>
        <w:ind w:right="120" w:firstLine="1041"/>
        <w:spacing w:after="0" w:line="251" w:lineRule="auto"/>
        <w:tabs>
          <w:tab w:leader="none" w:pos="127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UNDERSIGNED IRREVOCABLY AND UNCONDITIONALLY WAIVES, TO THE FULLEST EXTENT PERMITTED BY APPLICABLE LAW, ANY OBJECTION THAT IT MAY NOW OR HEREAFTER HAVE TO THE LAYING OF VENUE OF ANY ACTION OR PROCEEDING ARISING OUT OF OR RELATING TO THIS GUARANTY SUPPLEMENT, THE GUARANTY OR ANY OTHER LOAN DOCUMENT IN ANY COURT REFERRED TO IN PARAGRAPH (B) OF THIS SECTION. THE UNDERSIGNED HEREBY IRREVOCABLY WAIVES, TO THE FULLEST EXTENT PERMITTED BY APPLICABLE LAW, THE DEFENSE OF AN INCONVENIENT FORUM TO THE MAINTENANCE OF SUCH ACTION OR PROCEEDING IN ANY SUCH COURT.</w:t>
      </w:r>
    </w:p>
    <w:p>
      <w:pPr>
        <w:spacing w:after="0" w:line="87" w:lineRule="exact"/>
        <w:rPr>
          <w:rFonts w:ascii="Arial" w:cs="Arial" w:eastAsia="Arial" w:hAnsi="Arial"/>
          <w:sz w:val="18"/>
          <w:szCs w:val="18"/>
          <w:color w:val="auto"/>
        </w:rPr>
      </w:pPr>
    </w:p>
    <w:p>
      <w:pPr>
        <w:ind w:firstLine="1041"/>
        <w:spacing w:after="0" w:line="257" w:lineRule="auto"/>
        <w:tabs>
          <w:tab w:leader="none" w:pos="128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THE UNDERSIGNED IRREVOCABLY CONSENTS TO SERVICE OF PROCESS IN THE MANNER PROVIDED FOR NOTICES IN SECTION 9.02 OF THE CREDIT AGREEMENT. NOTHING IN THIS GUARANTY SUPPLEMENT WILL AFFECT THE RIGHT OF ANY PARTY HERETO TO SERVE PROCESS IN ANY OTHER MANNER PERMITTED BY APPLICABLE LAW.</w:t>
      </w:r>
    </w:p>
    <w:p>
      <w:pPr>
        <w:spacing w:after="0" w:line="81" w:lineRule="exact"/>
        <w:rPr>
          <w:rFonts w:ascii="Arial" w:cs="Arial" w:eastAsia="Arial" w:hAnsi="Arial"/>
          <w:sz w:val="18"/>
          <w:szCs w:val="18"/>
          <w:color w:val="auto"/>
        </w:rPr>
      </w:pPr>
    </w:p>
    <w:p>
      <w:pPr>
        <w:ind w:right="60" w:firstLine="1041"/>
        <w:spacing w:after="0" w:line="267" w:lineRule="auto"/>
        <w:tabs>
          <w:tab w:leader="none" w:pos="127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UNDERSIGNED HERETO HEREBY IRREVOCABLY WAIVES, TO THE FULLEST EXTENT PERMITTED BY APPLICABLE LAW, ANY RIGHT IT MAY HAVE TO A TRIAL BY JURY IN ANY LEGAL PROCEEDING DIRECTLY OR INDIRECTLY ARISING OUT OF OR RELATING TO THIS GUARANTY SUPPLEMENT, THE GUARANTY OR ANY OTHER LOAN DOCUMENT OR THE TRANSACTIONS CONTEMPLATED HEREBY OR THEREBY (WHETHER BASED ON CONTRACT, TORT OR ANY OTHER THEORY). THE UNDERSIGNED HERETO (A) CERTIFIES THAT NO REPRESENTATIVE, AGENT OR ATTORNEY OF ANY OTHER PERSON HAS REPRESENTED, EXPRESSLY OR OTHERWISE, THAT SUCH OTHER PERSON WOULD NOT, IN THE EVENT OF LITIGATION, SEEK TO ENFORCE THE FOREGOING WAIVER AND (B) ACKNOWLEDGES THAT IT HAVE BEEN INDUCED TO ENTER INTO THIS GUARANTY SUPPLEMENT, THE GUARANTY AND THE OTHER LOAN DOCUMENTS BY, AMONG OTHER THINGS, THE MUTUAL WAIVERS AND CERTIFICATIONS IN THIS SECTION.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ADDITIONAL GUARANTOR]</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12065</wp:posOffset>
            </wp:positionV>
            <wp:extent cx="259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t>EXHIBIT F - FORM OF</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BORROWING BASE CERTIFICATE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r>
        <w:rPr>
          <w:rFonts w:ascii="Arial" w:cs="Arial" w:eastAsia="Arial" w:hAnsi="Arial"/>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hanging="153"/>
        <w:spacing w:after="0"/>
        <w:tabs>
          <w:tab w:leader="none" w:pos="160" w:val="left"/>
        </w:tabs>
        <w:numPr>
          <w:ilvl w:val="0"/>
          <w:numId w:val="188"/>
        </w:numPr>
        <w:rPr>
          <w:rFonts w:ascii="Arial" w:cs="Arial" w:eastAsia="Arial" w:hAnsi="Arial"/>
          <w:sz w:val="12"/>
          <w:szCs w:val="12"/>
          <w:color w:val="auto"/>
        </w:rPr>
      </w:pPr>
      <w:r>
        <w:rPr>
          <w:rFonts w:ascii="Arial" w:cs="Arial" w:eastAsia="Arial" w:hAnsi="Arial"/>
          <w:sz w:val="14"/>
          <w:szCs w:val="14"/>
          <w:color w:val="auto"/>
        </w:rPr>
        <w:t>NTD: Borrowing base certificate subject to review and update by BAML and Kodak.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14478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1" w:name="page202"/>
    <w:bookmarkEnd w:id="201"/>
    <w:p>
      <w:pPr>
        <w:jc w:val="center"/>
        <w:ind w:right="-79"/>
        <w:spacing w:after="0"/>
        <w:rPr>
          <w:sz w:val="20"/>
          <w:szCs w:val="20"/>
          <w:color w:val="auto"/>
        </w:rPr>
      </w:pPr>
      <w:r>
        <w:rPr>
          <w:rFonts w:ascii="Arial" w:cs="Arial" w:eastAsia="Arial" w:hAnsi="Arial"/>
          <w:sz w:val="18"/>
          <w:szCs w:val="18"/>
          <w:b w:val="1"/>
          <w:bCs w:val="1"/>
          <w:color w:val="auto"/>
        </w:rPr>
        <w:t>Company Name: EASTMAN KODAK COMPANY</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BORROWING BASE CERTIFICATE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of _________________</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8"/>
                <w:szCs w:val="18"/>
                <w:color w:val="auto"/>
              </w:rPr>
            </w:pPr>
          </w:p>
        </w:tc>
        <w:tc>
          <w:tcPr>
            <w:tcW w:w="146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Eligible</w:t>
            </w: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Available</w:t>
            </w:r>
          </w:p>
        </w:tc>
      </w:tr>
      <w:tr>
        <w:trPr>
          <w:trHeight w:val="207"/>
        </w:trPr>
        <w:tc>
          <w:tcPr>
            <w:tcW w:w="4240" w:type="dxa"/>
            <w:vAlign w:val="bottom"/>
          </w:tcPr>
          <w:p>
            <w:pPr>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Equipment</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Eligible Cash</w:t>
            </w:r>
          </w:p>
        </w:tc>
        <w:tc>
          <w:tcPr>
            <w:tcW w:w="3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207"/>
        </w:trPr>
        <w:tc>
          <w:tcPr>
            <w:tcW w:w="4240" w:type="dxa"/>
            <w:vAlign w:val="bottom"/>
          </w:tcPr>
          <w:p>
            <w:pPr>
              <w:spacing w:after="0"/>
              <w:rPr>
                <w:sz w:val="20"/>
                <w:szCs w:val="20"/>
                <w:color w:val="auto"/>
              </w:rPr>
            </w:pPr>
            <w:r>
              <w:rPr>
                <w:rFonts w:ascii="Arial" w:cs="Arial" w:eastAsia="Arial" w:hAnsi="Arial"/>
                <w:sz w:val="16"/>
                <w:szCs w:val="16"/>
                <w:b w:val="1"/>
                <w:bCs w:val="1"/>
                <w:color w:val="auto"/>
              </w:rPr>
              <w:t>Loan Value</w:t>
            </w:r>
          </w:p>
        </w:tc>
        <w:tc>
          <w:tcPr>
            <w:tcW w:w="166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Rent Reserves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r>
      <w:tr>
        <w:trPr>
          <w:trHeight w:val="240"/>
        </w:trPr>
        <w:tc>
          <w:tcPr>
            <w:tcW w:w="4240" w:type="dxa"/>
            <w:vAlign w:val="bottom"/>
          </w:tcPr>
          <w:p>
            <w:pPr>
              <w:spacing w:after="0"/>
              <w:rPr>
                <w:sz w:val="20"/>
                <w:szCs w:val="20"/>
                <w:color w:val="auto"/>
              </w:rPr>
            </w:pPr>
            <w:r>
              <w:rPr>
                <w:rFonts w:ascii="Arial" w:cs="Arial" w:eastAsia="Arial" w:hAnsi="Arial"/>
                <w:sz w:val="16"/>
                <w:szCs w:val="16"/>
                <w:color w:val="auto"/>
              </w:rPr>
              <w:t>Other Reserves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r>
      <w:tr>
        <w:trPr>
          <w:trHeight w:val="213"/>
        </w:trPr>
        <w:tc>
          <w:tcPr>
            <w:tcW w:w="4240" w:type="dxa"/>
            <w:vAlign w:val="bottom"/>
          </w:tcPr>
          <w:p>
            <w:pPr>
              <w:spacing w:after="0"/>
              <w:rPr>
                <w:sz w:val="20"/>
                <w:szCs w:val="20"/>
                <w:color w:val="auto"/>
              </w:rPr>
            </w:pPr>
            <w:r>
              <w:rPr>
                <w:rFonts w:ascii="Arial" w:cs="Arial" w:eastAsia="Arial" w:hAnsi="Arial"/>
                <w:sz w:val="16"/>
                <w:szCs w:val="16"/>
                <w:b w:val="1"/>
                <w:bCs w:val="1"/>
                <w:color w:val="auto"/>
              </w:rPr>
              <w:t>Borrowing Base</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8"/>
                <w:szCs w:val="18"/>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b w:val="1"/>
                <w:bCs w:val="1"/>
                <w:color w:val="auto"/>
                <w:w w:val="98"/>
              </w:rPr>
              <w:t>Line Cap -Lesser of Borrowing Base &amp; Commitments (A)</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Principal Outstanding</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Letters of Credit (A)</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6"/>
                <w:szCs w:val="16"/>
                <w:color w:val="auto"/>
                <w:w w:val="85"/>
              </w:rPr>
              <w:t>See below</w:t>
            </w:r>
          </w:p>
        </w:tc>
      </w:tr>
      <w:tr>
        <w:trPr>
          <w:trHeight w:val="213"/>
        </w:trPr>
        <w:tc>
          <w:tcPr>
            <w:tcW w:w="4240" w:type="dxa"/>
            <w:vAlign w:val="bottom"/>
          </w:tcPr>
          <w:p>
            <w:pPr>
              <w:spacing w:after="0"/>
              <w:rPr>
                <w:sz w:val="20"/>
                <w:szCs w:val="20"/>
                <w:color w:val="auto"/>
              </w:rPr>
            </w:pPr>
            <w:r>
              <w:rPr>
                <w:rFonts w:ascii="Arial" w:cs="Arial" w:eastAsia="Arial" w:hAnsi="Arial"/>
                <w:sz w:val="16"/>
                <w:szCs w:val="16"/>
                <w:b w:val="1"/>
                <w:bCs w:val="1"/>
                <w:color w:val="auto"/>
              </w:rPr>
              <w:t>Excess Availability</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w:t>
            </w:r>
          </w:p>
        </w:tc>
        <w:tc>
          <w:tcPr>
            <w:tcW w:w="760" w:type="dxa"/>
            <w:vAlign w:val="bottom"/>
          </w:tcPr>
          <w:p>
            <w:pPr>
              <w:spacing w:after="0"/>
              <w:rPr>
                <w:sz w:val="18"/>
                <w:szCs w:val="18"/>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 to exceed $150,000,000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Letters of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Secured Agreements 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BoA</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color w:val="auto"/>
        </w:rPr>
        <w:t>$-</w:t>
      </w:r>
    </w:p>
    <w:p>
      <w:pPr>
        <w:spacing w:after="0" w:line="226"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The company named in the box above labeled “Company Name” (the “Company”), by its duly authorized officer signing below, hereby certifies that (a) the information set forth in this certificate is true and correct as of the date(s) indicated herein and (b) the Company is in compliance with all terms and provisions contained in (i) the loan or other agreement between the Company and Bank of America NA pursuant to which this certificate is delivered (the “Agreement”) and (ii) any and all documents, instruments and agreements evidencing, governing or securing the Agreement or otherwise executed in connection therewith.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Prepared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12065</wp:posOffset>
            </wp:positionV>
            <wp:extent cx="18034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03400" cy="825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Matthew C. Ebersold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12065</wp:posOffset>
            </wp:positionV>
            <wp:extent cx="18034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03400" cy="825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William G. Love</w:t>
      </w:r>
    </w:p>
    <w:p>
      <w:pPr>
        <w:spacing w:after="0" w:line="220" w:lineRule="exact"/>
        <w:rPr>
          <w:sz w:val="20"/>
          <w:szCs w:val="20"/>
          <w:color w:val="auto"/>
        </w:rPr>
      </w:pPr>
    </w:p>
    <w:p>
      <w:pPr>
        <w:ind w:right="440" w:firstLine="1559"/>
        <w:spacing w:after="0" w:line="331" w:lineRule="auto"/>
        <w:tabs>
          <w:tab w:leader="none" w:pos="180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this document is being transmitted electronically, the Borrower acknowledges that by entering the name of its duly authorized officer on the Certificate, that officer has reviewed the Certificate and affirmed the representations, warranties and certifications referenced above.</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Form of Borrowing Base Certificate (Kodak)_V_2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29043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Eastman Kodak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Accounts Receivable Availability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2"/>
          </w:tcPr>
          <w:p>
            <w:pPr>
              <w:jc w:val="center"/>
              <w:ind w:right="2600"/>
              <w:spacing w:after="0"/>
              <w:rPr>
                <w:sz w:val="20"/>
                <w:szCs w:val="20"/>
                <w:color w:val="auto"/>
              </w:rPr>
            </w:pPr>
            <w:r>
              <w:rPr>
                <w:rFonts w:ascii="Arial" w:cs="Arial" w:eastAsia="Arial" w:hAnsi="Arial"/>
                <w:sz w:val="14"/>
                <w:szCs w:val="14"/>
                <w:b w:val="1"/>
                <w:bCs w:val="1"/>
                <w:color w:val="auto"/>
                <w:w w:val="91"/>
              </w:rPr>
              <w:t>U.S. Operations</w:t>
            </w:r>
          </w:p>
        </w:tc>
        <w:tc>
          <w:tcPr>
            <w:tcW w:w="0" w:type="dxa"/>
            <w:vAlign w:val="bottom"/>
          </w:tcPr>
          <w:p>
            <w:pPr>
              <w:spacing w:after="0"/>
              <w:rPr>
                <w:sz w:val="1"/>
                <w:szCs w:val="1"/>
                <w:color w:val="auto"/>
              </w:rPr>
            </w:pPr>
          </w:p>
        </w:tc>
      </w:tr>
      <w:tr>
        <w:trPr>
          <w:trHeight w:val="169"/>
        </w:trPr>
        <w:tc>
          <w:tcPr>
            <w:tcW w:w="7560" w:type="dxa"/>
            <w:vAlign w:val="bottom"/>
            <w:vMerge w:val="restart"/>
          </w:tcPr>
          <w:p>
            <w:pPr>
              <w:ind w:left="2300"/>
              <w:spacing w:after="0"/>
              <w:rPr>
                <w:sz w:val="20"/>
                <w:szCs w:val="20"/>
                <w:color w:val="auto"/>
              </w:rPr>
            </w:pPr>
            <w:r>
              <w:rPr>
                <w:rFonts w:ascii="Arial" w:cs="Arial" w:eastAsia="Arial" w:hAnsi="Arial"/>
                <w:sz w:val="18"/>
                <w:szCs w:val="18"/>
                <w:color w:val="auto"/>
              </w:rPr>
              <w:t>Gross Accounts Receivable per Aging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2"/>
          </w:tcPr>
          <w:p>
            <w:pPr>
              <w:jc w:val="center"/>
              <w:ind w:right="2600"/>
              <w:spacing w:after="0"/>
              <w:rPr>
                <w:sz w:val="20"/>
                <w:szCs w:val="20"/>
                <w:color w:val="auto"/>
              </w:rPr>
            </w:pPr>
            <w:r>
              <w:rPr>
                <w:rFonts w:ascii="Arial" w:cs="Arial" w:eastAsia="Arial" w:hAnsi="Arial"/>
                <w:sz w:val="14"/>
                <w:szCs w:val="14"/>
                <w:b w:val="1"/>
                <w:bCs w:val="1"/>
                <w:color w:val="auto"/>
                <w:w w:val="97"/>
              </w:rPr>
              <w:t>SAP</w:t>
            </w:r>
          </w:p>
        </w:tc>
        <w:tc>
          <w:tcPr>
            <w:tcW w:w="0" w:type="dxa"/>
            <w:vAlign w:val="bottom"/>
          </w:tcPr>
          <w:p>
            <w:pPr>
              <w:spacing w:after="0"/>
              <w:rPr>
                <w:sz w:val="1"/>
                <w:szCs w:val="1"/>
                <w:color w:val="auto"/>
              </w:rPr>
            </w:pPr>
          </w:p>
        </w:tc>
      </w:tr>
      <w:tr>
        <w:trPr>
          <w:trHeight w:val="219"/>
        </w:trPr>
        <w:tc>
          <w:tcPr>
            <w:tcW w:w="7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300"/>
              <w:spacing w:after="0"/>
              <w:rPr>
                <w:sz w:val="20"/>
                <w:szCs w:val="20"/>
                <w:color w:val="auto"/>
              </w:rPr>
            </w:pPr>
            <w:r>
              <w:rPr>
                <w:rFonts w:ascii="Arial" w:cs="Arial" w:eastAsia="Arial" w:hAnsi="Arial"/>
                <w:sz w:val="18"/>
                <w:szCs w:val="18"/>
                <w:color w:val="auto"/>
              </w:rPr>
              <w:t>AR Assigned to PI &amp; DI BUs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300"/>
              <w:spacing w:after="0"/>
              <w:rPr>
                <w:sz w:val="20"/>
                <w:szCs w:val="20"/>
                <w:color w:val="auto"/>
              </w:rPr>
            </w:pPr>
            <w:r>
              <w:rPr>
                <w:rFonts w:ascii="Arial" w:cs="Arial" w:eastAsia="Arial" w:hAnsi="Arial"/>
                <w:sz w:val="18"/>
                <w:szCs w:val="18"/>
                <w:color w:val="auto"/>
              </w:rPr>
              <w:t>Adjusted Gross AR for BBC Reporting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0"/>
        </w:trPr>
        <w:tc>
          <w:tcPr>
            <w:tcW w:w="7560" w:type="dxa"/>
            <w:vAlign w:val="bottom"/>
          </w:tcPr>
          <w:p>
            <w:pPr>
              <w:ind w:left="2300"/>
              <w:spacing w:after="0"/>
              <w:rPr>
                <w:sz w:val="20"/>
                <w:szCs w:val="20"/>
                <w:color w:val="auto"/>
              </w:rPr>
            </w:pPr>
            <w:r>
              <w:rPr>
                <w:rFonts w:ascii="Arial" w:cs="Arial" w:eastAsia="Arial" w:hAnsi="Arial"/>
                <w:sz w:val="18"/>
                <w:szCs w:val="18"/>
                <w:color w:val="auto"/>
              </w:rPr>
              <w:t>Ineligibles (based on Commercial Imaging AR only) –</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Receivables more than 60 Days Past Due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Credits over 60 Days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Cross-Aging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Long-term payment arrangements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Bankruptcy/Legal &amp; Spec Collections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Non Current Receivables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Intercompany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Rebates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Studio Print Film Rebates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Contras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Foreign Accounts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U.S. Government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Payments Not Posted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Customer Down Payments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660"/>
              <w:spacing w:after="0"/>
              <w:rPr>
                <w:sz w:val="20"/>
                <w:szCs w:val="20"/>
                <w:color w:val="auto"/>
              </w:rPr>
            </w:pPr>
            <w:r>
              <w:rPr>
                <w:rFonts w:ascii="Arial" w:cs="Arial" w:eastAsia="Arial" w:hAnsi="Arial"/>
                <w:sz w:val="18"/>
                <w:szCs w:val="18"/>
                <w:color w:val="auto"/>
              </w:rPr>
              <w:t>Reserves Based on the Effective Advance Rate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Pr>
          <w:p>
            <w:pPr>
              <w:ind w:left="2300"/>
              <w:spacing w:after="0"/>
              <w:rPr>
                <w:sz w:val="20"/>
                <w:szCs w:val="20"/>
                <w:color w:val="auto"/>
              </w:rPr>
            </w:pPr>
            <w:r>
              <w:rPr>
                <w:rFonts w:ascii="Arial" w:cs="Arial" w:eastAsia="Arial" w:hAnsi="Arial"/>
                <w:sz w:val="18"/>
                <w:szCs w:val="18"/>
                <w:color w:val="auto"/>
              </w:rPr>
              <w:t>Total Ineligibles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560" w:type="dxa"/>
            <w:vAlign w:val="bottom"/>
            <w:gridSpan w:val="2"/>
          </w:tcPr>
          <w:p>
            <w:pPr>
              <w:jc w:val="right"/>
              <w:ind w:right="2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560" w:type="dxa"/>
            <w:vAlign w:val="bottom"/>
          </w:tcPr>
          <w:p>
            <w:pPr>
              <w:ind w:left="2300"/>
              <w:spacing w:after="0"/>
              <w:rPr>
                <w:sz w:val="20"/>
                <w:szCs w:val="20"/>
                <w:color w:val="auto"/>
              </w:rPr>
            </w:pPr>
            <w:r>
              <w:rPr>
                <w:rFonts w:ascii="Arial" w:cs="Arial" w:eastAsia="Arial" w:hAnsi="Arial"/>
                <w:sz w:val="18"/>
                <w:szCs w:val="18"/>
                <w:color w:val="auto"/>
              </w:rPr>
              <w:t>Eligible Accounts Receivable</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300"/>
              <w:spacing w:after="0"/>
              <w:rPr>
                <w:sz w:val="20"/>
                <w:szCs w:val="20"/>
                <w:color w:val="auto"/>
              </w:rPr>
            </w:pPr>
            <w:r>
              <w:rPr>
                <w:rFonts w:ascii="Arial" w:cs="Arial" w:eastAsia="Arial" w:hAnsi="Arial"/>
                <w:sz w:val="18"/>
                <w:szCs w:val="18"/>
                <w:color w:val="auto"/>
              </w:rPr>
              <w:t>Concentration Reserve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2300"/>
              <w:spacing w:after="0"/>
              <w:rPr>
                <w:sz w:val="20"/>
                <w:szCs w:val="20"/>
                <w:color w:val="auto"/>
              </w:rPr>
            </w:pPr>
            <w:r>
              <w:rPr>
                <w:rFonts w:ascii="Arial" w:cs="Arial" w:eastAsia="Arial" w:hAnsi="Arial"/>
                <w:sz w:val="18"/>
                <w:szCs w:val="18"/>
                <w:color w:val="auto"/>
              </w:rPr>
              <w:t>Eligible AR after Concentration Reserve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560" w:type="dxa"/>
            <w:vAlign w:val="bottom"/>
            <w:gridSpan w:val="2"/>
          </w:tcPr>
          <w:p>
            <w:pPr>
              <w:jc w:val="right"/>
              <w:ind w:right="2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560" w:type="dxa"/>
            <w:vAlign w:val="bottom"/>
          </w:tcPr>
          <w:p>
            <w:pPr>
              <w:ind w:left="2300"/>
              <w:spacing w:after="0"/>
              <w:rPr>
                <w:sz w:val="20"/>
                <w:szCs w:val="20"/>
                <w:color w:val="auto"/>
              </w:rPr>
            </w:pPr>
            <w:r>
              <w:rPr>
                <w:rFonts w:ascii="Arial" w:cs="Arial" w:eastAsia="Arial" w:hAnsi="Arial"/>
                <w:sz w:val="18"/>
                <w:szCs w:val="18"/>
                <w:color w:val="auto"/>
              </w:rPr>
              <w:t>Advance Rate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jc w:val="right"/>
              <w:ind w:right="23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2300"/>
              <w:spacing w:after="0"/>
              <w:rPr>
                <w:sz w:val="20"/>
                <w:szCs w:val="20"/>
                <w:color w:val="auto"/>
              </w:rPr>
            </w:pPr>
            <w:r>
              <w:rPr>
                <w:rFonts w:ascii="Arial" w:cs="Arial" w:eastAsia="Arial" w:hAnsi="Arial"/>
                <w:sz w:val="18"/>
                <w:szCs w:val="18"/>
                <w:color w:val="auto"/>
              </w:rPr>
              <w:t>Gross Availability</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56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560" w:type="dxa"/>
            <w:vAlign w:val="bottom"/>
            <w:gridSpan w:val="2"/>
          </w:tcPr>
          <w:p>
            <w:pPr>
              <w:jc w:val="right"/>
              <w:ind w:right="2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560" w:type="dxa"/>
            <w:vAlign w:val="bottom"/>
          </w:tcPr>
          <w:p>
            <w:pPr>
              <w:ind w:left="2300"/>
              <w:spacing w:after="0"/>
              <w:rPr>
                <w:sz w:val="20"/>
                <w:szCs w:val="20"/>
                <w:color w:val="auto"/>
              </w:rPr>
            </w:pPr>
            <w:r>
              <w:rPr>
                <w:rFonts w:ascii="Arial" w:cs="Arial" w:eastAsia="Arial" w:hAnsi="Arial"/>
                <w:sz w:val="18"/>
                <w:szCs w:val="18"/>
                <w:color w:val="auto"/>
              </w:rPr>
              <w:t>Dilution Reserve</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60" w:type="dxa"/>
            <w:vAlign w:val="bottom"/>
          </w:tcPr>
          <w:p>
            <w:pPr>
              <w:ind w:left="2300"/>
              <w:spacing w:after="0"/>
              <w:rPr>
                <w:sz w:val="20"/>
                <w:szCs w:val="20"/>
                <w:color w:val="auto"/>
              </w:rPr>
            </w:pPr>
            <w:r>
              <w:rPr>
                <w:rFonts w:ascii="Arial" w:cs="Arial" w:eastAsia="Arial" w:hAnsi="Arial"/>
                <w:sz w:val="18"/>
                <w:szCs w:val="18"/>
                <w:b w:val="1"/>
                <w:bCs w:val="1"/>
                <w:color w:val="auto"/>
              </w:rPr>
              <w:t>Accounts Receivable Availability</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2300"/>
              <w:spacing w:after="0"/>
              <w:rPr>
                <w:sz w:val="20"/>
                <w:szCs w:val="20"/>
                <w:color w:val="auto"/>
              </w:rPr>
            </w:pPr>
            <w:r>
              <w:rPr>
                <w:rFonts w:ascii="Arial" w:cs="Arial" w:eastAsia="Arial" w:hAnsi="Arial"/>
                <w:sz w:val="18"/>
                <w:szCs w:val="18"/>
                <w:color w:val="auto"/>
              </w:rPr>
              <w:t>Dilution Reserve Percentage</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8"/>
                <w:szCs w:val="18"/>
                <w:color w:val="auto"/>
                <w:w w:val="95"/>
              </w:rPr>
              <w:t>[__]%</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6"/>
        </w:trPr>
        <w:tc>
          <w:tcPr>
            <w:tcW w:w="7560" w:type="dxa"/>
            <w:vAlign w:val="bottom"/>
          </w:tcPr>
          <w:p>
            <w:pPr>
              <w:ind w:left="4080"/>
              <w:spacing w:after="0"/>
              <w:rPr>
                <w:sz w:val="20"/>
                <w:szCs w:val="20"/>
                <w:color w:val="auto"/>
              </w:rPr>
            </w:pPr>
            <w:r>
              <w:rPr>
                <w:rFonts w:ascii="Arial" w:cs="Arial" w:eastAsia="Arial" w:hAnsi="Arial"/>
                <w:sz w:val="16"/>
                <w:szCs w:val="16"/>
                <w:color w:val="auto"/>
                <w:w w:val="99"/>
              </w:rPr>
              <w:t>Form of Borrowing Base Certificate (Kodak)_V_2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Eastman Kodak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Inventory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2"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United States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5080</wp:posOffset>
            </wp:positionV>
            <wp:extent cx="31584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4" w:lineRule="exact"/>
        <w:rPr>
          <w:sz w:val="20"/>
          <w:szCs w:val="20"/>
          <w:color w:val="auto"/>
        </w:rPr>
      </w:pPr>
    </w:p>
    <w:p>
      <w:pPr>
        <w:jc w:val="right"/>
        <w:spacing w:after="0"/>
        <w:tabs>
          <w:tab w:leader="none" w:pos="3200" w:val="left"/>
          <w:tab w:leader="none" w:pos="1900" w:val="left"/>
          <w:tab w:leader="none" w:pos="300" w:val="left"/>
        </w:tabs>
        <w:rPr>
          <w:sz w:val="20"/>
          <w:szCs w:val="20"/>
          <w:color w:val="auto"/>
        </w:rPr>
      </w:pPr>
      <w:r>
        <w:rPr>
          <w:rFonts w:ascii="Arial" w:cs="Arial" w:eastAsia="Arial" w:hAnsi="Arial"/>
          <w:sz w:val="14"/>
          <w:szCs w:val="14"/>
          <w:b w:val="1"/>
          <w:bCs w:val="1"/>
          <w:color w:val="auto"/>
        </w:rPr>
        <w:t>Raw Materials</w:t>
      </w:r>
      <w:r>
        <w:rPr>
          <w:sz w:val="20"/>
          <w:szCs w:val="20"/>
          <w:color w:val="auto"/>
        </w:rPr>
        <w:tab/>
      </w:r>
      <w:r>
        <w:rPr>
          <w:rFonts w:ascii="Arial" w:cs="Arial" w:eastAsia="Arial" w:hAnsi="Arial"/>
          <w:sz w:val="14"/>
          <w:szCs w:val="14"/>
          <w:b w:val="1"/>
          <w:bCs w:val="1"/>
          <w:color w:val="auto"/>
        </w:rPr>
        <w:t>Work-In-Process</w:t>
      </w:r>
      <w:r>
        <w:rPr>
          <w:sz w:val="20"/>
          <w:szCs w:val="20"/>
          <w:color w:val="auto"/>
        </w:rPr>
        <w:tab/>
      </w:r>
      <w:r>
        <w:rPr>
          <w:rFonts w:ascii="Arial" w:cs="Arial" w:eastAsia="Arial" w:hAnsi="Arial"/>
          <w:sz w:val="14"/>
          <w:szCs w:val="14"/>
          <w:b w:val="1"/>
          <w:bCs w:val="1"/>
          <w:color w:val="auto"/>
        </w:rPr>
        <w:t>Finished Goods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-1270</wp:posOffset>
            </wp:positionV>
            <wp:extent cx="31584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Gross Inventory</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Post Closing Adjustments</w:t>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Production Variances</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Ineligibles –</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Inventory Write-down</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Reserve for LCM</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Reserve for PMSI</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Off Site at Vendors</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Field Engineer Service Parts</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Virtual Inventory</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Customer Consignment</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Off Site at Foreign Vendors</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Supplies and Packaging</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Intransit</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Deferred COGS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12065</wp:posOffset>
            </wp:positionV>
            <wp:extent cx="31584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Sub-Total Ineligibles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12065</wp:posOffset>
            </wp:positionV>
            <wp:extent cx="31584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Eligible Inventory</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Advance Rates (at 85% of NOLV)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12065</wp:posOffset>
            </wp:positionV>
            <wp:extent cx="31584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Available at 85% of NOLV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168275</wp:posOffset>
            </wp:positionV>
            <wp:extent cx="7448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44855" cy="8255"/>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15875</wp:posOffset>
            </wp:positionV>
            <wp:extent cx="31584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25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Available at 75% of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168275</wp:posOffset>
            </wp:positionV>
            <wp:extent cx="7448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4485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15875</wp:posOffset>
            </wp:positionV>
            <wp:extent cx="7448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253" w:lineRule="exact"/>
        <w:rPr>
          <w:sz w:val="20"/>
          <w:szCs w:val="20"/>
          <w:color w:val="auto"/>
        </w:rPr>
      </w:pPr>
    </w:p>
    <w:p>
      <w:pPr>
        <w:jc w:val="center"/>
        <w:ind w:right="6720"/>
        <w:spacing w:after="0"/>
        <w:rPr>
          <w:sz w:val="20"/>
          <w:szCs w:val="20"/>
          <w:color w:val="auto"/>
        </w:rPr>
      </w:pPr>
      <w:r>
        <w:rPr>
          <w:rFonts w:ascii="Arial" w:cs="Arial" w:eastAsia="Arial" w:hAnsi="Arial"/>
          <w:sz w:val="18"/>
          <w:szCs w:val="18"/>
          <w:b w:val="1"/>
          <w:bCs w:val="1"/>
          <w:color w:val="auto"/>
        </w:rPr>
        <w:t>Lesser of 85% of NOLV and 75%</w:t>
      </w:r>
    </w:p>
    <w:p>
      <w:pPr>
        <w:spacing w:after="0" w:line="132" w:lineRule="exact"/>
        <w:rPr>
          <w:sz w:val="20"/>
          <w:szCs w:val="20"/>
          <w:color w:val="auto"/>
        </w:rPr>
      </w:pPr>
    </w:p>
    <w:p>
      <w:pPr>
        <w:jc w:val="center"/>
        <w:ind w:right="6720"/>
        <w:spacing w:after="0"/>
        <w:rPr>
          <w:sz w:val="20"/>
          <w:szCs w:val="20"/>
          <w:color w:val="auto"/>
        </w:rPr>
      </w:pPr>
      <w:r>
        <w:rPr>
          <w:rFonts w:ascii="Arial" w:cs="Arial" w:eastAsia="Arial" w:hAnsi="Arial"/>
          <w:sz w:val="16"/>
          <w:szCs w:val="16"/>
          <w:i w:val="1"/>
          <w:iCs w:val="1"/>
          <w:color w:val="auto"/>
        </w:rPr>
        <w:t>Advance Rates per the [June 2015 Hilco Appraisal]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Form of Borrowing Base Certificate (Kodak)_V_2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29043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420"/>
          </w:cols>
          <w:pgMar w:left="240" w:top="335" w:right="1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EXHIBIT G - FORM OF BANK</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PRODUCTS OBLIGATIONS AGREEMENT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BANK PRODUCT PROVIDER NOTICE</w:t>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As of ________ __, 20__</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Bank of America, N.A.,</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Agent for and on behalf of the Lenders referred to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Relationship Manager</w:t>
      </w:r>
    </w:p>
    <w:p>
      <w:pPr>
        <w:spacing w:after="0" w:line="22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Eastman Kodak Company – Amended and Restated Credit Agreement dated as of May 26,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320" w:firstLine="518"/>
        <w:spacing w:after="0" w:line="251" w:lineRule="auto"/>
        <w:rPr>
          <w:sz w:val="20"/>
          <w:szCs w:val="20"/>
          <w:color w:val="auto"/>
        </w:rPr>
      </w:pPr>
      <w:r>
        <w:rPr>
          <w:rFonts w:ascii="Arial" w:cs="Arial" w:eastAsia="Arial" w:hAnsi="Arial"/>
          <w:sz w:val="18"/>
          <w:szCs w:val="18"/>
          <w:color w:val="auto"/>
        </w:rPr>
        <w:t>Reference is made to that certain Amended and Restated Credit Agreement, dated as of May 26, 2016 (as the same now exists or may hereafter be further amended, amended and restated, modified, supplemented, extended, renewed, restated or replaced, the “Credit Agreement”), among Eastman Kodak Company (the “Borrower”), the Guarantors named therein, the Lenders named therein (each a “Lender” and collectively, “Lenders”) and Bank of America, N.A., as administrative agent and collateral agent for the Lenders (in such capacity, “Agent”), pursuant to which Agent and Lenders may make loans and advances and provide other financial accommodations to the Borrower. Capitalized terms not otherwise defined herein shall have the respective meanings given to them in the Credit Agreement.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________________</w:t>
      </w:r>
      <w:r>
        <w:rPr>
          <w:rFonts w:ascii="Arial" w:cs="Arial" w:eastAsia="Arial" w:hAnsi="Arial"/>
          <w:sz w:val="13"/>
          <w:szCs w:val="13"/>
          <w:color w:val="auto"/>
        </w:rPr>
        <w:t>15</w:t>
      </w:r>
      <w:r>
        <w:rPr>
          <w:rFonts w:ascii="Arial" w:cs="Arial" w:eastAsia="Arial" w:hAnsi="Arial"/>
          <w:sz w:val="16"/>
          <w:szCs w:val="16"/>
          <w:color w:val="auto"/>
        </w:rPr>
        <w:t>, in its capacity other than as a Lender (in such capacity, “Bank Product Provider”), has established a Bank Product consisting of</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r>
        <w:rPr>
          <w:rFonts w:ascii="Arial" w:cs="Arial" w:eastAsia="Arial" w:hAnsi="Arial"/>
          <w:sz w:val="13"/>
          <w:szCs w:val="13"/>
          <w:color w:val="auto"/>
        </w:rPr>
        <w:t>16</w:t>
      </w:r>
      <w:r>
        <w:rPr>
          <w:rFonts w:ascii="Arial" w:cs="Arial" w:eastAsia="Arial" w:hAnsi="Arial"/>
          <w:sz w:val="16"/>
          <w:szCs w:val="16"/>
          <w:color w:val="auto"/>
        </w:rPr>
        <w:t>with _________________</w:t>
      </w:r>
      <w:r>
        <w:rPr>
          <w:rFonts w:ascii="Arial" w:cs="Arial" w:eastAsia="Arial" w:hAnsi="Arial"/>
          <w:sz w:val="13"/>
          <w:szCs w:val="13"/>
          <w:color w:val="auto"/>
        </w:rPr>
        <w:t>17</w:t>
      </w:r>
      <w:r>
        <w:rPr>
          <w:rFonts w:ascii="Arial" w:cs="Arial" w:eastAsia="Arial" w:hAnsi="Arial"/>
          <w:sz w:val="16"/>
          <w:szCs w:val="16"/>
          <w:color w:val="auto"/>
        </w:rPr>
        <w:t>(the “Loan Party”), as set forth in the _________________</w:t>
      </w:r>
      <w:r>
        <w:rPr>
          <w:rFonts w:ascii="Arial" w:cs="Arial" w:eastAsia="Arial" w:hAnsi="Arial"/>
          <w:sz w:val="13"/>
          <w:szCs w:val="13"/>
          <w:color w:val="auto"/>
        </w:rPr>
        <w:t>18</w:t>
      </w:r>
      <w:r>
        <w:rPr>
          <w:rFonts w:ascii="Arial" w:cs="Arial" w:eastAsia="Arial" w:hAnsi="Arial"/>
          <w:sz w:val="16"/>
          <w:szCs w:val="16"/>
          <w:color w:val="auto"/>
        </w:rPr>
        <w:t>, dated as of __________, 20___, by and</w:t>
      </w:r>
    </w:p>
    <w:p>
      <w:pPr>
        <w:spacing w:after="0" w:line="29"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 xml:space="preserve">between Bank Product Provider and such Loan Party (as the same now exists or may hereafter be further amended, amended and restated, modified, supplemented, extended, renewed, restated or replaced, the “Specified Bank Product Agreement”).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sets forth, as of the date hereof, Bank Product Provider’s reasonable determination of the credit exposure (and mark-to-market exposure) of such Loan Party and its Subsidiaries in respect of the Bank Products provided by Bank Product Provider pursuant to the Specified Bank Product Agreement.</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Accordingly, the parties hereto confirm and agree with Agent as follows:</w:t>
      </w:r>
    </w:p>
    <w:p>
      <w:pPr>
        <w:spacing w:after="0" w:line="113" w:lineRule="exact"/>
        <w:rPr>
          <w:sz w:val="20"/>
          <w:szCs w:val="20"/>
          <w:color w:val="auto"/>
        </w:rPr>
      </w:pPr>
    </w:p>
    <w:p>
      <w:pPr>
        <w:ind w:right="60" w:firstLine="525"/>
        <w:spacing w:after="0" w:line="252" w:lineRule="auto"/>
        <w:tabs>
          <w:tab w:leader="none" w:pos="69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Borrower and Bank Product Provider intend that the obligations owing by the [Loan Party] to Bank Product Provider arising under or pursuant to the Specified Bank Product Agreement, whether now existing or hereafter arising (such obligations and amounts collectively, the “Specified Bank Product Obligations”) shall constitute “Bank Product Obligations” under the Credit Agreement and this Notice (“Notice”) shall serve as the notice required under the definition of the term “Bank Product Obligations” in the Credit Agreement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maximum amount of Specified Bank Product Obligations to be secured by the Collateral is $[___________].</w:t>
      </w:r>
    </w:p>
    <w:p>
      <w:pPr>
        <w:spacing w:after="0" w:line="86" w:lineRule="exact"/>
        <w:rPr>
          <w:rFonts w:ascii="Arial" w:cs="Arial" w:eastAsia="Arial" w:hAnsi="Arial"/>
          <w:sz w:val="18"/>
          <w:szCs w:val="18"/>
          <w:color w:val="auto"/>
        </w:rPr>
      </w:pPr>
    </w:p>
    <w:p>
      <w:pPr>
        <w:ind w:right="60" w:firstLine="525"/>
        <w:spacing w:after="0" w:line="267" w:lineRule="auto"/>
        <w:tabs>
          <w:tab w:leader="none" w:pos="69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Upon the acceptance by Agent of this Notice duly executed by Bank Product Provider and Borrower, the Specified Bank Product Obligations shall constitute Bank Product Obligations (which in turn shall constitute Obligations), subject to the other terms and conditions herein and in the Credit Agreement applicable to such Bank Product Obligations as from time to time in effect. In no event shall any of the Specified Bank Product Obligations secured by the Collateral, or the rights of Bank Product Provider to any proceeds of the Collateral or otherwise to any payment under the Credit Agreement or any of the other Loan Documents in respect of the Specified Bank Product Obligations be entitled to be paid or to receive cash collateral except in the order of priority set forth in Section 6.04 of the Credit Agreement. Bank Product Provider understands and agrees that its rights and benefits under the Loan Documents consist solely of being a beneficiary of the Liens on the Collateral granted to Agent for the benefit of Agent and the other Secured Parties under the Loan Documents and the right to share in proceeds of the Collateral to the extent set forth in the Credit Agreement.</w:t>
      </w:r>
    </w:p>
    <w:p>
      <w:pPr>
        <w:spacing w:after="0" w:line="121" w:lineRule="exact"/>
        <w:rPr>
          <w:sz w:val="20"/>
          <w:szCs w:val="20"/>
          <w:color w:val="auto"/>
        </w:rPr>
      </w:pPr>
    </w:p>
    <w:p>
      <w:pPr>
        <w:ind w:left="200" w:hanging="193"/>
        <w:spacing w:after="0"/>
        <w:tabs>
          <w:tab w:leader="none" w:pos="200" w:val="left"/>
        </w:tabs>
        <w:numPr>
          <w:ilvl w:val="0"/>
          <w:numId w:val="191"/>
        </w:numPr>
        <w:rPr>
          <w:rFonts w:ascii="Arial" w:cs="Arial" w:eastAsia="Arial" w:hAnsi="Arial"/>
          <w:sz w:val="15"/>
          <w:szCs w:val="15"/>
          <w:color w:val="auto"/>
        </w:rPr>
      </w:pPr>
      <w:r>
        <w:rPr>
          <w:rFonts w:ascii="Arial" w:cs="Arial" w:eastAsia="Arial" w:hAnsi="Arial"/>
          <w:sz w:val="14"/>
          <w:szCs w:val="14"/>
          <w:color w:val="auto"/>
        </w:rPr>
        <w:t>Insert name of Bank Product Provider.</w:t>
      </w:r>
    </w:p>
    <w:p>
      <w:pPr>
        <w:spacing w:after="0" w:line="38" w:lineRule="exact"/>
        <w:rPr>
          <w:rFonts w:ascii="Arial" w:cs="Arial" w:eastAsia="Arial" w:hAnsi="Arial"/>
          <w:sz w:val="15"/>
          <w:szCs w:val="15"/>
          <w:color w:val="auto"/>
        </w:rPr>
      </w:pPr>
    </w:p>
    <w:p>
      <w:pPr>
        <w:ind w:left="160" w:hanging="153"/>
        <w:spacing w:after="0"/>
        <w:tabs>
          <w:tab w:leader="none" w:pos="160" w:val="left"/>
        </w:tabs>
        <w:numPr>
          <w:ilvl w:val="0"/>
          <w:numId w:val="191"/>
        </w:numPr>
        <w:rPr>
          <w:rFonts w:ascii="Arial" w:cs="Arial" w:eastAsia="Arial" w:hAnsi="Arial"/>
          <w:sz w:val="12"/>
          <w:szCs w:val="12"/>
          <w:color w:val="auto"/>
        </w:rPr>
      </w:pPr>
      <w:r>
        <w:rPr>
          <w:rFonts w:ascii="Arial" w:cs="Arial" w:eastAsia="Arial" w:hAnsi="Arial"/>
          <w:sz w:val="14"/>
          <w:szCs w:val="14"/>
          <w:color w:val="auto"/>
        </w:rPr>
        <w:t>Insert description of Bank Product.</w:t>
      </w:r>
    </w:p>
    <w:p>
      <w:pPr>
        <w:ind w:left="160" w:hanging="153"/>
        <w:spacing w:after="0" w:line="218" w:lineRule="auto"/>
        <w:tabs>
          <w:tab w:leader="none" w:pos="160" w:val="left"/>
        </w:tabs>
        <w:numPr>
          <w:ilvl w:val="0"/>
          <w:numId w:val="191"/>
        </w:numPr>
        <w:rPr>
          <w:rFonts w:ascii="Arial" w:cs="Arial" w:eastAsia="Arial" w:hAnsi="Arial"/>
          <w:sz w:val="12"/>
          <w:szCs w:val="12"/>
          <w:color w:val="auto"/>
        </w:rPr>
      </w:pPr>
      <w:r>
        <w:rPr>
          <w:rFonts w:ascii="Arial" w:cs="Arial" w:eastAsia="Arial" w:hAnsi="Arial"/>
          <w:sz w:val="14"/>
          <w:szCs w:val="14"/>
          <w:color w:val="auto"/>
        </w:rPr>
        <w:t>Insert name of Loan Party that is obtaining such arrangements.</w:t>
      </w:r>
    </w:p>
    <w:p>
      <w:pPr>
        <w:ind w:left="160" w:hanging="153"/>
        <w:spacing w:after="0"/>
        <w:tabs>
          <w:tab w:leader="none" w:pos="160" w:val="left"/>
        </w:tabs>
        <w:numPr>
          <w:ilvl w:val="0"/>
          <w:numId w:val="191"/>
        </w:numPr>
        <w:rPr>
          <w:rFonts w:ascii="Arial" w:cs="Arial" w:eastAsia="Arial" w:hAnsi="Arial"/>
          <w:sz w:val="12"/>
          <w:szCs w:val="12"/>
          <w:color w:val="auto"/>
        </w:rPr>
      </w:pPr>
      <w:r>
        <w:rPr>
          <w:rFonts w:ascii="Arial" w:cs="Arial" w:eastAsia="Arial" w:hAnsi="Arial"/>
          <w:sz w:val="14"/>
          <w:szCs w:val="14"/>
          <w:color w:val="auto"/>
        </w:rPr>
        <w:t>Insert title of Bank Product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14478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5" w:name="page206"/>
    <w:bookmarkEnd w:id="205"/>
    <w:p>
      <w:pPr>
        <w:ind w:left="-40" w:firstLine="525"/>
        <w:spacing w:after="0" w:line="282" w:lineRule="auto"/>
        <w:tabs>
          <w:tab w:leader="none" w:pos="65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Bank Product Provider appoints Agent as agent solely for the purpose of acquiring, holding and enforcing any and all Liens on Collateral granted by any of the Loan Parties to secure the Specified Bank Product Obligations, together with such powers and discretion as are reasonably incidental thereto and in the same manner and on the same terms set forth in Article VIII of the Credit Agreement for a Lender and such Article VIII shall in all respects be applicable to the benefits of Agent with respect to Bank Product Provider in such capacity and Bank Product Provider agrees to be bound by such terms and conditions as applicable to a Lender, together with Sections 2.14, 8.05, 9.06, 9.09, 9.18 of the Credit Agreement and the Term Loan Intercreditor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no event shall Bank Product Provider in such capacity be deemed a Lender or Issuing Bank under the Credit Agreement or any of the other Loan Documents or, in its capacity as a Bank Product Provider, entitled to the benefits of a Lender or Issuing Bank thereunder. Without limiting the generality of the foregoing, Bank Product Provider agrees and shall be bound by Section 8.13 of the Credit Agreement. Except as otherwise expressly set forth herein or in any other Loan Document, Bank Product Provider shall not have any right to notice of any action or to consent to, direct or object to any action hereunder or under any other Loan Document or otherwise in respect of the Collateral (including the release or impairment of any Collateral) other than in its separate capacity as a Lender and, in such case, only to the extent expressly provided in the Loan Documents. Bank Product Provider authorizes and consents to the disclosure of any information concerning the Bank Products under the Specified Bank Product Agreement and the Specified Bank Product Obligations to any other Credit Party at any time and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no event shall such disclosure be deemed a representation or warranty by Agent of the accuracy or completeness of such information.</w:t>
      </w:r>
    </w:p>
    <w:p>
      <w:pPr>
        <w:spacing w:after="0" w:line="67" w:lineRule="exact"/>
        <w:rPr>
          <w:rFonts w:ascii="Arial" w:cs="Arial" w:eastAsia="Arial" w:hAnsi="Arial"/>
          <w:sz w:val="16"/>
          <w:szCs w:val="16"/>
          <w:color w:val="auto"/>
        </w:rPr>
      </w:pPr>
    </w:p>
    <w:p>
      <w:pPr>
        <w:ind w:left="-40" w:right="20" w:firstLine="525"/>
        <w:spacing w:after="0" w:line="285" w:lineRule="auto"/>
        <w:tabs>
          <w:tab w:leader="none" w:pos="65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Bank Product Provider acknowledges and agrees that Agent shall have the right (to the extent permitted pursuant to the Credit Agreement), but shall have no obligation to establish, maintain, adjust or terminate any Bank Product Reserves in respect of any of the Specified Bank Product Obligations and that if Bank Product Reserves are established there is no obligation of Agent to determine or insure whether the amount of any such reserve is appropriate or not (including whether it is sufficient in amount). Agent is hereby irrevocably authorized, subject to the provisions of the Credit Agreement, to establish and adjust such Bank Product Reserves without any inquiry as to the right or authority of Bank Product Provider or the accuracy of such information and Agent is and shall be fully protected in acting in accordance with the information provided to it by Bank Product Provider with respect to the Specified Bank Product Obligations without further inquiry. Nothing contained herein shall be construed as an assumption by Agent or any Lender of the obligations or liabilities of any Loan Party or any of its Affiliates to Bank Product Provider or any other person pursuant to the Specified Bank Product Agreement or otherwise.</w:t>
      </w:r>
    </w:p>
    <w:p>
      <w:pPr>
        <w:spacing w:after="0" w:line="65" w:lineRule="exact"/>
        <w:rPr>
          <w:rFonts w:ascii="Arial" w:cs="Arial" w:eastAsia="Arial" w:hAnsi="Arial"/>
          <w:sz w:val="16"/>
          <w:szCs w:val="16"/>
          <w:color w:val="auto"/>
        </w:rPr>
      </w:pPr>
    </w:p>
    <w:p>
      <w:pPr>
        <w:ind w:left="-40" w:firstLine="525"/>
        <w:spacing w:after="0" w:line="288" w:lineRule="auto"/>
        <w:tabs>
          <w:tab w:leader="none" w:pos="65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All notices and other communications provided for hereunder shall be given in the form and manner provided in Section 9.02 of the Credit Agreement, and, if to Bank Product Provider at its address set forth below its signature hereto. Agent and Lenders are relying upon this Notice. This Notice will be binding upon Bank Product Provider, Loan Parties and their respective successors and assigns and inure to the benefit of Agent and its successors and assigns. This Notice may not be amended, modified, supplemented or terminated orally or by course of conduct or otherwise but only by a written agreement signed by the parties hereto. This Notice shall be governed by and construed in accordance with the laws of the State of New York but excluding any principles of conflicts of laws or other rule of law that would cause the application of the law of any jurisdiction other than the laws of the State of New York.</w:t>
      </w:r>
    </w:p>
    <w:p>
      <w:pPr>
        <w:spacing w:after="0" w:line="62" w:lineRule="exact"/>
        <w:rPr>
          <w:rFonts w:ascii="Arial" w:cs="Arial" w:eastAsia="Arial" w:hAnsi="Arial"/>
          <w:sz w:val="16"/>
          <w:szCs w:val="16"/>
          <w:color w:val="auto"/>
        </w:rPr>
      </w:pPr>
    </w:p>
    <w:p>
      <w:pPr>
        <w:ind w:left="-40" w:right="640" w:firstLine="525"/>
        <w:spacing w:after="0" w:line="267" w:lineRule="auto"/>
        <w:tabs>
          <w:tab w:leader="none" w:pos="65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This Notice is being delivered to the Agent no later than ten (10) days following the later of the Closing Date or creation of the Bank Product specified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66675</wp:posOffset>
            </wp:positionV>
            <wp:extent cx="729043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80" w:top="447" w:right="279" w:bottom="1440" w:gutter="0" w:footer="0" w:header="0"/>
        </w:sectPr>
      </w:pPr>
    </w:p>
    <w:bookmarkStart w:id="206" w:name="page207"/>
    <w:bookmarkEnd w:id="206"/>
    <w:p>
      <w:pPr>
        <w:ind w:firstLine="518"/>
        <w:spacing w:after="0" w:line="254" w:lineRule="auto"/>
        <w:rPr>
          <w:sz w:val="20"/>
          <w:szCs w:val="20"/>
          <w:color w:val="auto"/>
        </w:rPr>
      </w:pPr>
      <w:r>
        <w:rPr>
          <w:rFonts w:ascii="Arial" w:cs="Arial" w:eastAsia="Arial" w:hAnsi="Arial"/>
          <w:sz w:val="18"/>
          <w:szCs w:val="18"/>
          <w:color w:val="auto"/>
        </w:rPr>
        <w:t>This Notice may be executed in any number of counterparts, but all of such counterparts shall together constitute but one and the same agreement. In making proof of this agreement, it shall not be necessary to produce or account for more than one counterpart thereof signed by each of the parties hereto. This Notice may be executed and delivered by telecopier or other electronic method of transmission (including by email with a “pdf”) with the same force and effect as if it were a manually executed and delivered counterpart.</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164465</wp:posOffset>
            </wp:positionV>
            <wp:extent cx="28962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12065</wp:posOffset>
            </wp:positionV>
            <wp:extent cx="24130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12065</wp:posOffset>
            </wp:positionV>
            <wp:extent cx="24130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299720</wp:posOffset>
            </wp:positionV>
            <wp:extent cx="24130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1300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155575</wp:posOffset>
            </wp:positionV>
            <wp:extent cx="24130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1300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12065</wp:posOffset>
            </wp:positionV>
            <wp:extent cx="24130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EASTMAN KODAK COMPANY</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12065</wp:posOffset>
            </wp:positionV>
            <wp:extent cx="24130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12065</wp:posOffset>
            </wp:positionV>
            <wp:extent cx="24130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12065</wp:posOffset>
            </wp:positionV>
            <wp:extent cx="259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12065</wp:posOffset>
            </wp:positionV>
            <wp:extent cx="259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7" w:name="page208"/>
    <w:bookmarkEnd w:id="207"/>
    <w:p>
      <w:pPr>
        <w:jc w:val="center"/>
        <w:ind w:right="-20"/>
        <w:spacing w:after="0"/>
        <w:rPr>
          <w:sz w:val="20"/>
          <w:szCs w:val="20"/>
          <w:color w:val="auto"/>
        </w:rPr>
      </w:pPr>
      <w:r>
        <w:rPr>
          <w:rFonts w:ascii="Arial" w:cs="Arial" w:eastAsia="Arial" w:hAnsi="Arial"/>
          <w:sz w:val="18"/>
          <w:szCs w:val="18"/>
          <w:color w:val="auto"/>
        </w:rPr>
        <w:t>Schedule 1</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color w:val="auto"/>
        </w:rPr>
        <w:t>EXHIBIT H - FORM OF COMPLIANCE CERTIFICATE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Borrower’s letterhead]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291465</wp:posOffset>
            </wp:positionV>
            <wp:extent cx="2701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0129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147320</wp:posOffset>
            </wp:positionV>
            <wp:extent cx="27012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12065</wp:posOffset>
            </wp:positionV>
            <wp:extent cx="222694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12065</wp:posOffset>
            </wp:positionV>
            <wp:extent cx="222694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13" w:lineRule="exact"/>
        <w:rPr>
          <w:sz w:val="20"/>
          <w:szCs w:val="20"/>
          <w:color w:val="auto"/>
        </w:rPr>
      </w:pPr>
    </w:p>
    <w:p>
      <w:pPr>
        <w:ind w:left="1560"/>
        <w:spacing w:after="0"/>
        <w:tabs>
          <w:tab w:leader="none" w:pos="2420" w:val="left"/>
          <w:tab w:leader="none" w:pos="5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Compliance Certificate dated [</w:t>
      </w:r>
      <w:r>
        <w:rPr>
          <w:sz w:val="20"/>
          <w:szCs w:val="20"/>
          <w:color w:val="auto"/>
        </w:rPr>
        <w:tab/>
      </w: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-12700</wp:posOffset>
            </wp:positionV>
            <wp:extent cx="20370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0370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Reference is hereby made to that certain Amended and Restated Credit Agreement, dated as of May 26, 2016 (as amended, restated, supplemented, or modified from time to time, the “Credit Agreement”), by and among the lenders party thereto (such lenders, together with their respective successors and assigns, are referred to hereinafter each individually as a “Lender” and collectively as the “Lenders”), Bank of America, N.A., as administrative agent and collateral agent for the Lenders (together with its successors and assigns in such capacity, “Agent”), Eastman Kodak Company (the “Borrower”) and certain of its subsidiaries. Capitalized terms used herein but not specifically defined herein shall have the meanings ascribed to them in the Credit Agreement.</w:t>
      </w:r>
    </w:p>
    <w:p>
      <w:pPr>
        <w:spacing w:after="0" w:line="165" w:lineRule="exact"/>
        <w:rPr>
          <w:sz w:val="20"/>
          <w:szCs w:val="20"/>
          <w:color w:val="auto"/>
        </w:rPr>
      </w:pPr>
    </w:p>
    <w:p>
      <w:pPr>
        <w:ind w:right="380" w:firstLine="518"/>
        <w:spacing w:after="0" w:line="25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5.01(h)</w:t>
      </w:r>
      <w:r>
        <w:rPr>
          <w:rFonts w:ascii="Arial" w:cs="Arial" w:eastAsia="Arial" w:hAnsi="Arial"/>
          <w:sz w:val="18"/>
          <w:szCs w:val="18"/>
          <w:color w:val="auto"/>
        </w:rPr>
        <w:t xml:space="preserve"> of the Credit Agreement, the undersigned Chief Financial Officer of the Borrower hereby certifies that Borrower and its Restricted Subsidiaries are [in compliance][not in compliance] with the covenant contained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of the Credit Agreement as demonstrated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color w:val="auto"/>
        </w:rPr>
        <w:t>IN WITNESS WHEREOF, this Compliance Certificate is executed by the undersigned this ______ day of _______________, 20__.</w:t>
      </w:r>
    </w:p>
    <w:p>
      <w:pPr>
        <w:spacing w:after="0" w:line="24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EASTMAN KODAK COMPANY</w:t>
      </w:r>
    </w:p>
    <w:p>
      <w:pPr>
        <w:spacing w:after="0" w:line="30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12065</wp:posOffset>
            </wp:positionV>
            <wp:extent cx="25317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12065</wp:posOffset>
            </wp:positionV>
            <wp:extent cx="25317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12065</wp:posOffset>
            </wp:positionV>
            <wp:extent cx="25317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66675</wp:posOffset>
            </wp:positionV>
            <wp:extent cx="729043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699"/>
          </w:cols>
          <w:pgMar w:left="760" w:top="340" w:right="1440" w:bottom="1440" w:gutter="0" w:footer="0" w:header="0"/>
        </w:sectPr>
      </w:pPr>
    </w:p>
    <w:bookmarkStart w:id="210" w:name="page211"/>
    <w:bookmarkEnd w:id="210"/>
    <w:p>
      <w:pPr>
        <w:jc w:val="right"/>
        <w:ind w:right="395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335"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color w:val="auto"/>
        </w:rPr>
        <w:t>EXHIBIT I - FORM OF RELEASE NOTICE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Agent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party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 the Credit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Attn: [________]</w:t>
      </w:r>
    </w:p>
    <w:p>
      <w:pPr>
        <w:spacing w:after="0" w:line="2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[Date]</w:t>
      </w:r>
    </w:p>
    <w:p>
      <w:pPr>
        <w:spacing w:after="0" w:line="22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518"/>
        <w:spacing w:after="0" w:line="285" w:lineRule="auto"/>
        <w:rPr>
          <w:sz w:val="20"/>
          <w:szCs w:val="20"/>
          <w:color w:val="auto"/>
        </w:rPr>
      </w:pPr>
      <w:r>
        <w:rPr>
          <w:rFonts w:ascii="Arial" w:cs="Arial" w:eastAsia="Arial" w:hAnsi="Arial"/>
          <w:sz w:val="16"/>
          <w:szCs w:val="16"/>
          <w:color w:val="auto"/>
        </w:rPr>
        <w:t>The undersigned, EASTMAN KODAK COMPANY, refers to the Amended and Restated Credit Agreement, dated as of May 26, 2016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undersigned, certain of its subsidiaries, the Lenders party thereto and Bank of America, N.A.,</w:t>
      </w:r>
    </w:p>
    <w:p>
      <w:pPr>
        <w:spacing w:after="0" w:line="1"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as Agent for said Lenders, and hereby requests that the Agent release cash deposited in account no.</w:t>
      </w:r>
      <w:r>
        <w:rPr>
          <w:sz w:val="20"/>
          <w:szCs w:val="20"/>
          <w:color w:val="auto"/>
        </w:rPr>
        <w:tab/>
      </w:r>
      <w:r>
        <w:rPr>
          <w:rFonts w:ascii="Arial" w:cs="Arial" w:eastAsia="Arial" w:hAnsi="Arial"/>
          <w:sz w:val="16"/>
          <w:szCs w:val="16"/>
          <w:color w:val="auto"/>
        </w:rPr>
        <w:t>maintained at Bank of America, N.A. (the</w:t>
      </w:r>
    </w:p>
    <w:p>
      <w:pPr>
        <w:spacing w:after="0" w:line="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Cash Account</w:t>
      </w:r>
      <w:r>
        <w:rPr>
          <w:rFonts w:ascii="Arial" w:cs="Arial" w:eastAsia="Arial" w:hAnsi="Arial"/>
          <w:sz w:val="18"/>
          <w:szCs w:val="18"/>
          <w:color w:val="auto"/>
        </w:rPr>
        <w:t>”), and in connection thereto sets forth below the information relating to such release (the “</w:t>
      </w:r>
      <w:r>
        <w:rPr>
          <w:rFonts w:ascii="Arial" w:cs="Arial" w:eastAsia="Arial" w:hAnsi="Arial"/>
          <w:sz w:val="18"/>
          <w:szCs w:val="18"/>
          <w:u w:val="single" w:color="auto"/>
          <w:color w:val="auto"/>
        </w:rPr>
        <w:t>Proposed Release</w:t>
      </w:r>
      <w:r>
        <w:rPr>
          <w:rFonts w:ascii="Arial" w:cs="Arial" w:eastAsia="Arial" w:hAnsi="Arial"/>
          <w:sz w:val="18"/>
          <w:szCs w:val="18"/>
          <w:color w:val="auto"/>
        </w:rPr>
        <w:t>”) (capitalized terms used, but not defined, in this Notice are used with the meaning ascribed thereto in the Credit Agreement):</w:t>
      </w:r>
    </w:p>
    <w:p>
      <w:pPr>
        <w:spacing w:after="0" w:line="84" w:lineRule="exact"/>
        <w:rPr>
          <w:sz w:val="20"/>
          <w:szCs w:val="20"/>
          <w:color w:val="auto"/>
        </w:rPr>
      </w:pPr>
    </w:p>
    <w:p>
      <w:pPr>
        <w:ind w:left="1780" w:hanging="221"/>
        <w:spacing w:after="0"/>
        <w:tabs>
          <w:tab w:leader="none" w:pos="17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Business Day of the Proposed Release is _____________, 20__.</w:t>
      </w:r>
    </w:p>
    <w:p>
      <w:pPr>
        <w:spacing w:after="0" w:line="113" w:lineRule="exact"/>
        <w:rPr>
          <w:rFonts w:ascii="Arial" w:cs="Arial" w:eastAsia="Arial" w:hAnsi="Arial"/>
          <w:sz w:val="18"/>
          <w:szCs w:val="18"/>
          <w:color w:val="auto"/>
        </w:rPr>
      </w:pPr>
    </w:p>
    <w:p>
      <w:pPr>
        <w:ind w:left="1820" w:hanging="261"/>
        <w:spacing w:after="0"/>
        <w:tabs>
          <w:tab w:leader="none" w:pos="18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amount of the Proposed Release is $______________.</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undersigned hereby certifies that the following statements will be true on the date of the Proposed Release and after giving effect thereto:</w:t>
      </w:r>
    </w:p>
    <w:p>
      <w:pPr>
        <w:spacing w:after="0" w:line="125" w:lineRule="exact"/>
        <w:rPr>
          <w:sz w:val="20"/>
          <w:szCs w:val="20"/>
          <w:color w:val="auto"/>
        </w:rPr>
      </w:pPr>
    </w:p>
    <w:p>
      <w:pPr>
        <w:ind w:left="820" w:hanging="295"/>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 Default or Event of Default exists or has occurred and is continuing; and</w:t>
      </w:r>
    </w:p>
    <w:p>
      <w:pPr>
        <w:spacing w:after="0" w:line="113" w:lineRule="exact"/>
        <w:rPr>
          <w:rFonts w:ascii="Arial" w:cs="Arial" w:eastAsia="Arial" w:hAnsi="Arial"/>
          <w:sz w:val="18"/>
          <w:szCs w:val="18"/>
          <w:color w:val="auto"/>
        </w:rPr>
      </w:pPr>
    </w:p>
    <w:p>
      <w:pPr>
        <w:ind w:left="800" w:hanging="275"/>
        <w:spacing w:after="0"/>
        <w:tabs>
          <w:tab w:leader="none" w:pos="8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 Overadvance exists.</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EASTMAN KODAK COMPANY</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12065</wp:posOffset>
            </wp:positionV>
            <wp:extent cx="25317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Accepted [and Approved] this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 day of _____________, 20__</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Agent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12065</wp:posOffset>
            </wp:positionV>
            <wp:extent cx="26841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t>EXHIBIT J - FORM OF SPECIFIED</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SECURED OBLIGATIONS AGREEMENT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SPECIFIED SECURED OBLIGATIONS PROVIDER NOTICE</w:t>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As of ________ __, 20__</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Bank of America, N.A.,</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Agent for and on behalf of the Lenders referred to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Attention: Relationship Manager</w:t>
      </w:r>
    </w:p>
    <w:p>
      <w:pPr>
        <w:spacing w:after="0" w:line="22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Re: Eastman Kodak Company – Amended and Restated Credit Agreement dated as of May 26,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right="320" w:firstLine="518"/>
        <w:spacing w:after="0" w:line="251" w:lineRule="auto"/>
        <w:rPr>
          <w:sz w:val="20"/>
          <w:szCs w:val="20"/>
          <w:color w:val="auto"/>
        </w:rPr>
      </w:pPr>
      <w:r>
        <w:rPr>
          <w:rFonts w:ascii="Arial" w:cs="Arial" w:eastAsia="Arial" w:hAnsi="Arial"/>
          <w:sz w:val="18"/>
          <w:szCs w:val="18"/>
          <w:color w:val="auto"/>
        </w:rPr>
        <w:t>Reference is made to that certain Amended and Restated Credit Agreement, dated as of May 26, 2016 (as the same now exists or may hereafter be further amended, amended and restated, modified, supplemented, extended, renewed, restated or replaced, the “Credit Agreement”), among Eastman Kodak Company (the “Borrower”), the Guarantors named therein, the Lenders named therein (each a “Lender” and collectively, “Lenders”) and Bank of America, N.A., as administrative agent and collateral agent for the Lenders (in such capacity, “Agent”), pursuant to which Agent and Lenders may make loans and advances and provide other financial accommodations to the Borrower. Capitalized terms not otherwise defined herein shall have the respective meanings given to them in the Credit Agreement.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________________</w:t>
      </w:r>
      <w:r>
        <w:rPr>
          <w:rFonts w:ascii="Arial" w:cs="Arial" w:eastAsia="Arial" w:hAnsi="Arial"/>
          <w:sz w:val="13"/>
          <w:szCs w:val="13"/>
          <w:color w:val="auto"/>
        </w:rPr>
        <w:t>19</w:t>
      </w:r>
      <w:r>
        <w:rPr>
          <w:rFonts w:ascii="Arial" w:cs="Arial" w:eastAsia="Arial" w:hAnsi="Arial"/>
          <w:sz w:val="16"/>
          <w:szCs w:val="16"/>
          <w:color w:val="auto"/>
        </w:rPr>
        <w:t>, in its capacity other than as a Lender (in such capacity, “Specified Secured Obligations Provider”), has established a Specified</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Secured Obligation consisting of ________________</w:t>
      </w:r>
      <w:r>
        <w:rPr>
          <w:rFonts w:ascii="Arial" w:cs="Arial" w:eastAsia="Arial" w:hAnsi="Arial"/>
          <w:sz w:val="13"/>
          <w:szCs w:val="13"/>
          <w:color w:val="auto"/>
        </w:rPr>
        <w:t>20</w:t>
      </w:r>
      <w:r>
        <w:rPr>
          <w:rFonts w:ascii="Arial" w:cs="Arial" w:eastAsia="Arial" w:hAnsi="Arial"/>
          <w:sz w:val="16"/>
          <w:szCs w:val="16"/>
          <w:color w:val="auto"/>
        </w:rPr>
        <w:t xml:space="preserve"> with ________________</w:t>
      </w:r>
      <w:r>
        <w:rPr>
          <w:rFonts w:ascii="Arial" w:cs="Arial" w:eastAsia="Arial" w:hAnsi="Arial"/>
          <w:sz w:val="13"/>
          <w:szCs w:val="13"/>
          <w:color w:val="auto"/>
        </w:rPr>
        <w:t>21</w:t>
      </w:r>
      <w:r>
        <w:rPr>
          <w:rFonts w:ascii="Arial" w:cs="Arial" w:eastAsia="Arial" w:hAnsi="Arial"/>
          <w:sz w:val="16"/>
          <w:szCs w:val="16"/>
          <w:color w:val="auto"/>
        </w:rPr>
        <w:t xml:space="preserve"> (the “Loan Party”), as set forth in the ________________</w:t>
      </w:r>
      <w:r>
        <w:rPr>
          <w:rFonts w:ascii="Arial" w:cs="Arial" w:eastAsia="Arial" w:hAnsi="Arial"/>
          <w:sz w:val="13"/>
          <w:szCs w:val="13"/>
          <w:color w:val="auto"/>
        </w:rPr>
        <w:t>22</w:t>
      </w:r>
      <w:r>
        <w:rPr>
          <w:rFonts w:ascii="Arial" w:cs="Arial" w:eastAsia="Arial" w:hAnsi="Arial"/>
          <w:sz w:val="16"/>
          <w:szCs w:val="16"/>
          <w:color w:val="auto"/>
        </w:rPr>
        <w:t>, dated as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___________, 20___, by and between Specified Secured Obligations Provider and such Loan Party (as the same now exists or may hereafter be further</w:t>
      </w:r>
    </w:p>
    <w:p>
      <w:pPr>
        <w:spacing w:after="0" w:line="29"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amended, modified, supplemented, extended, renewed, restated or replaced, the “Specified Secured Obligations Agreement”). Schedule 1 sets forth, as of the date hereof, Specified Secured Obligations Provider’s reasonable determination of the credit exposure (and mark-to-market exposure) of such Loan Party and its Subsidiaries in respect of the Specified Secured Obligations provided by Specified Secured Obligations Provider pursuant to the Specified Secured Obligations Agreement.</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Accordingly, the parties hereto confirm and agree with Agent as follows:</w:t>
      </w:r>
    </w:p>
    <w:p>
      <w:pPr>
        <w:spacing w:after="0" w:line="113" w:lineRule="exact"/>
        <w:rPr>
          <w:sz w:val="20"/>
          <w:szCs w:val="20"/>
          <w:color w:val="auto"/>
        </w:rPr>
      </w:pPr>
    </w:p>
    <w:p>
      <w:pPr>
        <w:ind w:right="60" w:firstLine="525"/>
        <w:spacing w:after="0" w:line="295" w:lineRule="auto"/>
        <w:tabs>
          <w:tab w:leader="none" w:pos="69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Borrower and Specified Secured Obligations Provider intend that the obligations owing by the [Loan Party] to Specified Secured Obligations Provider arising under or pursuant to the Specified Secured Obligations Agreement, whether now existing or hereafter arising (such obligations and amounts collectively, the “Specified Secured Obligations”) shall constitute “Specified Secured Obligations” under the Credit Agreement and this Notice (“Notice”) shall serve as the notice required under the definition of the term “Specified Secured Obligations” in the Credit Agreement for such purpose.</w:t>
      </w:r>
    </w:p>
    <w:p>
      <w:pPr>
        <w:spacing w:after="0" w:line="55" w:lineRule="exact"/>
        <w:rPr>
          <w:rFonts w:ascii="Arial" w:cs="Arial" w:eastAsia="Arial" w:hAnsi="Arial"/>
          <w:sz w:val="16"/>
          <w:szCs w:val="16"/>
          <w:color w:val="auto"/>
        </w:rPr>
      </w:pPr>
    </w:p>
    <w:p>
      <w:pPr>
        <w:ind w:right="20" w:firstLine="525"/>
        <w:spacing w:after="0" w:line="249" w:lineRule="auto"/>
        <w:tabs>
          <w:tab w:leader="none" w:pos="69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Upon the acceptance by Agent of this Notice duly executed by Specified Secured Obligations Provider and Borrower, the Specified Secured Obligations shall constitute “Specified Secured Obligation” under the Credit Agreement (which in turn shall constitute Obligations), subject to the other terms and conditions herein and in the Credit Agreement applicable to such Specified Secured Obligations as from time to time in effect. In no event shall any of the Specified Secured Obligations secured by the Collateral, or the rights of Specified Secured Obligations Provider to any proceeds of the Collateral or otherwise to any payment under the Credit Agreement or any of the other Loan Documents in respect of the Specified Secured Obligations be entitled to be paid or to receive cash collateral except in the order of priority set forth in Section 6.04 of the Credit Agreement. Specified Secured Obligations Provider understands and agrees that its rights and benefits under the Loan Documents consist solely of being a beneficiary of the Liens on the Collateral granted to Agent for the benefit of Agent and the other Secured Parties under the Loan Documents and the right to share in proceeds of the Collateral to the extent set forth in the Credit Agreement.</w:t>
      </w:r>
    </w:p>
    <w:p>
      <w:pPr>
        <w:spacing w:after="0" w:line="139" w:lineRule="exact"/>
        <w:rPr>
          <w:sz w:val="20"/>
          <w:szCs w:val="20"/>
          <w:color w:val="auto"/>
        </w:rPr>
      </w:pPr>
    </w:p>
    <w:p>
      <w:pPr>
        <w:ind w:left="160" w:hanging="153"/>
        <w:spacing w:after="0"/>
        <w:tabs>
          <w:tab w:leader="none" w:pos="160" w:val="left"/>
        </w:tabs>
        <w:numPr>
          <w:ilvl w:val="0"/>
          <w:numId w:val="196"/>
        </w:numPr>
        <w:rPr>
          <w:rFonts w:ascii="Arial" w:cs="Arial" w:eastAsia="Arial" w:hAnsi="Arial"/>
          <w:sz w:val="12"/>
          <w:szCs w:val="12"/>
          <w:color w:val="auto"/>
        </w:rPr>
      </w:pPr>
      <w:r>
        <w:rPr>
          <w:rFonts w:ascii="Arial" w:cs="Arial" w:eastAsia="Arial" w:hAnsi="Arial"/>
          <w:sz w:val="14"/>
          <w:szCs w:val="14"/>
          <w:color w:val="auto"/>
        </w:rPr>
        <w:t>Insert name of Specified Secured Obligations Provider.</w:t>
      </w:r>
    </w:p>
    <w:p>
      <w:pPr>
        <w:ind w:left="160" w:hanging="153"/>
        <w:spacing w:after="0" w:line="218" w:lineRule="auto"/>
        <w:tabs>
          <w:tab w:leader="none" w:pos="160" w:val="left"/>
        </w:tabs>
        <w:numPr>
          <w:ilvl w:val="0"/>
          <w:numId w:val="196"/>
        </w:numPr>
        <w:rPr>
          <w:rFonts w:ascii="Arial" w:cs="Arial" w:eastAsia="Arial" w:hAnsi="Arial"/>
          <w:sz w:val="12"/>
          <w:szCs w:val="12"/>
          <w:color w:val="auto"/>
        </w:rPr>
      </w:pPr>
      <w:r>
        <w:rPr>
          <w:rFonts w:ascii="Arial" w:cs="Arial" w:eastAsia="Arial" w:hAnsi="Arial"/>
          <w:sz w:val="14"/>
          <w:szCs w:val="14"/>
          <w:color w:val="auto"/>
        </w:rPr>
        <w:t>Insert description of Specified Secured Obligations.</w:t>
      </w:r>
    </w:p>
    <w:p>
      <w:pPr>
        <w:ind w:left="160" w:hanging="153"/>
        <w:spacing w:after="0" w:line="218" w:lineRule="auto"/>
        <w:tabs>
          <w:tab w:leader="none" w:pos="160" w:val="left"/>
        </w:tabs>
        <w:numPr>
          <w:ilvl w:val="0"/>
          <w:numId w:val="196"/>
        </w:numPr>
        <w:rPr>
          <w:rFonts w:ascii="Arial" w:cs="Arial" w:eastAsia="Arial" w:hAnsi="Arial"/>
          <w:sz w:val="12"/>
          <w:szCs w:val="12"/>
          <w:color w:val="auto"/>
        </w:rPr>
      </w:pPr>
      <w:r>
        <w:rPr>
          <w:rFonts w:ascii="Arial" w:cs="Arial" w:eastAsia="Arial" w:hAnsi="Arial"/>
          <w:sz w:val="14"/>
          <w:szCs w:val="14"/>
          <w:color w:val="auto"/>
        </w:rPr>
        <w:t>Insert name of Loan Party that is obtaining such arrangements.</w:t>
      </w:r>
    </w:p>
    <w:p>
      <w:pPr>
        <w:ind w:left="160" w:hanging="153"/>
        <w:spacing w:after="0"/>
        <w:tabs>
          <w:tab w:leader="none" w:pos="160" w:val="left"/>
        </w:tabs>
        <w:numPr>
          <w:ilvl w:val="0"/>
          <w:numId w:val="196"/>
        </w:numPr>
        <w:rPr>
          <w:rFonts w:ascii="Arial" w:cs="Arial" w:eastAsia="Arial" w:hAnsi="Arial"/>
          <w:sz w:val="12"/>
          <w:szCs w:val="12"/>
          <w:color w:val="auto"/>
        </w:rPr>
      </w:pPr>
      <w:r>
        <w:rPr>
          <w:rFonts w:ascii="Arial" w:cs="Arial" w:eastAsia="Arial" w:hAnsi="Arial"/>
          <w:sz w:val="14"/>
          <w:szCs w:val="14"/>
          <w:color w:val="auto"/>
        </w:rPr>
        <w:t>Insert title of Secured Obligations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-385445</wp:posOffset>
            </wp:positionV>
            <wp:extent cx="14478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4" w:name="page215"/>
    <w:bookmarkEnd w:id="214"/>
    <w:p>
      <w:pPr>
        <w:ind w:left="-20" w:right="40" w:firstLine="525"/>
        <w:spacing w:after="0" w:line="264" w:lineRule="auto"/>
        <w:tabs>
          <w:tab w:leader="none" w:pos="67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Specified Secured Obligations Provider appoints Agent as agent solely for the purpose of acquiring, holding and enforcing any and all Liens on Collateral granted by any of the Loan Parties to secure the Specified Secured Obligations, together with such powers and discretion as are reasonably incidental thereto and in the same manner and on the same terms set forth in Article VIII of the Credit Agreement for a Lender and such Article VIII shall in all respects be applicable to the benefits of Agent with respect to Specified Secured Obligations Provider in such capacity and Specified Secured Obligations Provider agrees to be bound by such terms and conditions as applicable to a Lender, together with Sections 2.14, 8.05, 9.06, 9.09, 9.18 of the Credit Agreement and the Term Loan Intercreditor Agreement; provided, that, in no event shall Specified Secured Obligations Provider in such capacity be deemed a Lender or Issuing Bank under the Credit Agreement or any of the other Loan Documents or, in its capacity as a Specified Secured Obligations Provider, entitled to the benefits of a Lender or Issuing Bank thereunder. Without limiting the generality of the foregoing, Specified Secured Obligations Provider agrees and shall be bound by Section 8.13 of the Credit Agreement. Except as otherwise expressly set forth herein or in any other Loan Document, Specified Secured Obligations Provider shall not have any right to notice of any action or to consent to, direct or object to any action hereunder or under any other Loan Document or otherwise in respect of the Collateral (including the release or impairment of any Collateral) other than in its separate capacity as a Lender and, in such case, only to the extent expressly provided in the Loan Documents. Specified Secured Obligations Provider authorizes and consents to the disclosure of any information concerning the Specified Secured Obligations under the Specified Secured Obligations Agreement and the Specified Secured Obligations to any other Credit Party at any time and from time to time; provided, that, in no event shall such disclosure be deemed a representation or warranty by Agent of the accuracy or completeness of such information.</w:t>
      </w:r>
    </w:p>
    <w:p>
      <w:pPr>
        <w:spacing w:after="0" w:line="81" w:lineRule="exact"/>
        <w:rPr>
          <w:rFonts w:ascii="Arial" w:cs="Arial" w:eastAsia="Arial" w:hAnsi="Arial"/>
          <w:sz w:val="17"/>
          <w:szCs w:val="17"/>
          <w:color w:val="auto"/>
        </w:rPr>
      </w:pPr>
    </w:p>
    <w:p>
      <w:pPr>
        <w:ind w:left="-20" w:right="160" w:firstLine="525"/>
        <w:spacing w:after="0" w:line="267" w:lineRule="auto"/>
        <w:tabs>
          <w:tab w:leader="none" w:pos="67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Agent shall have no obligation to calculate the amount due and payable with respect to any Specified Secured Obligations. On a monthly basis (not later than the 10th Business Day of each calendar month) or as more frequently as Agent shall request, the Specified Secured Obligations Provider agrees to provide Agent with a written report, in form and substance satisfactory to Agent, detailing Specified Secured Obligations Provider’s reasonable determination of the credit exposure (and mark-to-market exposure) of each Loan Party and its Subsidiaries in respect of the Specified Secured Obligations provided by Specified Secured Obligations Provider pursuant to the Specified Secured Obligations Agreements. If Agent does not receive such written report within the time period provided above, and until Agent receives such written report, Agent shall be entitled to assume that the reasonable determination of the credit exposure of each Loan Party and its Subsidiaries with respect to the Specified Secured Obligations provided pursuant to the Specified Secured Obligations Agreements is zero.</w:t>
      </w:r>
    </w:p>
    <w:p>
      <w:pPr>
        <w:spacing w:after="0" w:line="73" w:lineRule="exact"/>
        <w:rPr>
          <w:rFonts w:ascii="Arial" w:cs="Arial" w:eastAsia="Arial" w:hAnsi="Arial"/>
          <w:sz w:val="17"/>
          <w:szCs w:val="17"/>
          <w:color w:val="auto"/>
        </w:rPr>
      </w:pPr>
    </w:p>
    <w:p>
      <w:pPr>
        <w:ind w:left="-20" w:firstLine="525"/>
        <w:spacing w:after="0" w:line="281" w:lineRule="auto"/>
        <w:tabs>
          <w:tab w:leader="none" w:pos="67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Upon the request of Specified Secured Obligations Provider and the delivery to Agent of a written report, in form and substance satisfactory to Agent, detailing Specified Secured Obligations Provider’s reasonable determination of the credit exposure (and mark-to-market exposure) of each Loan Party and its Subsidiaries in respect of the Specified Secured Obligations provided by Specified Secured Obligations Provider pursuant to the Specified Secured Obligations Agreements, Agent will promptly establish reserves equal to the sum of all such credit exposure (and mark-to-market exposure); provided, that, the maximum amount of Specified Secured Obligations to be secured by the Collateral is $[____________]. Specified Secured Obligations Provider further acknowledges and agrees that Agent shall establish and maintain the reserves in respect of any of the Specified Secured Obligations arising out of the Specified Secured Obligations Agreements as determined pursuant to this agreement and that if reserves are established there is no obligation on the part of Agent to determine or insure whether the amount of any such reserve is appropriate or not. Specified Secured Obligations Provider acknowledges and agrees that Agent shall be entitled to rely on the information in the reports described above to establish the Specified Secured Obligations Reserve Amount in respect of the Specified Secured Obligations arising under the Specified Secured Obligations Agreements. Upon receipt of any request from the Specified Secured Obligations Provider, Agent shall increase or decrease the reserve as requested by Specified Secured Obligations Provider, provided, that, as of the date of any such increase and after giving effect thereto, the aggregate amount of the increase of any such reserve shall not result in (a) an Overadvance (as such term is defined in the Credit Agreement) or (b) the aggregate amount of all Reserves established or maintained in respect of Specified Secured Obligations described herein or in any other Specified Secured Obligations Provider Notice exceeding $25,000,000. Agent is hereby irrevocably authorized, subject to the provisions of the Credit Agreement, to comply with such request from Specified Secured Obligations Provider without any inquiry as to such Specified Secured Obligations Provider’s right or authority to request such increase or decrease as the case may be and Agent is and shall be fully protected in acting in accordance therewith.</w:t>
      </w:r>
    </w:p>
    <w:p>
      <w:pPr>
        <w:spacing w:after="0" w:line="73" w:lineRule="exact"/>
        <w:rPr>
          <w:rFonts w:ascii="Arial" w:cs="Arial" w:eastAsia="Arial" w:hAnsi="Arial"/>
          <w:sz w:val="16"/>
          <w:szCs w:val="16"/>
          <w:color w:val="auto"/>
        </w:rPr>
      </w:pPr>
    </w:p>
    <w:p>
      <w:pPr>
        <w:ind w:left="-20" w:firstLine="525"/>
        <w:spacing w:after="0" w:line="250" w:lineRule="auto"/>
        <w:tabs>
          <w:tab w:leader="none" w:pos="67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All notices and other communications provided for hereunder shall be given in the form and manner provided in Section 9.02 of the Credit Agreement, and, if to Specified Secured Obligations Provider at its address set forth below its signature hereto. Agent and Lenders are relying upon this Notice. This Notice will be binding upon Specified Secured Obligations Provider, Loan Parties and their respective successors and assigns and inure to the benefit of Agent and its successors and assigns. This Notice may not be amended, modified, supplemented or terminated orally or by course of conduct or otherwise but only by a written agreement signed by the parties hereto. This Notice shall be governed by and construed in accordance with the laws of the State of New York but excluding any principles of conflicts of laws or other rule of law that would cause the application of the law of any jurisdiction other than the laws of the State of New York.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66675</wp:posOffset>
            </wp:positionV>
            <wp:extent cx="729043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60" w:top="447" w:right="259" w:bottom="1440" w:gutter="0" w:footer="0" w:header="0"/>
        </w:sectPr>
      </w:pPr>
    </w:p>
    <w:bookmarkStart w:id="215" w:name="page216"/>
    <w:bookmarkEnd w:id="215"/>
    <w:p>
      <w:pPr>
        <w:ind w:firstLine="518"/>
        <w:spacing w:after="0" w:line="250" w:lineRule="auto"/>
        <w:rPr>
          <w:sz w:val="20"/>
          <w:szCs w:val="20"/>
          <w:color w:val="auto"/>
        </w:rPr>
      </w:pPr>
      <w:r>
        <w:rPr>
          <w:rFonts w:ascii="Arial" w:cs="Arial" w:eastAsia="Arial" w:hAnsi="Arial"/>
          <w:sz w:val="18"/>
          <w:szCs w:val="18"/>
          <w:color w:val="auto"/>
        </w:rPr>
        <w:t>This Notice may be executed in any number of counterparts, but all of such counterparts shall together constitute but one and the same agreement. In making proof of this agreement, it shall not be necessary to produce or account for more than one counterpart thereof signed by each of the parties hereto. This Notice may be executed and delivered by telecopier or other electronic method of transmission (including by email with a “pdf”) with the same force and effect as if it were a manually executed and delivered counterpart.</w:t>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157480</wp:posOffset>
            </wp:positionV>
            <wp:extent cx="28962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12065</wp:posOffset>
            </wp:positionV>
            <wp:extent cx="24047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12065</wp:posOffset>
            </wp:positionV>
            <wp:extent cx="24047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460375</wp:posOffset>
            </wp:positionV>
            <wp:extent cx="24047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04745" cy="825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299720</wp:posOffset>
            </wp:positionV>
            <wp:extent cx="24047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04745" cy="825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155575</wp:posOffset>
            </wp:positionV>
            <wp:extent cx="24047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04745" cy="825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12065</wp:posOffset>
            </wp:positionV>
            <wp:extent cx="240474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EASTMAN KODAK COMPANY</w:t>
      </w:r>
    </w:p>
    <w:p>
      <w:pPr>
        <w:spacing w:after="0" w:line="2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12065</wp:posOffset>
            </wp:positionV>
            <wp:extent cx="24047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12065</wp:posOffset>
            </wp:positionV>
            <wp:extent cx="24047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12065</wp:posOffset>
            </wp:positionV>
            <wp:extent cx="259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12065</wp:posOffset>
            </wp:positionV>
            <wp:extent cx="259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16" w:name="page217"/>
    <w:bookmarkEnd w:id="216"/>
    <w:p>
      <w:pPr>
        <w:jc w:val="center"/>
        <w:ind w:right="-20"/>
        <w:spacing w:after="0"/>
        <w:rPr>
          <w:sz w:val="20"/>
          <w:szCs w:val="20"/>
          <w:color w:val="auto"/>
        </w:rPr>
      </w:pPr>
      <w:r>
        <w:rPr>
          <w:rFonts w:ascii="Arial" w:cs="Arial" w:eastAsia="Arial" w:hAnsi="Arial"/>
          <w:sz w:val="18"/>
          <w:szCs w:val="18"/>
          <w:color w:val="auto"/>
        </w:rPr>
        <w:t>Schedule 1</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Methodology</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J-4</w:t>
      </w:r>
    </w:p>
    <w:p>
      <w:pPr>
        <w:sectPr>
          <w:pgSz w:w="11900" w:h="16838" w:orient="portrait"/>
          <w:cols w:equalWidth="0" w:num="1">
            <w:col w:w="9019"/>
          </w:cols>
          <w:pgMar w:left="1440" w:top="341"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SECURITY AGREEMENT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May 26,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From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Grantors referred to herein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Grantors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Agent</w:t>
      </w:r>
    </w:p>
    <w:p>
      <w:pPr>
        <w:spacing w:after="0" w:line="200" w:lineRule="exact"/>
        <w:rPr>
          <w:sz w:val="20"/>
          <w:szCs w:val="20"/>
          <w:color w:val="auto"/>
        </w:rPr>
      </w:pPr>
    </w:p>
    <w:p>
      <w:pPr>
        <w:spacing w:after="0" w:line="233" w:lineRule="exact"/>
        <w:rPr>
          <w:sz w:val="20"/>
          <w:szCs w:val="20"/>
          <w:color w:val="auto"/>
        </w:rPr>
      </w:pPr>
    </w:p>
    <w:p>
      <w:pPr>
        <w:jc w:val="both"/>
        <w:ind w:right="60" w:firstLine="7"/>
        <w:spacing w:after="0" w:line="279" w:lineRule="auto"/>
        <w:tabs>
          <w:tab w:leader="none" w:pos="31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has been omitted from public filing pursuant to a request for confidential treatment submitted to the U.S. Securities and Exchange Commission. The omitted information, which has been identified with the symbol “***,” has been filed separately with the U.S.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442595</wp:posOffset>
            </wp:positionV>
            <wp:extent cx="729043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784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0"/>
                <w:szCs w:val="20"/>
                <w:color w:val="auto"/>
              </w:rPr>
            </w:pPr>
          </w:p>
        </w:tc>
      </w:tr>
      <w:tr>
        <w:trPr>
          <w:trHeight w:val="416"/>
        </w:trPr>
        <w:tc>
          <w:tcPr>
            <w:tcW w:w="13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b w:val="1"/>
                <w:bCs w:val="1"/>
                <w:color w:val="auto"/>
              </w:rPr>
              <w:t>Page</w:t>
            </w: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Section 1.</w:t>
            </w:r>
          </w:p>
        </w:tc>
        <w:tc>
          <w:tcPr>
            <w:tcW w:w="7840" w:type="dxa"/>
            <w:vAlign w:val="bottom"/>
          </w:tcPr>
          <w:p>
            <w:pPr>
              <w:ind w:left="520"/>
              <w:spacing w:after="0"/>
              <w:rPr>
                <w:sz w:val="20"/>
                <w:szCs w:val="20"/>
                <w:color w:val="auto"/>
              </w:rPr>
            </w:pPr>
            <w:r>
              <w:rPr>
                <w:rFonts w:ascii="Arial" w:cs="Arial" w:eastAsia="Arial" w:hAnsi="Arial"/>
                <w:sz w:val="18"/>
                <w:szCs w:val="18"/>
                <w:color w:val="auto"/>
              </w:rPr>
              <w:t>Grant of Security</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w:t>
            </w:r>
          </w:p>
        </w:tc>
        <w:tc>
          <w:tcPr>
            <w:tcW w:w="7840" w:type="dxa"/>
            <w:vAlign w:val="bottom"/>
          </w:tcPr>
          <w:p>
            <w:pPr>
              <w:ind w:left="520"/>
              <w:spacing w:after="0"/>
              <w:rPr>
                <w:sz w:val="20"/>
                <w:szCs w:val="20"/>
                <w:color w:val="auto"/>
              </w:rPr>
            </w:pPr>
            <w:r>
              <w:rPr>
                <w:rFonts w:ascii="Arial" w:cs="Arial" w:eastAsia="Arial" w:hAnsi="Arial"/>
                <w:sz w:val="18"/>
                <w:szCs w:val="18"/>
                <w:color w:val="auto"/>
              </w:rPr>
              <w:t>Security for Obligations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3.</w:t>
            </w:r>
          </w:p>
        </w:tc>
        <w:tc>
          <w:tcPr>
            <w:tcW w:w="7840" w:type="dxa"/>
            <w:vAlign w:val="bottom"/>
          </w:tcPr>
          <w:p>
            <w:pPr>
              <w:ind w:left="520"/>
              <w:spacing w:after="0"/>
              <w:rPr>
                <w:sz w:val="20"/>
                <w:szCs w:val="20"/>
                <w:color w:val="auto"/>
              </w:rPr>
            </w:pPr>
            <w:r>
              <w:rPr>
                <w:rFonts w:ascii="Arial" w:cs="Arial" w:eastAsia="Arial" w:hAnsi="Arial"/>
                <w:sz w:val="18"/>
                <w:szCs w:val="18"/>
                <w:color w:val="auto"/>
              </w:rPr>
              <w:t>Grantors Remain Liable</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4.</w:t>
            </w:r>
          </w:p>
        </w:tc>
        <w:tc>
          <w:tcPr>
            <w:tcW w:w="7840" w:type="dxa"/>
            <w:vAlign w:val="bottom"/>
          </w:tcPr>
          <w:p>
            <w:pPr>
              <w:ind w:left="520"/>
              <w:spacing w:after="0"/>
              <w:rPr>
                <w:sz w:val="20"/>
                <w:szCs w:val="20"/>
                <w:color w:val="auto"/>
              </w:rPr>
            </w:pPr>
            <w:r>
              <w:rPr>
                <w:rFonts w:ascii="Arial" w:cs="Arial" w:eastAsia="Arial" w:hAnsi="Arial"/>
                <w:sz w:val="18"/>
                <w:szCs w:val="18"/>
                <w:color w:val="auto"/>
              </w:rPr>
              <w:t>Delivery and Control of Security Collateral</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5.</w:t>
            </w:r>
          </w:p>
        </w:tc>
        <w:tc>
          <w:tcPr>
            <w:tcW w:w="7840" w:type="dxa"/>
            <w:vAlign w:val="bottom"/>
          </w:tcPr>
          <w:p>
            <w:pPr>
              <w:ind w:left="520"/>
              <w:spacing w:after="0"/>
              <w:rPr>
                <w:sz w:val="20"/>
                <w:szCs w:val="20"/>
                <w:color w:val="auto"/>
              </w:rPr>
            </w:pPr>
            <w:r>
              <w:rPr>
                <w:rFonts w:ascii="Arial" w:cs="Arial" w:eastAsia="Arial" w:hAnsi="Arial"/>
                <w:sz w:val="18"/>
                <w:szCs w:val="18"/>
                <w:color w:val="auto"/>
              </w:rPr>
              <w:t>Delivery and Possession of Certain Cash Collateral</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6.</w:t>
            </w:r>
          </w:p>
        </w:tc>
        <w:tc>
          <w:tcPr>
            <w:tcW w:w="7840" w:type="dxa"/>
            <w:vAlign w:val="bottom"/>
          </w:tcPr>
          <w:p>
            <w:pPr>
              <w:ind w:left="520"/>
              <w:spacing w:after="0"/>
              <w:rPr>
                <w:sz w:val="20"/>
                <w:szCs w:val="20"/>
                <w:color w:val="auto"/>
              </w:rPr>
            </w:pPr>
            <w:r>
              <w:rPr>
                <w:rFonts w:ascii="Arial" w:cs="Arial" w:eastAsia="Arial" w:hAnsi="Arial"/>
                <w:sz w:val="18"/>
                <w:szCs w:val="18"/>
                <w:color w:val="auto"/>
              </w:rPr>
              <w:t>Representations and Warranties</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7.</w:t>
            </w:r>
          </w:p>
        </w:tc>
        <w:tc>
          <w:tcPr>
            <w:tcW w:w="7840" w:type="dxa"/>
            <w:vAlign w:val="bottom"/>
          </w:tcPr>
          <w:p>
            <w:pPr>
              <w:ind w:left="520"/>
              <w:spacing w:after="0"/>
              <w:rPr>
                <w:sz w:val="20"/>
                <w:szCs w:val="20"/>
                <w:color w:val="auto"/>
              </w:rPr>
            </w:pPr>
            <w:r>
              <w:rPr>
                <w:rFonts w:ascii="Arial" w:cs="Arial" w:eastAsia="Arial" w:hAnsi="Arial"/>
                <w:sz w:val="18"/>
                <w:szCs w:val="18"/>
                <w:color w:val="auto"/>
              </w:rPr>
              <w:t>Further Assurances</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8.</w:t>
            </w:r>
          </w:p>
        </w:tc>
        <w:tc>
          <w:tcPr>
            <w:tcW w:w="7840" w:type="dxa"/>
            <w:vAlign w:val="bottom"/>
          </w:tcPr>
          <w:p>
            <w:pPr>
              <w:ind w:left="520"/>
              <w:spacing w:after="0"/>
              <w:rPr>
                <w:sz w:val="20"/>
                <w:szCs w:val="20"/>
                <w:color w:val="auto"/>
              </w:rPr>
            </w:pPr>
            <w:r>
              <w:rPr>
                <w:rFonts w:ascii="Arial" w:cs="Arial" w:eastAsia="Arial" w:hAnsi="Arial"/>
                <w:sz w:val="18"/>
                <w:szCs w:val="18"/>
                <w:color w:val="auto"/>
              </w:rPr>
              <w:t>As to Equipment and Inventory</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9.</w:t>
            </w:r>
          </w:p>
        </w:tc>
        <w:tc>
          <w:tcPr>
            <w:tcW w:w="7840" w:type="dxa"/>
            <w:vAlign w:val="bottom"/>
          </w:tcPr>
          <w:p>
            <w:pPr>
              <w:ind w:left="520"/>
              <w:spacing w:after="0"/>
              <w:rPr>
                <w:sz w:val="20"/>
                <w:szCs w:val="20"/>
                <w:color w:val="auto"/>
              </w:rPr>
            </w:pPr>
            <w:r>
              <w:rPr>
                <w:rFonts w:ascii="Arial" w:cs="Arial" w:eastAsia="Arial" w:hAnsi="Arial"/>
                <w:sz w:val="18"/>
                <w:szCs w:val="18"/>
                <w:color w:val="auto"/>
              </w:rPr>
              <w:t>Insurance</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10.</w:t>
            </w:r>
          </w:p>
        </w:tc>
        <w:tc>
          <w:tcPr>
            <w:tcW w:w="7840" w:type="dxa"/>
            <w:vAlign w:val="bottom"/>
          </w:tcPr>
          <w:p>
            <w:pPr>
              <w:ind w:left="520"/>
              <w:spacing w:after="0"/>
              <w:rPr>
                <w:sz w:val="20"/>
                <w:szCs w:val="20"/>
                <w:color w:val="auto"/>
              </w:rPr>
            </w:pPr>
            <w:r>
              <w:rPr>
                <w:rFonts w:ascii="Arial" w:cs="Arial" w:eastAsia="Arial" w:hAnsi="Arial"/>
                <w:sz w:val="18"/>
                <w:szCs w:val="18"/>
                <w:color w:val="auto"/>
              </w:rPr>
              <w:t>Post-Closing Changes; Collections on Assigned Agreements and Receivables</w:t>
            </w:r>
          </w:p>
        </w:tc>
        <w:tc>
          <w:tcPr>
            <w:tcW w:w="2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11.</w:t>
            </w:r>
          </w:p>
        </w:tc>
        <w:tc>
          <w:tcPr>
            <w:tcW w:w="7840" w:type="dxa"/>
            <w:vAlign w:val="bottom"/>
          </w:tcPr>
          <w:p>
            <w:pPr>
              <w:ind w:left="520"/>
              <w:spacing w:after="0"/>
              <w:rPr>
                <w:sz w:val="20"/>
                <w:szCs w:val="20"/>
                <w:color w:val="auto"/>
              </w:rPr>
            </w:pPr>
            <w:r>
              <w:rPr>
                <w:rFonts w:ascii="Arial" w:cs="Arial" w:eastAsia="Arial" w:hAnsi="Arial"/>
                <w:sz w:val="18"/>
                <w:szCs w:val="18"/>
                <w:color w:val="auto"/>
              </w:rPr>
              <w:t>As to Intellectual Property Collateral</w:t>
            </w:r>
          </w:p>
        </w:tc>
        <w:tc>
          <w:tcPr>
            <w:tcW w:w="2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12.</w:t>
            </w:r>
          </w:p>
        </w:tc>
        <w:tc>
          <w:tcPr>
            <w:tcW w:w="7840" w:type="dxa"/>
            <w:vAlign w:val="bottom"/>
          </w:tcPr>
          <w:p>
            <w:pPr>
              <w:ind w:left="520"/>
              <w:spacing w:after="0"/>
              <w:rPr>
                <w:sz w:val="20"/>
                <w:szCs w:val="20"/>
                <w:color w:val="auto"/>
              </w:rPr>
            </w:pPr>
            <w:r>
              <w:rPr>
                <w:rFonts w:ascii="Arial" w:cs="Arial" w:eastAsia="Arial" w:hAnsi="Arial"/>
                <w:sz w:val="18"/>
                <w:szCs w:val="18"/>
                <w:color w:val="auto"/>
              </w:rPr>
              <w:t>Voting Rights; Dividends; Etc.</w:t>
            </w:r>
          </w:p>
        </w:tc>
        <w:tc>
          <w:tcPr>
            <w:tcW w:w="2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13.</w:t>
            </w:r>
          </w:p>
        </w:tc>
        <w:tc>
          <w:tcPr>
            <w:tcW w:w="7840" w:type="dxa"/>
            <w:vAlign w:val="bottom"/>
          </w:tcPr>
          <w:p>
            <w:pPr>
              <w:ind w:left="520"/>
              <w:spacing w:after="0"/>
              <w:rPr>
                <w:sz w:val="20"/>
                <w:szCs w:val="20"/>
                <w:color w:val="auto"/>
              </w:rPr>
            </w:pPr>
            <w:r>
              <w:rPr>
                <w:rFonts w:ascii="Arial" w:cs="Arial" w:eastAsia="Arial" w:hAnsi="Arial"/>
                <w:sz w:val="18"/>
                <w:szCs w:val="18"/>
                <w:color w:val="auto"/>
              </w:rPr>
              <w:t>As to the Assigned Agreements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14.</w:t>
            </w:r>
          </w:p>
        </w:tc>
        <w:tc>
          <w:tcPr>
            <w:tcW w:w="7840" w:type="dxa"/>
            <w:vAlign w:val="bottom"/>
          </w:tcPr>
          <w:p>
            <w:pPr>
              <w:ind w:left="520"/>
              <w:spacing w:after="0"/>
              <w:rPr>
                <w:sz w:val="20"/>
                <w:szCs w:val="20"/>
                <w:color w:val="auto"/>
              </w:rPr>
            </w:pPr>
            <w:r>
              <w:rPr>
                <w:rFonts w:ascii="Arial" w:cs="Arial" w:eastAsia="Arial" w:hAnsi="Arial"/>
                <w:sz w:val="18"/>
                <w:szCs w:val="18"/>
                <w:color w:val="auto"/>
              </w:rPr>
              <w:t>As to Letter-of-Credit Rights and Commercial Tort Claims</w:t>
            </w:r>
          </w:p>
        </w:tc>
        <w:tc>
          <w:tcPr>
            <w:tcW w:w="2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15.</w:t>
            </w:r>
          </w:p>
        </w:tc>
        <w:tc>
          <w:tcPr>
            <w:tcW w:w="7840" w:type="dxa"/>
            <w:vAlign w:val="bottom"/>
          </w:tcPr>
          <w:p>
            <w:pPr>
              <w:ind w:left="520"/>
              <w:spacing w:after="0"/>
              <w:rPr>
                <w:sz w:val="20"/>
                <w:szCs w:val="20"/>
                <w:color w:val="auto"/>
              </w:rPr>
            </w:pPr>
            <w:r>
              <w:rPr>
                <w:rFonts w:ascii="Arial" w:cs="Arial" w:eastAsia="Arial" w:hAnsi="Arial"/>
                <w:sz w:val="18"/>
                <w:szCs w:val="18"/>
                <w:color w:val="auto"/>
              </w:rPr>
              <w:t>Transfers and Other Liens; Additional Shares</w:t>
            </w:r>
          </w:p>
        </w:tc>
        <w:tc>
          <w:tcPr>
            <w:tcW w:w="2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16.</w:t>
            </w:r>
          </w:p>
        </w:tc>
        <w:tc>
          <w:tcPr>
            <w:tcW w:w="7840" w:type="dxa"/>
            <w:vAlign w:val="bottom"/>
          </w:tcPr>
          <w:p>
            <w:pPr>
              <w:ind w:left="520"/>
              <w:spacing w:after="0"/>
              <w:rPr>
                <w:sz w:val="20"/>
                <w:szCs w:val="20"/>
                <w:color w:val="auto"/>
              </w:rPr>
            </w:pPr>
            <w:r>
              <w:rPr>
                <w:rFonts w:ascii="Arial" w:cs="Arial" w:eastAsia="Arial" w:hAnsi="Arial"/>
                <w:sz w:val="18"/>
                <w:szCs w:val="18"/>
                <w:color w:val="auto"/>
              </w:rPr>
              <w:t>Agent Appointed Attorney in Fact</w:t>
            </w:r>
          </w:p>
        </w:tc>
        <w:tc>
          <w:tcPr>
            <w:tcW w:w="2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17.</w:t>
            </w:r>
          </w:p>
        </w:tc>
        <w:tc>
          <w:tcPr>
            <w:tcW w:w="7840" w:type="dxa"/>
            <w:vAlign w:val="bottom"/>
          </w:tcPr>
          <w:p>
            <w:pPr>
              <w:ind w:left="520"/>
              <w:spacing w:after="0"/>
              <w:rPr>
                <w:sz w:val="20"/>
                <w:szCs w:val="20"/>
                <w:color w:val="auto"/>
              </w:rPr>
            </w:pPr>
            <w:r>
              <w:rPr>
                <w:rFonts w:ascii="Arial" w:cs="Arial" w:eastAsia="Arial" w:hAnsi="Arial"/>
                <w:sz w:val="18"/>
                <w:szCs w:val="18"/>
                <w:color w:val="auto"/>
              </w:rPr>
              <w:t>Agent May Perform</w:t>
            </w:r>
          </w:p>
        </w:tc>
        <w:tc>
          <w:tcPr>
            <w:tcW w:w="2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18.</w:t>
            </w:r>
          </w:p>
        </w:tc>
        <w:tc>
          <w:tcPr>
            <w:tcW w:w="7840" w:type="dxa"/>
            <w:vAlign w:val="bottom"/>
          </w:tcPr>
          <w:p>
            <w:pPr>
              <w:ind w:left="520"/>
              <w:spacing w:after="0"/>
              <w:rPr>
                <w:sz w:val="20"/>
                <w:szCs w:val="20"/>
                <w:color w:val="auto"/>
              </w:rPr>
            </w:pPr>
            <w:r>
              <w:rPr>
                <w:rFonts w:ascii="Arial" w:cs="Arial" w:eastAsia="Arial" w:hAnsi="Arial"/>
                <w:sz w:val="18"/>
                <w:szCs w:val="18"/>
                <w:color w:val="auto"/>
              </w:rPr>
              <w:t>The Agent’s Duties</w:t>
            </w:r>
          </w:p>
        </w:tc>
        <w:tc>
          <w:tcPr>
            <w:tcW w:w="2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19.</w:t>
            </w:r>
          </w:p>
        </w:tc>
        <w:tc>
          <w:tcPr>
            <w:tcW w:w="7840" w:type="dxa"/>
            <w:vAlign w:val="bottom"/>
          </w:tcPr>
          <w:p>
            <w:pPr>
              <w:ind w:left="520"/>
              <w:spacing w:after="0"/>
              <w:rPr>
                <w:sz w:val="20"/>
                <w:szCs w:val="20"/>
                <w:color w:val="auto"/>
              </w:rPr>
            </w:pPr>
            <w:r>
              <w:rPr>
                <w:rFonts w:ascii="Arial" w:cs="Arial" w:eastAsia="Arial" w:hAnsi="Arial"/>
                <w:sz w:val="18"/>
                <w:szCs w:val="18"/>
                <w:color w:val="auto"/>
              </w:rPr>
              <w:t>Remedies</w:t>
            </w:r>
          </w:p>
        </w:tc>
        <w:tc>
          <w:tcPr>
            <w:tcW w:w="2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20.</w:t>
            </w:r>
          </w:p>
        </w:tc>
        <w:tc>
          <w:tcPr>
            <w:tcW w:w="7840" w:type="dxa"/>
            <w:vAlign w:val="bottom"/>
          </w:tcPr>
          <w:p>
            <w:pPr>
              <w:ind w:left="520"/>
              <w:spacing w:after="0"/>
              <w:rPr>
                <w:sz w:val="20"/>
                <w:szCs w:val="20"/>
                <w:color w:val="auto"/>
              </w:rPr>
            </w:pPr>
            <w:r>
              <w:rPr>
                <w:rFonts w:ascii="Arial" w:cs="Arial" w:eastAsia="Arial" w:hAnsi="Arial"/>
                <w:sz w:val="18"/>
                <w:szCs w:val="18"/>
                <w:color w:val="auto"/>
              </w:rPr>
              <w:t>Grant of Intellectual Property License</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21.</w:t>
            </w:r>
          </w:p>
        </w:tc>
        <w:tc>
          <w:tcPr>
            <w:tcW w:w="7840" w:type="dxa"/>
            <w:vAlign w:val="bottom"/>
          </w:tcPr>
          <w:p>
            <w:pPr>
              <w:ind w:left="520"/>
              <w:spacing w:after="0"/>
              <w:rPr>
                <w:sz w:val="20"/>
                <w:szCs w:val="20"/>
                <w:color w:val="auto"/>
              </w:rPr>
            </w:pPr>
            <w:r>
              <w:rPr>
                <w:rFonts w:ascii="Arial" w:cs="Arial" w:eastAsia="Arial" w:hAnsi="Arial"/>
                <w:sz w:val="18"/>
                <w:szCs w:val="18"/>
                <w:color w:val="auto"/>
              </w:rPr>
              <w:t>Indemnity and Expenses</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22.</w:t>
            </w:r>
          </w:p>
        </w:tc>
        <w:tc>
          <w:tcPr>
            <w:tcW w:w="7840" w:type="dxa"/>
            <w:vAlign w:val="bottom"/>
          </w:tcPr>
          <w:p>
            <w:pPr>
              <w:ind w:left="520"/>
              <w:spacing w:after="0"/>
              <w:rPr>
                <w:sz w:val="20"/>
                <w:szCs w:val="20"/>
                <w:color w:val="auto"/>
              </w:rPr>
            </w:pPr>
            <w:r>
              <w:rPr>
                <w:rFonts w:ascii="Arial" w:cs="Arial" w:eastAsia="Arial" w:hAnsi="Arial"/>
                <w:sz w:val="18"/>
                <w:szCs w:val="18"/>
                <w:color w:val="auto"/>
              </w:rPr>
              <w:t>Amendments; Waivers; Additional Grantors; Etc.</w:t>
            </w:r>
          </w:p>
        </w:tc>
        <w:tc>
          <w:tcPr>
            <w:tcW w:w="2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23.</w:t>
            </w:r>
          </w:p>
        </w:tc>
        <w:tc>
          <w:tcPr>
            <w:tcW w:w="7840" w:type="dxa"/>
            <w:vAlign w:val="bottom"/>
          </w:tcPr>
          <w:p>
            <w:pPr>
              <w:ind w:left="520"/>
              <w:spacing w:after="0"/>
              <w:rPr>
                <w:sz w:val="20"/>
                <w:szCs w:val="20"/>
                <w:color w:val="auto"/>
              </w:rPr>
            </w:pPr>
            <w:r>
              <w:rPr>
                <w:rFonts w:ascii="Arial" w:cs="Arial" w:eastAsia="Arial" w:hAnsi="Arial"/>
                <w:sz w:val="18"/>
                <w:szCs w:val="18"/>
                <w:color w:val="auto"/>
              </w:rPr>
              <w:t>Confidentiality; Notices; References</w:t>
            </w:r>
          </w:p>
        </w:tc>
        <w:tc>
          <w:tcPr>
            <w:tcW w:w="2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24.</w:t>
            </w:r>
          </w:p>
        </w:tc>
        <w:tc>
          <w:tcPr>
            <w:tcW w:w="7840" w:type="dxa"/>
            <w:vAlign w:val="bottom"/>
          </w:tcPr>
          <w:p>
            <w:pPr>
              <w:ind w:left="520"/>
              <w:spacing w:after="0"/>
              <w:rPr>
                <w:sz w:val="20"/>
                <w:szCs w:val="20"/>
                <w:color w:val="auto"/>
              </w:rPr>
            </w:pPr>
            <w:r>
              <w:rPr>
                <w:rFonts w:ascii="Arial" w:cs="Arial" w:eastAsia="Arial" w:hAnsi="Arial"/>
                <w:sz w:val="18"/>
                <w:szCs w:val="18"/>
                <w:color w:val="auto"/>
              </w:rPr>
              <w:t>Continuing Security Interest; Assignments Under the Credit Agreement</w:t>
            </w:r>
          </w:p>
        </w:tc>
        <w:tc>
          <w:tcPr>
            <w:tcW w:w="2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25.</w:t>
            </w:r>
          </w:p>
        </w:tc>
        <w:tc>
          <w:tcPr>
            <w:tcW w:w="7840" w:type="dxa"/>
            <w:vAlign w:val="bottom"/>
          </w:tcPr>
          <w:p>
            <w:pPr>
              <w:ind w:left="520"/>
              <w:spacing w:after="0"/>
              <w:rPr>
                <w:sz w:val="20"/>
                <w:szCs w:val="20"/>
                <w:color w:val="auto"/>
              </w:rPr>
            </w:pPr>
            <w:r>
              <w:rPr>
                <w:rFonts w:ascii="Arial" w:cs="Arial" w:eastAsia="Arial" w:hAnsi="Arial"/>
                <w:sz w:val="18"/>
                <w:szCs w:val="18"/>
                <w:color w:val="auto"/>
              </w:rPr>
              <w:t>Release; Termination</w:t>
            </w:r>
          </w:p>
        </w:tc>
        <w:tc>
          <w:tcPr>
            <w:tcW w:w="2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26.</w:t>
            </w:r>
          </w:p>
        </w:tc>
        <w:tc>
          <w:tcPr>
            <w:tcW w:w="7840" w:type="dxa"/>
            <w:vAlign w:val="bottom"/>
          </w:tcPr>
          <w:p>
            <w:pPr>
              <w:ind w:left="520"/>
              <w:spacing w:after="0"/>
              <w:rPr>
                <w:sz w:val="20"/>
                <w:szCs w:val="20"/>
                <w:color w:val="auto"/>
              </w:rPr>
            </w:pPr>
            <w:r>
              <w:rPr>
                <w:rFonts w:ascii="Arial" w:cs="Arial" w:eastAsia="Arial" w:hAnsi="Arial"/>
                <w:sz w:val="18"/>
                <w:szCs w:val="18"/>
                <w:color w:val="auto"/>
              </w:rPr>
              <w:t>Execution in Counterparts</w:t>
            </w:r>
          </w:p>
        </w:tc>
        <w:tc>
          <w:tcPr>
            <w:tcW w:w="2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27.</w:t>
            </w:r>
          </w:p>
        </w:tc>
        <w:tc>
          <w:tcPr>
            <w:tcW w:w="7840" w:type="dxa"/>
            <w:vAlign w:val="bottom"/>
          </w:tcPr>
          <w:p>
            <w:pPr>
              <w:ind w:left="520"/>
              <w:spacing w:after="0"/>
              <w:rPr>
                <w:sz w:val="20"/>
                <w:szCs w:val="20"/>
                <w:color w:val="auto"/>
              </w:rPr>
            </w:pPr>
            <w:r>
              <w:rPr>
                <w:rFonts w:ascii="Arial" w:cs="Arial" w:eastAsia="Arial" w:hAnsi="Arial"/>
                <w:sz w:val="18"/>
                <w:szCs w:val="18"/>
                <w:color w:val="auto"/>
              </w:rPr>
              <w:t>Governing Law</w:t>
            </w:r>
          </w:p>
        </w:tc>
        <w:tc>
          <w:tcPr>
            <w:tcW w:w="2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28.</w:t>
            </w:r>
          </w:p>
        </w:tc>
        <w:tc>
          <w:tcPr>
            <w:tcW w:w="7840" w:type="dxa"/>
            <w:vAlign w:val="bottom"/>
          </w:tcPr>
          <w:p>
            <w:pPr>
              <w:ind w:left="520"/>
              <w:spacing w:after="0"/>
              <w:rPr>
                <w:sz w:val="20"/>
                <w:szCs w:val="20"/>
                <w:color w:val="auto"/>
              </w:rPr>
            </w:pPr>
            <w:r>
              <w:rPr>
                <w:rFonts w:ascii="Arial" w:cs="Arial" w:eastAsia="Arial" w:hAnsi="Arial"/>
                <w:sz w:val="18"/>
                <w:szCs w:val="18"/>
                <w:color w:val="auto"/>
              </w:rPr>
              <w:t>Jurisdiction; Waiver of Jury Trial</w:t>
            </w:r>
          </w:p>
        </w:tc>
        <w:tc>
          <w:tcPr>
            <w:tcW w:w="2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29.</w:t>
            </w:r>
          </w:p>
        </w:tc>
        <w:tc>
          <w:tcPr>
            <w:tcW w:w="7840" w:type="dxa"/>
            <w:vAlign w:val="bottom"/>
          </w:tcPr>
          <w:p>
            <w:pPr>
              <w:ind w:left="520"/>
              <w:spacing w:after="0"/>
              <w:rPr>
                <w:sz w:val="20"/>
                <w:szCs w:val="20"/>
                <w:color w:val="auto"/>
              </w:rPr>
            </w:pPr>
            <w:r>
              <w:rPr>
                <w:rFonts w:ascii="Arial" w:cs="Arial" w:eastAsia="Arial" w:hAnsi="Arial"/>
                <w:sz w:val="18"/>
                <w:szCs w:val="18"/>
                <w:color w:val="auto"/>
              </w:rPr>
              <w:t>Intercreditor Agreement</w:t>
            </w:r>
          </w:p>
        </w:tc>
        <w:tc>
          <w:tcPr>
            <w:tcW w:w="2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33"/>
        </w:trPr>
        <w:tc>
          <w:tcPr>
            <w:tcW w:w="1320" w:type="dxa"/>
            <w:vAlign w:val="bottom"/>
          </w:tcPr>
          <w:p>
            <w:pPr>
              <w:spacing w:after="0"/>
              <w:rPr>
                <w:sz w:val="20"/>
                <w:szCs w:val="20"/>
                <w:color w:val="auto"/>
              </w:rPr>
            </w:pPr>
            <w:r>
              <w:rPr>
                <w:rFonts w:ascii="Arial" w:cs="Arial" w:eastAsia="Arial" w:hAnsi="Arial"/>
                <w:sz w:val="18"/>
                <w:szCs w:val="18"/>
                <w:color w:val="auto"/>
              </w:rPr>
              <w:t>Section 30.</w:t>
            </w:r>
          </w:p>
        </w:tc>
        <w:tc>
          <w:tcPr>
            <w:tcW w:w="7840" w:type="dxa"/>
            <w:vAlign w:val="bottom"/>
          </w:tcPr>
          <w:p>
            <w:pPr>
              <w:ind w:left="520"/>
              <w:spacing w:after="0"/>
              <w:rPr>
                <w:sz w:val="20"/>
                <w:szCs w:val="20"/>
                <w:color w:val="auto"/>
              </w:rPr>
            </w:pPr>
            <w:r>
              <w:rPr>
                <w:rFonts w:ascii="Arial" w:cs="Arial" w:eastAsia="Arial" w:hAnsi="Arial"/>
                <w:sz w:val="18"/>
                <w:szCs w:val="18"/>
                <w:color w:val="auto"/>
              </w:rPr>
              <w:t>Continuation of Security Interests; No Novation</w:t>
            </w:r>
          </w:p>
        </w:tc>
        <w:tc>
          <w:tcPr>
            <w:tcW w:w="22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24"/>
        </w:trPr>
        <w:tc>
          <w:tcPr>
            <w:tcW w:w="1180" w:type="dxa"/>
            <w:vAlign w:val="bottom"/>
          </w:tcPr>
          <w:p>
            <w:pPr>
              <w:spacing w:after="0"/>
              <w:rPr>
                <w:sz w:val="20"/>
                <w:szCs w:val="20"/>
                <w:color w:val="auto"/>
              </w:rPr>
            </w:pPr>
            <w:r>
              <w:rPr>
                <w:rFonts w:ascii="Arial" w:cs="Arial" w:eastAsia="Arial" w:hAnsi="Arial"/>
                <w:sz w:val="18"/>
                <w:szCs w:val="18"/>
                <w:color w:val="auto"/>
              </w:rPr>
              <w:t>Schedules</w:t>
            </w:r>
          </w:p>
        </w:tc>
        <w:tc>
          <w:tcPr>
            <w:tcW w:w="340" w:type="dxa"/>
            <w:vAlign w:val="bottom"/>
          </w:tcPr>
          <w:p>
            <w:pPr>
              <w:spacing w:after="0"/>
              <w:rPr>
                <w:sz w:val="19"/>
                <w:szCs w:val="19"/>
                <w:color w:val="auto"/>
              </w:rPr>
            </w:pPr>
          </w:p>
        </w:tc>
        <w:tc>
          <w:tcPr>
            <w:tcW w:w="9320" w:type="dxa"/>
            <w:vAlign w:val="bottom"/>
          </w:tcPr>
          <w:p>
            <w:pPr>
              <w:spacing w:after="0"/>
              <w:rPr>
                <w:sz w:val="19"/>
                <w:szCs w:val="19"/>
                <w:color w:val="auto"/>
              </w:rPr>
            </w:pPr>
          </w:p>
        </w:tc>
      </w:tr>
      <w:tr>
        <w:trPr>
          <w:trHeight w:val="416"/>
        </w:trPr>
        <w:tc>
          <w:tcPr>
            <w:tcW w:w="1180" w:type="dxa"/>
            <w:vAlign w:val="bottom"/>
          </w:tcPr>
          <w:p>
            <w:pPr>
              <w:spacing w:after="0"/>
              <w:rPr>
                <w:sz w:val="20"/>
                <w:szCs w:val="20"/>
                <w:color w:val="auto"/>
              </w:rPr>
            </w:pPr>
            <w:r>
              <w:rPr>
                <w:rFonts w:ascii="Arial" w:cs="Arial" w:eastAsia="Arial" w:hAnsi="Arial"/>
                <w:sz w:val="18"/>
                <w:szCs w:val="18"/>
                <w:color w:val="auto"/>
              </w:rPr>
              <w:t>Schedule I</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rPr>
              <w:t>Investment Property</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II</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  Deposit Accounts and Securities Accounts</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III</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  Receivables and Agreement Collateral</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IV</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rPr>
              <w:t>Intellectual Property</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V</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w w:val="91"/>
              </w:rPr>
              <w:t>Legal Name, Trade Names, Location, Chief Executive Office, Type of Organization, Jurisdiction of Organization, Organizational</w:t>
            </w:r>
          </w:p>
        </w:tc>
      </w:tr>
      <w:tr>
        <w:trPr>
          <w:trHeight w:val="213"/>
        </w:trPr>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20" w:type="dxa"/>
            <w:vAlign w:val="bottom"/>
          </w:tcPr>
          <w:p>
            <w:pPr>
              <w:ind w:left="80"/>
              <w:spacing w:after="0"/>
              <w:rPr>
                <w:sz w:val="20"/>
                <w:szCs w:val="20"/>
                <w:color w:val="auto"/>
              </w:rPr>
            </w:pPr>
            <w:r>
              <w:rPr>
                <w:rFonts w:ascii="Arial" w:cs="Arial" w:eastAsia="Arial" w:hAnsi="Arial"/>
                <w:sz w:val="18"/>
                <w:szCs w:val="18"/>
                <w:color w:val="auto"/>
              </w:rPr>
              <w:t>Identification Number and Federal Employer Identification Number</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VI</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  Changes in Name, Location, Etc.</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VII</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rPr>
              <w:t>Letters of Credit</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VIII</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rPr>
              <w:t>Equipment Locations</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IX</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rPr>
              <w:t>Inventory Locations</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X</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rPr>
              <w:t>Commercial Tort Claims</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XI</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rPr>
              <w:t>Mergers and Acquisitions</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XII</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  Locations of Books and Records</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XIII</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rPr>
              <w:t>Filing Offices</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Schedule XIV</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9320" w:type="dxa"/>
            <w:vAlign w:val="bottom"/>
          </w:tcPr>
          <w:p>
            <w:pPr>
              <w:ind w:left="80"/>
              <w:spacing w:after="0"/>
              <w:rPr>
                <w:sz w:val="20"/>
                <w:szCs w:val="20"/>
                <w:color w:val="auto"/>
              </w:rPr>
            </w:pPr>
            <w:r>
              <w:rPr>
                <w:rFonts w:ascii="Arial" w:cs="Arial" w:eastAsia="Arial" w:hAnsi="Arial"/>
                <w:sz w:val="18"/>
                <w:szCs w:val="18"/>
                <w:color w:val="auto"/>
              </w:rPr>
              <w:t>Other Actions</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Exhibits</w:t>
            </w:r>
          </w:p>
        </w:tc>
        <w:tc>
          <w:tcPr>
            <w:tcW w:w="34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Exhibit A</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  Form of Intellectual Property Security Agreement</w:t>
            </w: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Exhibit B</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  Form of Intellectual Property Security Agreement Supplement</w:t>
            </w:r>
          </w:p>
        </w:tc>
      </w:tr>
      <w:tr>
        <w:trPr>
          <w:trHeight w:val="224"/>
        </w:trPr>
        <w:tc>
          <w:tcPr>
            <w:tcW w:w="1180" w:type="dxa"/>
            <w:vAlign w:val="bottom"/>
          </w:tcPr>
          <w:p>
            <w:pPr>
              <w:spacing w:after="0"/>
              <w:rPr>
                <w:sz w:val="20"/>
                <w:szCs w:val="20"/>
                <w:color w:val="auto"/>
              </w:rPr>
            </w:pPr>
            <w:r>
              <w:rPr>
                <w:rFonts w:ascii="Arial" w:cs="Arial" w:eastAsia="Arial" w:hAnsi="Arial"/>
                <w:sz w:val="18"/>
                <w:szCs w:val="18"/>
                <w:color w:val="auto"/>
              </w:rPr>
              <w:t>Exhibit C</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  Form of Security Agreement Supplement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840"/>
          </w:cols>
          <w:pgMar w:left="240" w:top="127" w:right="819" w:bottom="1440" w:gutter="0" w:footer="0" w:header="0"/>
        </w:sectPr>
      </w:pPr>
    </w:p>
    <w:bookmarkStart w:id="220" w:name="page221"/>
    <w:bookmarkEnd w:id="220"/>
    <w:p>
      <w:pPr>
        <w:jc w:val="center"/>
        <w:ind w:right="-39"/>
        <w:spacing w:after="0"/>
        <w:rPr>
          <w:sz w:val="20"/>
          <w:szCs w:val="20"/>
          <w:color w:val="auto"/>
        </w:rPr>
      </w:pPr>
      <w:r>
        <w:rPr>
          <w:rFonts w:ascii="Arial" w:cs="Arial" w:eastAsia="Arial" w:hAnsi="Arial"/>
          <w:sz w:val="18"/>
          <w:szCs w:val="18"/>
          <w:b w:val="1"/>
          <w:bCs w:val="1"/>
          <w:color w:val="auto"/>
        </w:rPr>
        <w:t>AMENDED AND RESTATED SECURITY AGREEMENT</w:t>
      </w:r>
    </w:p>
    <w:p>
      <w:pPr>
        <w:spacing w:after="0" w:line="226"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AMENDED AND RESTATED SECURITY AGREEMENT dated May 26, 2016 (as it may be amended, restated, amended and restated, supplemented or otherwise modified from time to time,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made by Eastman Kodak Company, a New Jersey corporation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and the other Persons listed on the signature pages hereof, or which at any time execute and deliver a Security Agreement Supplement in substantially the form attached hereto as Exhibit C (the Borrower and such Persons so listed being, collectively, the “</w:t>
      </w:r>
      <w:r>
        <w:rPr>
          <w:rFonts w:ascii="Arial" w:cs="Arial" w:eastAsia="Arial" w:hAnsi="Arial"/>
          <w:sz w:val="17"/>
          <w:szCs w:val="17"/>
          <w:b w:val="1"/>
          <w:bCs w:val="1"/>
          <w:i w:val="1"/>
          <w:iCs w:val="1"/>
          <w:color w:val="auto"/>
        </w:rPr>
        <w:t>Grantors</w:t>
      </w:r>
      <w:r>
        <w:rPr>
          <w:rFonts w:ascii="Arial" w:cs="Arial" w:eastAsia="Arial" w:hAnsi="Arial"/>
          <w:sz w:val="17"/>
          <w:szCs w:val="17"/>
          <w:color w:val="auto"/>
        </w:rPr>
        <w:t>”), to Bank of America, N.A., as administrative and collateral agent (in such capacity, together with any successor Agent appointed pursuant to Article VIII of the Credit Agreement (as hereinafter defined) and assigns,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for the Secured Parties (as defined in the Credit Agreement).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STATEMENTS.</w:t>
      </w:r>
    </w:p>
    <w:p>
      <w:pPr>
        <w:spacing w:after="0" w:line="226" w:lineRule="exact"/>
        <w:rPr>
          <w:sz w:val="20"/>
          <w:szCs w:val="20"/>
          <w:color w:val="auto"/>
        </w:rPr>
      </w:pPr>
    </w:p>
    <w:p>
      <w:pPr>
        <w:ind w:right="60" w:firstLine="525"/>
        <w:spacing w:after="0" w:line="254" w:lineRule="auto"/>
        <w:tabs>
          <w:tab w:leader="none" w:pos="77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Borrower and certain subsidiaries of the Borrower have entered into a senior secured revolving credit facility with Agent and certain other parties as set forth in that certain Credit Agreement, dated as of September 3, 2013, by and among the Borrower, certain subsidiaries of the Borrower, the lenders party thereto from time to time and Agent (as amended, restated, amended and restated, supplemented or otherwise modified from time to time prior to the date hereof, the “</w:t>
      </w:r>
      <w:r>
        <w:rPr>
          <w:rFonts w:ascii="Arial" w:cs="Arial" w:eastAsia="Arial" w:hAnsi="Arial"/>
          <w:sz w:val="18"/>
          <w:szCs w:val="18"/>
          <w:b w:val="1"/>
          <w:bCs w:val="1"/>
          <w:i w:val="1"/>
          <w:iCs w:val="1"/>
          <w:color w:val="auto"/>
        </w:rPr>
        <w:t>Existing Credit Agreement</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right="200" w:firstLine="525"/>
        <w:spacing w:after="0" w:line="304" w:lineRule="auto"/>
        <w:tabs>
          <w:tab w:leader="none" w:pos="77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 connection with the Existing Credit Agreement, the Borrower and certain Grantors entered into a Security Agreement, dated as of September 3, 2013, (as amended, restated, amended and restated, supplemented or otherwise modified from time to time prior to the date hereof, the “</w:t>
      </w:r>
      <w:r>
        <w:rPr>
          <w:rFonts w:ascii="Arial" w:cs="Arial" w:eastAsia="Arial" w:hAnsi="Arial"/>
          <w:sz w:val="16"/>
          <w:szCs w:val="16"/>
          <w:b w:val="1"/>
          <w:bCs w:val="1"/>
          <w:i w:val="1"/>
          <w:iCs w:val="1"/>
          <w:color w:val="auto"/>
        </w:rPr>
        <w:t>Existing Security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in favor of the Agent for the benefit of the lenders party to the Existing Credit Agreement and certain other secured parties.</w:t>
      </w:r>
    </w:p>
    <w:p>
      <w:pPr>
        <w:spacing w:after="0" w:line="154" w:lineRule="exact"/>
        <w:rPr>
          <w:rFonts w:ascii="Arial" w:cs="Arial" w:eastAsia="Arial" w:hAnsi="Arial"/>
          <w:sz w:val="16"/>
          <w:szCs w:val="16"/>
          <w:color w:val="auto"/>
        </w:rPr>
      </w:pPr>
    </w:p>
    <w:p>
      <w:pPr>
        <w:ind w:right="200" w:firstLine="525"/>
        <w:spacing w:after="0" w:line="252" w:lineRule="auto"/>
        <w:tabs>
          <w:tab w:leader="none" w:pos="77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the Borrower and certain subsidiaries of the Borrower are entering into the Amended and Restated Credit Agreement, dated of even date herewith, by and among the Borrower, certain subsidiaries of the Borrower, the lenders party thereto from time to time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certain non-consenting lenders party thereto and Agent (as it may be further amended, restated, amended and restated, supplemented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in order to amend and restate the Existing Credit Agreement in its entirety.</w:t>
      </w:r>
    </w:p>
    <w:p>
      <w:pPr>
        <w:spacing w:after="0" w:line="193" w:lineRule="exact"/>
        <w:rPr>
          <w:rFonts w:ascii="Arial" w:cs="Arial" w:eastAsia="Arial" w:hAnsi="Arial"/>
          <w:sz w:val="18"/>
          <w:szCs w:val="18"/>
          <w:color w:val="auto"/>
        </w:rPr>
      </w:pPr>
    </w:p>
    <w:p>
      <w:pPr>
        <w:ind w:left="780" w:hanging="255"/>
        <w:spacing w:after="0"/>
        <w:tabs>
          <w:tab w:leader="none" w:pos="7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parties hereto have agreed to amend and restate the Existing Security Agreement in its entirety as provided herein.</w:t>
      </w:r>
    </w:p>
    <w:p>
      <w:pPr>
        <w:spacing w:after="0" w:line="219" w:lineRule="exact"/>
        <w:rPr>
          <w:rFonts w:ascii="Arial" w:cs="Arial" w:eastAsia="Arial" w:hAnsi="Arial"/>
          <w:sz w:val="18"/>
          <w:szCs w:val="18"/>
          <w:color w:val="auto"/>
        </w:rPr>
      </w:pPr>
    </w:p>
    <w:p>
      <w:pPr>
        <w:ind w:left="780" w:hanging="255"/>
        <w:spacing w:after="0"/>
        <w:tabs>
          <w:tab w:leader="none" w:pos="7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Borrower is a member of an affiliated group of companies that includes each other Grantor.</w:t>
      </w:r>
    </w:p>
    <w:p>
      <w:pPr>
        <w:spacing w:after="0" w:line="219" w:lineRule="exact"/>
        <w:rPr>
          <w:rFonts w:ascii="Arial" w:cs="Arial" w:eastAsia="Arial" w:hAnsi="Arial"/>
          <w:sz w:val="18"/>
          <w:szCs w:val="18"/>
          <w:color w:val="auto"/>
        </w:rPr>
      </w:pPr>
    </w:p>
    <w:p>
      <w:pPr>
        <w:ind w:right="80" w:firstLine="525"/>
        <w:spacing w:after="0" w:line="279" w:lineRule="auto"/>
        <w:tabs>
          <w:tab w:leader="none" w:pos="77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Part I of Schedule I hereto lists all Equity Interests (other than Excluded Property) directly owned by such Grantor as of the date hereof (the “</w:t>
      </w:r>
      <w:r>
        <w:rPr>
          <w:rFonts w:ascii="Arial" w:cs="Arial" w:eastAsia="Arial" w:hAnsi="Arial"/>
          <w:sz w:val="17"/>
          <w:szCs w:val="17"/>
          <w:b w:val="1"/>
          <w:bCs w:val="1"/>
          <w:i w:val="1"/>
          <w:i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Pledged Equity</w:t>
      </w:r>
      <w:r>
        <w:rPr>
          <w:rFonts w:ascii="Arial" w:cs="Arial" w:eastAsia="Arial" w:hAnsi="Arial"/>
          <w:sz w:val="17"/>
          <w:szCs w:val="17"/>
          <w:color w:val="auto"/>
        </w:rPr>
        <w:t>”). Each Grantor is the holder of the indebtedness owed to such Grantor as of the date hereof (the “</w:t>
      </w:r>
      <w:r>
        <w:rPr>
          <w:rFonts w:ascii="Arial" w:cs="Arial" w:eastAsia="Arial" w:hAnsi="Arial"/>
          <w:sz w:val="17"/>
          <w:szCs w:val="17"/>
          <w:b w:val="1"/>
          <w:bCs w:val="1"/>
          <w:i w:val="1"/>
          <w:iCs w:val="1"/>
          <w:color w:val="auto"/>
        </w:rPr>
        <w:t>Initial Pledged Debt</w:t>
      </w:r>
      <w:r>
        <w:rPr>
          <w:rFonts w:ascii="Arial" w:cs="Arial" w:eastAsia="Arial" w:hAnsi="Arial"/>
          <w:sz w:val="17"/>
          <w:szCs w:val="17"/>
          <w:color w:val="auto"/>
        </w:rPr>
        <w:t>”) set forth opposite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Grantor’s name on and as otherwise described in Part II of Schedule I hereto and issued by the obligors named therein.</w:t>
      </w:r>
    </w:p>
    <w:p>
      <w:pPr>
        <w:spacing w:after="0" w:line="171" w:lineRule="exact"/>
        <w:rPr>
          <w:rFonts w:ascii="Arial" w:cs="Arial" w:eastAsia="Arial" w:hAnsi="Arial"/>
          <w:sz w:val="17"/>
          <w:szCs w:val="17"/>
          <w:color w:val="auto"/>
        </w:rPr>
      </w:pPr>
    </w:p>
    <w:p>
      <w:pPr>
        <w:ind w:right="200" w:firstLine="525"/>
        <w:spacing w:after="0" w:line="267" w:lineRule="auto"/>
        <w:tabs>
          <w:tab w:leader="none" w:pos="77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Grantor is the owner of the deposit accounts set forth opposite such Grantor’s name on Schedule II hereto (together with all deposit accounts now owned or hereafter acquired by the Grantors, the “</w:t>
      </w:r>
      <w:r>
        <w:rPr>
          <w:rFonts w:ascii="Arial" w:cs="Arial" w:eastAsia="Arial" w:hAnsi="Arial"/>
          <w:sz w:val="18"/>
          <w:szCs w:val="18"/>
          <w:b w:val="1"/>
          <w:bCs w:val="1"/>
          <w:i w:val="1"/>
          <w:iCs w:val="1"/>
          <w:color w:val="auto"/>
        </w:rPr>
        <w:t>Pledged Deposit Accounts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right="240" w:firstLine="525"/>
        <w:spacing w:after="0" w:line="267" w:lineRule="auto"/>
        <w:tabs>
          <w:tab w:leader="none" w:pos="77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Company is the owner of a L/C Cash Deposit Account (as defined in the Credit Agreement) created in accordance with the Credit Agreement and subject to the security interest granted under this Agreement.</w:t>
      </w:r>
    </w:p>
    <w:p>
      <w:pPr>
        <w:spacing w:after="0" w:line="179" w:lineRule="exact"/>
        <w:rPr>
          <w:rFonts w:ascii="Arial" w:cs="Arial" w:eastAsia="Arial" w:hAnsi="Arial"/>
          <w:sz w:val="18"/>
          <w:szCs w:val="18"/>
          <w:color w:val="auto"/>
        </w:rPr>
      </w:pPr>
    </w:p>
    <w:p>
      <w:pPr>
        <w:ind w:right="320" w:firstLine="525"/>
        <w:spacing w:after="0" w:line="267" w:lineRule="auto"/>
        <w:tabs>
          <w:tab w:leader="none" w:pos="77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Company is the owner of the Pledged Cash Account (Eligible Cash) created in accordance with the Credit Agreement and subject to the security interest granted under this Agreement.</w:t>
      </w:r>
    </w:p>
    <w:p>
      <w:pPr>
        <w:spacing w:after="0" w:line="179" w:lineRule="exact"/>
        <w:rPr>
          <w:rFonts w:ascii="Arial" w:cs="Arial" w:eastAsia="Arial" w:hAnsi="Arial"/>
          <w:sz w:val="18"/>
          <w:szCs w:val="18"/>
          <w:color w:val="auto"/>
        </w:rPr>
      </w:pPr>
    </w:p>
    <w:p>
      <w:pPr>
        <w:ind w:right="520" w:firstLine="525"/>
        <w:spacing w:after="0" w:line="267" w:lineRule="auto"/>
        <w:tabs>
          <w:tab w:leader="none" w:pos="85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It is a condition precedent to the making of Revolving Loans and the issuance of additional Letters of Credit by the Lenders under the Credit Agreement that the Grantors shall have granted the security interest contemplated by this Agreement.</w:t>
      </w:r>
    </w:p>
    <w:p>
      <w:pPr>
        <w:spacing w:after="0" w:line="179" w:lineRule="exact"/>
        <w:rPr>
          <w:rFonts w:ascii="Arial" w:cs="Arial" w:eastAsia="Arial" w:hAnsi="Arial"/>
          <w:sz w:val="18"/>
          <w:szCs w:val="18"/>
          <w:color w:val="auto"/>
        </w:rPr>
      </w:pPr>
    </w:p>
    <w:p>
      <w:pPr>
        <w:ind w:right="100" w:firstLine="525"/>
        <w:spacing w:after="0" w:line="267" w:lineRule="auto"/>
        <w:tabs>
          <w:tab w:leader="none" w:pos="85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Grantor will derive substantial direct or indirect benefit from the transactions contemplated by this Agreement, the Credit Agreement and the other Loan Documents.</w:t>
      </w:r>
    </w:p>
    <w:p>
      <w:pPr>
        <w:spacing w:after="0" w:line="179" w:lineRule="exact"/>
        <w:rPr>
          <w:rFonts w:ascii="Arial" w:cs="Arial" w:eastAsia="Arial" w:hAnsi="Arial"/>
          <w:sz w:val="18"/>
          <w:szCs w:val="18"/>
          <w:color w:val="auto"/>
        </w:rPr>
      </w:pPr>
    </w:p>
    <w:p>
      <w:pPr>
        <w:ind w:firstLine="525"/>
        <w:spacing w:after="0" w:line="287" w:lineRule="auto"/>
        <w:tabs>
          <w:tab w:leader="none" w:pos="85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Terms defined in the Credit Agreement and not otherwise defined in this Agreement are used in this Agreement as defined in the Credit Agreement. The words “include”, “includes” and “including” shall be deemed to be followed by the phrase “without limitation”. Further, unless otherwise defined in this Agreement or in the Credit Agreement, terms defined in Article 8 or 9 of the </w:t>
      </w:r>
      <w:r>
        <w:rPr>
          <w:rFonts w:ascii="Arial" w:cs="Arial" w:eastAsia="Arial" w:hAnsi="Arial"/>
          <w:sz w:val="16"/>
          <w:szCs w:val="16"/>
          <w:b w:val="1"/>
          <w:bCs w:val="1"/>
          <w:i w:val="1"/>
          <w:iCs w:val="1"/>
          <w:color w:val="auto"/>
        </w:rPr>
        <w:t>UCC</w:t>
      </w:r>
      <w:r>
        <w:rPr>
          <w:rFonts w:ascii="Arial" w:cs="Arial" w:eastAsia="Arial" w:hAnsi="Arial"/>
          <w:sz w:val="16"/>
          <w:szCs w:val="16"/>
          <w:color w:val="auto"/>
        </w:rPr>
        <w:t xml:space="preserve"> (as defined below) are used in this Agreement (whether or not capitalized) as such terms are defined in such Article 8 or 9. “UCC” means the Uniform Commercial Code as in effect from time to time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perfection or the effect of perfection or non-perfection or the priority of the security interest in any Collateral is governed by the Uniform Commercial Code as in effect in a jurisdiction other than the State of New York, “</w:t>
      </w:r>
      <w:r>
        <w:rPr>
          <w:rFonts w:ascii="Arial" w:cs="Arial" w:eastAsia="Arial" w:hAnsi="Arial"/>
          <w:sz w:val="16"/>
          <w:szCs w:val="16"/>
          <w:b w:val="1"/>
          <w:bCs w:val="1"/>
          <w:i w:val="1"/>
          <w:iCs w:val="1"/>
          <w:color w:val="auto"/>
        </w:rPr>
        <w:t>UCC</w:t>
      </w:r>
      <w:r>
        <w:rPr>
          <w:rFonts w:ascii="Arial" w:cs="Arial" w:eastAsia="Arial" w:hAnsi="Arial"/>
          <w:sz w:val="16"/>
          <w:szCs w:val="16"/>
          <w:color w:val="auto"/>
        </w:rPr>
        <w:t>” means the Uniform Commercial Code as in effect from time to time in such other jurisdiction for purposes of the provisions hereof relating to such perfection, effect of perfection or non-perfection or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575310</wp:posOffset>
            </wp:positionV>
            <wp:extent cx="729043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1" w:name="page222"/>
    <w:bookmarkEnd w:id="221"/>
    <w:p>
      <w:pPr>
        <w:ind w:left="520"/>
        <w:spacing w:after="0"/>
        <w:rPr>
          <w:sz w:val="20"/>
          <w:szCs w:val="20"/>
          <w:color w:val="auto"/>
        </w:rPr>
      </w:pPr>
      <w:r>
        <w:rPr>
          <w:rFonts w:ascii="Arial" w:cs="Arial" w:eastAsia="Arial" w:hAnsi="Arial"/>
          <w:sz w:val="16"/>
          <w:szCs w:val="16"/>
          <w:color w:val="auto"/>
        </w:rPr>
        <w:t>NOW, THEREFORE, in consideration of the premises and in order to induce the Agent and Lenders to make Revolving Loans and issue Letters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Credit under the Credit Agreement, each Grantor hereby agrees with the Agent for the benefit of the Secured Parties as follows:</w:t>
      </w:r>
    </w:p>
    <w:p>
      <w:pPr>
        <w:spacing w:after="0" w:line="209" w:lineRule="exact"/>
        <w:rPr>
          <w:sz w:val="20"/>
          <w:szCs w:val="20"/>
          <w:color w:val="auto"/>
        </w:rPr>
      </w:pPr>
    </w:p>
    <w:p>
      <w:pPr>
        <w:jc w:val="both"/>
        <w:ind w:right="200" w:firstLine="518"/>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Grant of Security</w:t>
      </w:r>
      <w:r>
        <w:rPr>
          <w:rFonts w:ascii="Arial" w:cs="Arial" w:eastAsia="Arial" w:hAnsi="Arial"/>
          <w:sz w:val="18"/>
          <w:szCs w:val="18"/>
          <w:color w:val="auto"/>
        </w:rPr>
        <w:t>. Each Grantor hereby grants to the Agent, for the benefit of the Secured Parties, a security interest in such Grantor’s right, title and interest in and to the following, in each case, as to each type of property described below, whether now owned or hereafter acquired by such Grantor, wherever located, and whether now or hereafter existing or arising (collectively, the “</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w:t>
      </w:r>
    </w:p>
    <w:p>
      <w:pPr>
        <w:spacing w:after="0" w:line="188" w:lineRule="exact"/>
        <w:rPr>
          <w:sz w:val="20"/>
          <w:szCs w:val="20"/>
          <w:color w:val="auto"/>
        </w:rPr>
      </w:pPr>
    </w:p>
    <w:p>
      <w:pPr>
        <w:ind w:firstLine="1041"/>
        <w:spacing w:after="0" w:line="257" w:lineRule="auto"/>
        <w:tabs>
          <w:tab w:leader="none" w:pos="127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equipment in all of its forms, including all machinery, tools, motor vehicles, vessels, aircraft and furniture (excepting all fixtures), and all parts thereof and all accessions thereto, including computer programs and supporting information that constitute equipment within the meaning of the UCC (any and all such property being the “</w:t>
      </w:r>
      <w:r>
        <w:rPr>
          <w:rFonts w:ascii="Arial" w:cs="Arial" w:eastAsia="Arial" w:hAnsi="Arial"/>
          <w:sz w:val="18"/>
          <w:szCs w:val="18"/>
          <w:b w:val="1"/>
          <w:bCs w:val="1"/>
          <w:i w:val="1"/>
          <w:iCs w:val="1"/>
          <w:color w:val="auto"/>
        </w:rPr>
        <w:t>Equipment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40" w:firstLine="1041"/>
        <w:spacing w:after="0" w:line="270" w:lineRule="auto"/>
        <w:tabs>
          <w:tab w:leader="none" w:pos="128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all inventory in all of its forms, including (i) all raw materials, work in process, finished goods and materials used or consumed in the manufacture, production, preparation or shipping thereof, (ii) goods in which such Grantor has an interest in mass or a joint or other interest or right of any kind (including goods in which such Grantor has an interest or right as consignee) and (iii) goods that are returned to or repossessed or stopped in transit by such Grantor, and all accessions thereto and products thereof and documents therefor, including computer programs and supporting information that constitute inventory within the meaning of the UCC (any and all such property being the “</w:t>
      </w:r>
      <w:r>
        <w:rPr>
          <w:rFonts w:ascii="Arial" w:cs="Arial" w:eastAsia="Arial" w:hAnsi="Arial"/>
          <w:sz w:val="17"/>
          <w:szCs w:val="17"/>
          <w:b w:val="1"/>
          <w:bCs w:val="1"/>
          <w:i w:val="1"/>
          <w:iCs w:val="1"/>
          <w:color w:val="auto"/>
        </w:rPr>
        <w:t>Inventory</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60" w:firstLine="1041"/>
        <w:spacing w:after="0" w:line="269" w:lineRule="auto"/>
        <w:tabs>
          <w:tab w:leader="none" w:pos="127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 all accounts, instruments (including promissory notes), deposit accounts, chattel paper, general intangibles (including payment intangibles) and other obligations of any kind owing to the Grantors, whether or not arising out of or in connection with the sale or lease of goods or the rendering of services and whether or not earned by performance (any and all such instruments, deposit accounts, chattel paper, general intangibles and other obligations to the extent not referred to in clause (d), (e) or (f) below, being the “</w:t>
      </w:r>
      <w:r>
        <w:rPr>
          <w:rFonts w:ascii="Arial" w:cs="Arial" w:eastAsia="Arial" w:hAnsi="Arial"/>
          <w:sz w:val="17"/>
          <w:szCs w:val="17"/>
          <w:b w:val="1"/>
          <w:bCs w:val="1"/>
          <w:i w:val="1"/>
          <w:iCs w:val="1"/>
          <w:color w:val="auto"/>
        </w:rPr>
        <w:t>Receivables</w:t>
      </w:r>
      <w:r>
        <w:rPr>
          <w:rFonts w:ascii="Arial" w:cs="Arial" w:eastAsia="Arial" w:hAnsi="Arial"/>
          <w:sz w:val="17"/>
          <w:szCs w:val="17"/>
          <w:color w:val="auto"/>
        </w:rPr>
        <w:t>”), and all supporting obligations, security agreements, Liens, leases, letters of credit and other contracts owing to the Grantors or supporting the obligations owing to the Grantors under the Receivables (collectively, the “</w:t>
      </w:r>
      <w:r>
        <w:rPr>
          <w:rFonts w:ascii="Arial" w:cs="Arial" w:eastAsia="Arial" w:hAnsi="Arial"/>
          <w:sz w:val="17"/>
          <w:szCs w:val="17"/>
          <w:b w:val="1"/>
          <w:bCs w:val="1"/>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Contracts</w:t>
      </w:r>
      <w:r>
        <w:rPr>
          <w:rFonts w:ascii="Arial" w:cs="Arial" w:eastAsia="Arial" w:hAnsi="Arial"/>
          <w:sz w:val="17"/>
          <w:szCs w:val="17"/>
          <w:color w:val="auto"/>
        </w:rPr>
        <w:t>”), and (ii) all commercial tort claims now or hereafter described on Schedule X hereto;</w:t>
      </w:r>
    </w:p>
    <w:p>
      <w:pPr>
        <w:spacing w:after="0" w:line="178" w:lineRule="exact"/>
        <w:rPr>
          <w:rFonts w:ascii="Arial" w:cs="Arial" w:eastAsia="Arial" w:hAnsi="Arial"/>
          <w:sz w:val="17"/>
          <w:szCs w:val="17"/>
          <w:color w:val="auto"/>
        </w:rPr>
      </w:pPr>
    </w:p>
    <w:p>
      <w:pPr>
        <w:ind w:left="1300" w:hanging="259"/>
        <w:spacing w:after="0"/>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following (the “</w:t>
      </w:r>
      <w:r>
        <w:rPr>
          <w:rFonts w:ascii="Arial" w:cs="Arial" w:eastAsia="Arial" w:hAnsi="Arial"/>
          <w:sz w:val="18"/>
          <w:szCs w:val="18"/>
          <w:b w:val="1"/>
          <w:bCs w:val="1"/>
          <w:i w:val="1"/>
          <w:iCs w:val="1"/>
          <w:color w:val="auto"/>
        </w:rPr>
        <w:t>Security Collateral</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140" w:firstLine="1559"/>
        <w:spacing w:after="0" w:line="257" w:lineRule="auto"/>
        <w:tabs>
          <w:tab w:leader="none" w:pos="176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Initial Pledged Equity and the certificates, if any, representing the Initial Pledged Equity, and all dividends, distributions, return of capital, cash, instruments and other property from time to time received, receivable or otherwise distributed in respect of or in exchange for any or all of the Initial Pledged Equity and all warrants, rights or options issued thereon or with respect thereto;</w:t>
      </w:r>
    </w:p>
    <w:p>
      <w:pPr>
        <w:spacing w:after="0" w:line="81" w:lineRule="exact"/>
        <w:rPr>
          <w:rFonts w:ascii="Arial" w:cs="Arial" w:eastAsia="Arial" w:hAnsi="Arial"/>
          <w:sz w:val="18"/>
          <w:szCs w:val="18"/>
          <w:color w:val="auto"/>
        </w:rPr>
      </w:pPr>
    </w:p>
    <w:p>
      <w:pPr>
        <w:ind w:right="200" w:firstLine="1559"/>
        <w:spacing w:after="0" w:line="331" w:lineRule="auto"/>
        <w:tabs>
          <w:tab w:leader="none" w:pos="181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Initial Pledged Debt and the instruments, if any, evidencing the Initial Pledged Debt, and all interest, cash, instruments and other property from time to time received, receivable or otherwise distributed in respect of or in exchange for any or all of the Initial Pledged Debt;</w:t>
      </w:r>
    </w:p>
    <w:p>
      <w:pPr>
        <w:spacing w:after="0" w:line="25" w:lineRule="exact"/>
        <w:rPr>
          <w:rFonts w:ascii="Arial" w:cs="Arial" w:eastAsia="Arial" w:hAnsi="Arial"/>
          <w:sz w:val="16"/>
          <w:szCs w:val="16"/>
          <w:color w:val="auto"/>
        </w:rPr>
      </w:pPr>
    </w:p>
    <w:p>
      <w:pPr>
        <w:jc w:val="both"/>
        <w:ind w:right="60" w:firstLine="1559"/>
        <w:spacing w:after="0" w:line="273" w:lineRule="auto"/>
        <w:tabs>
          <w:tab w:leader="none" w:pos="1863" w:val="left"/>
        </w:tabs>
        <w:numPr>
          <w:ilvl w:val="1"/>
          <w:numId w:val="200"/>
        </w:numPr>
        <w:rPr>
          <w:rFonts w:ascii="Arial" w:cs="Arial" w:eastAsia="Arial" w:hAnsi="Arial"/>
          <w:sz w:val="17"/>
          <w:szCs w:val="17"/>
          <w:color w:val="auto"/>
        </w:rPr>
      </w:pPr>
      <w:r>
        <w:rPr>
          <w:rFonts w:ascii="Arial" w:cs="Arial" w:eastAsia="Arial" w:hAnsi="Arial"/>
          <w:sz w:val="17"/>
          <w:szCs w:val="17"/>
          <w:color w:val="auto"/>
        </w:rPr>
        <w:t>all additional equity interests (other than Excluded Property) from time to time acquired by such Grantor in any manner (such equity interests, together with the Initial Pledged Equity, being the “</w:t>
      </w:r>
      <w:r>
        <w:rPr>
          <w:rFonts w:ascii="Arial" w:cs="Arial" w:eastAsia="Arial" w:hAnsi="Arial"/>
          <w:sz w:val="17"/>
          <w:szCs w:val="17"/>
          <w:b w:val="1"/>
          <w:bCs w:val="1"/>
          <w:i w:val="1"/>
          <w:iCs w:val="1"/>
          <w:color w:val="auto"/>
        </w:rPr>
        <w:t>Pledged Equity</w:t>
      </w:r>
      <w:r>
        <w:rPr>
          <w:rFonts w:ascii="Arial" w:cs="Arial" w:eastAsia="Arial" w:hAnsi="Arial"/>
          <w:sz w:val="17"/>
          <w:szCs w:val="17"/>
          <w:color w:val="auto"/>
        </w:rPr>
        <w:t>”), and the certificates, if any, representing such additional equity interests, and all dividends, distributions, return of capital, cash, instruments and other property from time to time received, receivable or otherwise distributed in respect of or in exchange for any or all of such equity interests and all warrants, rights or options issued thereon or with respect thereto;</w:t>
      </w:r>
    </w:p>
    <w:p>
      <w:pPr>
        <w:spacing w:after="0" w:line="70" w:lineRule="exact"/>
        <w:rPr>
          <w:rFonts w:ascii="Arial" w:cs="Arial" w:eastAsia="Arial" w:hAnsi="Arial"/>
          <w:sz w:val="17"/>
          <w:szCs w:val="17"/>
          <w:color w:val="auto"/>
        </w:rPr>
      </w:pPr>
    </w:p>
    <w:p>
      <w:pPr>
        <w:ind w:right="40" w:firstLine="1559"/>
        <w:spacing w:after="0" w:line="257" w:lineRule="auto"/>
        <w:tabs>
          <w:tab w:leader="none" w:pos="185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additional indebtedness from time to time owed to such Grantor (such indebtedness, together with the Initial Pledged Debt, being the “</w:t>
      </w:r>
      <w:r>
        <w:rPr>
          <w:rFonts w:ascii="Arial" w:cs="Arial" w:eastAsia="Arial" w:hAnsi="Arial"/>
          <w:sz w:val="18"/>
          <w:szCs w:val="18"/>
          <w:b w:val="1"/>
          <w:bCs w:val="1"/>
          <w:i w:val="1"/>
          <w:iCs w:val="1"/>
          <w:color w:val="auto"/>
        </w:rPr>
        <w:t>Pledged Debt</w:t>
      </w:r>
      <w:r>
        <w:rPr>
          <w:rFonts w:ascii="Arial" w:cs="Arial" w:eastAsia="Arial" w:hAnsi="Arial"/>
          <w:sz w:val="18"/>
          <w:szCs w:val="18"/>
          <w:color w:val="auto"/>
        </w:rPr>
        <w:t>”) and the instruments, if any, evidencing such indebtedness, and all interest, cash, instruments and other property from time to time received, receivable or otherwise distributed in respect of or in exchange for any or all of such indebtedness;</w:t>
      </w:r>
    </w:p>
    <w:p>
      <w:pPr>
        <w:spacing w:after="0" w:line="81" w:lineRule="exact"/>
        <w:rPr>
          <w:rFonts w:ascii="Arial" w:cs="Arial" w:eastAsia="Arial" w:hAnsi="Arial"/>
          <w:sz w:val="18"/>
          <w:szCs w:val="18"/>
          <w:color w:val="auto"/>
        </w:rPr>
      </w:pPr>
    </w:p>
    <w:p>
      <w:pPr>
        <w:ind w:right="20" w:firstLine="1559"/>
        <w:spacing w:after="0" w:line="254" w:lineRule="auto"/>
        <w:tabs>
          <w:tab w:leader="none" w:pos="180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security entitlements or commodity contracts carried in, or from time to time credited to, as applicable, a securities account or commodity account, all financial assets, and all dividends, distributions, return of capital, interest, cash, instruments and other property from time to time received, receivable or otherwise distributed in respect of or in exchange for any or all of such security entitlements or financial assets and all warrants, rights or options issued thereon with respect thereto; and</w:t>
      </w:r>
    </w:p>
    <w:p>
      <w:pPr>
        <w:spacing w:after="0" w:line="83" w:lineRule="exact"/>
        <w:rPr>
          <w:rFonts w:ascii="Arial" w:cs="Arial" w:eastAsia="Arial" w:hAnsi="Arial"/>
          <w:sz w:val="18"/>
          <w:szCs w:val="18"/>
          <w:color w:val="auto"/>
        </w:rPr>
      </w:pPr>
    </w:p>
    <w:p>
      <w:pPr>
        <w:ind w:right="20" w:firstLine="1559"/>
        <w:spacing w:after="0" w:line="251" w:lineRule="auto"/>
        <w:tabs>
          <w:tab w:leader="none" w:pos="185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other investment property (including all (A) securities, whether certificated or uncertificated, (B) security entitlements, (C) securities accounts, (D) commodity contracts and (E) commodity accounts, but excluding any equity interest excluded from the Pledged Equity) in which such Grantor has now, or acquires from time to time hereafter, any right, title or interest in any manner, and the certificates or instruments, if any, representing or evidencing such investment property, and all dividends, distributions, return of capital, interest, cash, instruments and other property from time to time received, receivable or otherwise distributed in respect of or in exchange for any or all of such investment property and all warrants, rights or options issued thereon or with respect thereto (“</w:t>
      </w:r>
      <w:r>
        <w:rPr>
          <w:rFonts w:ascii="Arial" w:cs="Arial" w:eastAsia="Arial" w:hAnsi="Arial"/>
          <w:sz w:val="18"/>
          <w:szCs w:val="18"/>
          <w:b w:val="1"/>
          <w:bCs w:val="1"/>
          <w:i w:val="1"/>
          <w:iCs w:val="1"/>
          <w:color w:val="auto"/>
        </w:rPr>
        <w:t>Investment Property</w:t>
      </w:r>
      <w:r>
        <w:rPr>
          <w:rFonts w:ascii="Arial" w:cs="Arial" w:eastAsia="Arial" w:hAnsi="Arial"/>
          <w:sz w:val="18"/>
          <w:szCs w:val="18"/>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2" w:name="page223"/>
    <w:bookmarkEnd w:id="222"/>
    <w:p>
      <w:pPr>
        <w:ind w:left="-40" w:firstLine="1041"/>
        <w:spacing w:after="0" w:line="269" w:lineRule="auto"/>
        <w:tabs>
          <w:tab w:leader="none" w:pos="123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each Hedging Agreement to which such Grantor is now or may hereafter become a party, in each case as such agreements may be amended, amended and restated, supplemented or otherwise modified from time to time (collectively, the “</w:t>
      </w:r>
      <w:r>
        <w:rPr>
          <w:rFonts w:ascii="Arial" w:cs="Arial" w:eastAsia="Arial" w:hAnsi="Arial"/>
          <w:sz w:val="17"/>
          <w:szCs w:val="17"/>
          <w:b w:val="1"/>
          <w:bCs w:val="1"/>
          <w:i w:val="1"/>
          <w:iCs w:val="1"/>
          <w:color w:val="auto"/>
        </w:rPr>
        <w:t>Assigned Agreements</w:t>
      </w:r>
      <w:r>
        <w:rPr>
          <w:rFonts w:ascii="Arial" w:cs="Arial" w:eastAsia="Arial" w:hAnsi="Arial"/>
          <w:sz w:val="17"/>
          <w:szCs w:val="17"/>
          <w:color w:val="auto"/>
        </w:rPr>
        <w:t>”), including (i) all rights of such Grantor to receive moneys due and to become due under or pursuant to the Assigned Agreements, (ii) all rights of such Grantor to receive proceeds of any insurance, indemnity, warranty or guaranty with respect to the Assigned Agreements, (iii) claims of such Grantor for damages arising out of or for breach of or default under the Assigned Agreements and (iv) the right of such Grantor to terminate the Assigned Agreements, to perform thereunder and to compel performance and otherwise exercise all remedies thereunder (all such Collateral being the “</w:t>
      </w:r>
      <w:r>
        <w:rPr>
          <w:rFonts w:ascii="Arial" w:cs="Arial" w:eastAsia="Arial" w:hAnsi="Arial"/>
          <w:sz w:val="17"/>
          <w:szCs w:val="17"/>
          <w:b w:val="1"/>
          <w:bCs w:val="1"/>
          <w:i w:val="1"/>
          <w:iCs w:val="1"/>
          <w:color w:val="auto"/>
        </w:rPr>
        <w:t>Agreement Collateral</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20" w:hanging="219"/>
        <w:spacing w:after="0"/>
        <w:tabs>
          <w:tab w:leader="none" w:pos="12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following (collectively, the “</w:t>
      </w:r>
      <w:r>
        <w:rPr>
          <w:rFonts w:ascii="Arial" w:cs="Arial" w:eastAsia="Arial" w:hAnsi="Arial"/>
          <w:sz w:val="18"/>
          <w:szCs w:val="18"/>
          <w:b w:val="1"/>
          <w:bCs w:val="1"/>
          <w:i w:val="1"/>
          <w:iCs w:val="1"/>
          <w:color w:val="auto"/>
        </w:rPr>
        <w:t>Account Collateral</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40" w:right="180" w:firstLine="1559"/>
        <w:spacing w:after="0" w:line="279" w:lineRule="auto"/>
        <w:tabs>
          <w:tab w:leader="none" w:pos="1725"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the Pledged Deposit Accounts, the L/C Cash Deposit Account, the Pledged Cash Account (Eligible Cash) and all funds and financial assets from time to time credited thereto (including all cash equivalents), and all certificates and instruments, if any, from time to time representing or evidencing the Pledged Deposit Accounts, the L/C Cash Deposit Account or the Pledged Cash Account (Eligible Cash);</w:t>
      </w:r>
    </w:p>
    <w:p>
      <w:pPr>
        <w:spacing w:after="0" w:line="171" w:lineRule="exact"/>
        <w:rPr>
          <w:rFonts w:ascii="Arial" w:cs="Arial" w:eastAsia="Arial" w:hAnsi="Arial"/>
          <w:sz w:val="17"/>
          <w:szCs w:val="17"/>
          <w:color w:val="auto"/>
        </w:rPr>
      </w:pPr>
    </w:p>
    <w:p>
      <w:pPr>
        <w:ind w:left="-40" w:right="20" w:firstLine="1559"/>
        <w:spacing w:after="0" w:line="297" w:lineRule="auto"/>
        <w:tabs>
          <w:tab w:leader="none" w:pos="1774"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all promissory notes, certificates of deposit, checks and other instruments from time to time delivered to or otherwise possessed by the Agent for or on behalf of such Grantor in substitution for or in addition to any or all of the then existing Account Collateral; and</w:t>
      </w:r>
    </w:p>
    <w:p>
      <w:pPr>
        <w:spacing w:after="0" w:line="156" w:lineRule="exact"/>
        <w:rPr>
          <w:rFonts w:ascii="Arial" w:cs="Arial" w:eastAsia="Arial" w:hAnsi="Arial"/>
          <w:sz w:val="17"/>
          <w:szCs w:val="17"/>
          <w:color w:val="auto"/>
        </w:rPr>
      </w:pPr>
    </w:p>
    <w:p>
      <w:pPr>
        <w:ind w:left="-40" w:right="660" w:firstLine="1559"/>
        <w:spacing w:after="0" w:line="267" w:lineRule="auto"/>
        <w:tabs>
          <w:tab w:leader="none" w:pos="182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interest, dividends, distributions, cash, instruments and other property from time to time received, receivable or otherwise distributed in respect of or in exchange for any or all of the then existing Account Collateral; and</w:t>
      </w:r>
    </w:p>
    <w:p>
      <w:pPr>
        <w:spacing w:after="0" w:line="179" w:lineRule="exact"/>
        <w:rPr>
          <w:rFonts w:ascii="Arial" w:cs="Arial" w:eastAsia="Arial" w:hAnsi="Arial"/>
          <w:sz w:val="18"/>
          <w:szCs w:val="18"/>
          <w:color w:val="auto"/>
        </w:rPr>
      </w:pPr>
    </w:p>
    <w:p>
      <w:pPr>
        <w:ind w:left="1260" w:hanging="259"/>
        <w:spacing w:after="0"/>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following (collectively, the “</w:t>
      </w:r>
      <w:r>
        <w:rPr>
          <w:rFonts w:ascii="Arial" w:cs="Arial" w:eastAsia="Arial" w:hAnsi="Arial"/>
          <w:sz w:val="18"/>
          <w:szCs w:val="18"/>
          <w:b w:val="1"/>
          <w:bCs w:val="1"/>
          <w:i w:val="1"/>
          <w:iCs w:val="1"/>
          <w:color w:val="auto"/>
        </w:rPr>
        <w:t>Intellectual Property Collateral</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40" w:right="180" w:firstLine="1559"/>
        <w:spacing w:after="0" w:line="267" w:lineRule="auto"/>
        <w:tabs>
          <w:tab w:leader="none" w:pos="1725"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patents, patent applications, utility models and statutory invention registrations, all inventions claimed or disclosed therein and all improvements thereto (“</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left="-40" w:right="140" w:firstLine="1559"/>
        <w:spacing w:after="0" w:line="257" w:lineRule="auto"/>
        <w:tabs>
          <w:tab w:leader="none" w:pos="177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trademarks, service marks, uniform resource locators (</w:t>
      </w:r>
      <w:r>
        <w:rPr>
          <w:rFonts w:ascii="Arial" w:cs="Arial" w:eastAsia="Arial" w:hAnsi="Arial"/>
          <w:sz w:val="18"/>
          <w:szCs w:val="18"/>
          <w:b w:val="1"/>
          <w:bCs w:val="1"/>
          <w:i w:val="1"/>
          <w:iCs w:val="1"/>
          <w:color w:val="auto"/>
        </w:rPr>
        <w:t>“URLs”</w:t>
      </w:r>
      <w:r>
        <w:rPr>
          <w:rFonts w:ascii="Arial" w:cs="Arial" w:eastAsia="Arial" w:hAnsi="Arial"/>
          <w:sz w:val="18"/>
          <w:szCs w:val="18"/>
          <w:color w:val="auto"/>
        </w:rPr>
        <w:t>), domain names, trade dress, logos, designs, slogans, trade names, business names, corporate names and other source identifiers, whether registered or unregistered, together, in each case, with the goodwill symbolized thereby (“</w:t>
      </w:r>
      <w:r>
        <w:rPr>
          <w:rFonts w:ascii="Arial" w:cs="Arial" w:eastAsia="Arial" w:hAnsi="Arial"/>
          <w:sz w:val="18"/>
          <w:szCs w:val="18"/>
          <w:b w:val="1"/>
          <w:bCs w:val="1"/>
          <w:i w:val="1"/>
          <w:iCs w:val="1"/>
          <w:color w:val="auto"/>
        </w:rPr>
        <w:t>Trademarks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40" w:right="80" w:firstLine="1559"/>
        <w:spacing w:after="0" w:line="270" w:lineRule="auto"/>
        <w:tabs>
          <w:tab w:leader="none" w:pos="1823"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all copyrights, including copyrights in computer software, internet web sites and the content thereof, whether registered or unregistered (“</w:t>
      </w:r>
      <w:r>
        <w:rPr>
          <w:rFonts w:ascii="Arial" w:cs="Arial" w:eastAsia="Arial" w:hAnsi="Arial"/>
          <w:sz w:val="17"/>
          <w:szCs w:val="17"/>
          <w:b w:val="1"/>
          <w:bCs w:val="1"/>
          <w:i w:val="1"/>
          <w:iCs w:val="1"/>
          <w:color w:val="auto"/>
        </w:rPr>
        <w:t>Copyrights</w:t>
      </w:r>
      <w:r>
        <w:rPr>
          <w:rFonts w:ascii="Arial" w:cs="Arial" w:eastAsia="Arial" w:hAnsi="Arial"/>
          <w:sz w:val="17"/>
          <w:szCs w:val="17"/>
          <w:color w:val="auto"/>
        </w:rPr>
        <w:t>”); all confidential and proprietary information, including know-how, trade secrets, manufacturing and production processes and techniques, inventions, research and development information, databases and data, including technical data, financial, marketing and business data, pricing and cost information, business and marketing plans and customer and supplier lists and information (collectively, “</w:t>
      </w:r>
      <w:r>
        <w:rPr>
          <w:rFonts w:ascii="Arial" w:cs="Arial" w:eastAsia="Arial" w:hAnsi="Arial"/>
          <w:sz w:val="17"/>
          <w:szCs w:val="17"/>
          <w:b w:val="1"/>
          <w:bCs w:val="1"/>
          <w:i w:val="1"/>
          <w:iCs w:val="1"/>
          <w:color w:val="auto"/>
        </w:rPr>
        <w:t>Trade Secrets</w:t>
      </w:r>
      <w:r>
        <w:rPr>
          <w:rFonts w:ascii="Arial" w:cs="Arial" w:eastAsia="Arial" w:hAnsi="Arial"/>
          <w:sz w:val="17"/>
          <w:szCs w:val="17"/>
          <w:color w:val="auto"/>
        </w:rPr>
        <w:t>”), and all other intellectual, industrial and intangible property of any type, including industrial designs and mask works;</w:t>
      </w:r>
    </w:p>
    <w:p>
      <w:pPr>
        <w:spacing w:after="0" w:line="180" w:lineRule="exact"/>
        <w:rPr>
          <w:rFonts w:ascii="Arial" w:cs="Arial" w:eastAsia="Arial" w:hAnsi="Arial"/>
          <w:sz w:val="17"/>
          <w:szCs w:val="17"/>
          <w:color w:val="auto"/>
        </w:rPr>
      </w:pPr>
    </w:p>
    <w:p>
      <w:pPr>
        <w:ind w:left="-40" w:right="140" w:firstLine="1559"/>
        <w:spacing w:after="0" w:line="331" w:lineRule="auto"/>
        <w:tabs>
          <w:tab w:leader="none" w:pos="181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except as set forth above, all registrations and applications for registration for any of the foregoing, including those registrations and applications for registration, together with all reissues, divisions, continuations, continuations-in-part, extensions, renewals and reexaminations thereof;</w:t>
      </w:r>
    </w:p>
    <w:p>
      <w:pPr>
        <w:spacing w:after="0" w:line="132" w:lineRule="exact"/>
        <w:rPr>
          <w:rFonts w:ascii="Arial" w:cs="Arial" w:eastAsia="Arial" w:hAnsi="Arial"/>
          <w:sz w:val="16"/>
          <w:szCs w:val="16"/>
          <w:color w:val="auto"/>
        </w:rPr>
      </w:pPr>
    </w:p>
    <w:p>
      <w:pPr>
        <w:ind w:left="-40" w:right="100" w:firstLine="1559"/>
        <w:spacing w:after="0" w:line="267" w:lineRule="auto"/>
        <w:tabs>
          <w:tab w:leader="none" w:pos="176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agreements, permits, consents, orders and franchises relating to the license, development, use or disclosure of any of the foregoing to which such Grantor, now or hereafter, is a party or a beneficiary (“</w:t>
      </w:r>
      <w:r>
        <w:rPr>
          <w:rFonts w:ascii="Arial" w:cs="Arial" w:eastAsia="Arial" w:hAnsi="Arial"/>
          <w:sz w:val="18"/>
          <w:szCs w:val="18"/>
          <w:b w:val="1"/>
          <w:bCs w:val="1"/>
          <w:i w:val="1"/>
          <w:iCs w:val="1"/>
          <w:color w:val="auto"/>
        </w:rPr>
        <w:t>IP Agreements</w:t>
      </w:r>
      <w:r>
        <w:rPr>
          <w:rFonts w:ascii="Arial" w:cs="Arial" w:eastAsia="Arial" w:hAnsi="Arial"/>
          <w:sz w:val="18"/>
          <w:szCs w:val="18"/>
          <w:color w:val="auto"/>
        </w:rPr>
        <w:t>”); and</w:t>
      </w:r>
    </w:p>
    <w:p>
      <w:pPr>
        <w:spacing w:after="0" w:line="179" w:lineRule="exact"/>
        <w:rPr>
          <w:rFonts w:ascii="Arial" w:cs="Arial" w:eastAsia="Arial" w:hAnsi="Arial"/>
          <w:sz w:val="18"/>
          <w:szCs w:val="18"/>
          <w:color w:val="auto"/>
        </w:rPr>
      </w:pPr>
    </w:p>
    <w:p>
      <w:pPr>
        <w:ind w:left="-40" w:right="240" w:firstLine="1559"/>
        <w:spacing w:after="0" w:line="331" w:lineRule="auto"/>
        <w:tabs>
          <w:tab w:leader="none" w:pos="181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any and all claims for damages and injunctive relief for past, present and future infringement, dilution, misappropriation, violation, misuse or breach with respect to any of the foregoing, with the right, but not the obligation, to sue for and collect, or otherwise recover, such damages;</w:t>
      </w:r>
    </w:p>
    <w:p>
      <w:pPr>
        <w:spacing w:after="0" w:line="132" w:lineRule="exact"/>
        <w:rPr>
          <w:rFonts w:ascii="Arial" w:cs="Arial" w:eastAsia="Arial" w:hAnsi="Arial"/>
          <w:sz w:val="16"/>
          <w:szCs w:val="16"/>
          <w:color w:val="auto"/>
        </w:rPr>
      </w:pPr>
    </w:p>
    <w:p>
      <w:pPr>
        <w:ind w:left="1260" w:hanging="259"/>
        <w:spacing w:after="0"/>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documents, all money and all letter-of-credit rights;</w:t>
      </w:r>
    </w:p>
    <w:p>
      <w:pPr>
        <w:spacing w:after="0" w:line="219" w:lineRule="exact"/>
        <w:rPr>
          <w:rFonts w:ascii="Arial" w:cs="Arial" w:eastAsia="Arial" w:hAnsi="Arial"/>
          <w:sz w:val="18"/>
          <w:szCs w:val="18"/>
          <w:color w:val="auto"/>
        </w:rPr>
      </w:pPr>
    </w:p>
    <w:p>
      <w:pPr>
        <w:ind w:left="-40" w:right="560" w:firstLine="1041"/>
        <w:spacing w:after="0" w:line="267" w:lineRule="auto"/>
        <w:tabs>
          <w:tab w:leader="none" w:pos="120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books and records and documents (including databases, customer lists, credit files, computer files, printouts, other computer output materials and records and other records) of the Grantors pertaining to any of the Grantors’ Collateral;</w:t>
      </w:r>
    </w:p>
    <w:p>
      <w:pPr>
        <w:spacing w:after="0" w:line="179" w:lineRule="exact"/>
        <w:rPr>
          <w:rFonts w:ascii="Arial" w:cs="Arial" w:eastAsia="Arial" w:hAnsi="Arial"/>
          <w:sz w:val="18"/>
          <w:szCs w:val="18"/>
          <w:color w:val="auto"/>
        </w:rPr>
      </w:pPr>
    </w:p>
    <w:p>
      <w:pPr>
        <w:ind w:left="-40" w:right="540" w:firstLine="1041"/>
        <w:spacing w:after="0" w:line="267" w:lineRule="auto"/>
        <w:tabs>
          <w:tab w:leader="none" w:pos="120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other property not otherwise described above (except for any property specifically excluded from any clause in this section, and any property specifically excluded from any defined term used in any clause of this section); and</w:t>
      </w:r>
    </w:p>
    <w:p>
      <w:pPr>
        <w:spacing w:after="0" w:line="179" w:lineRule="exact"/>
        <w:rPr>
          <w:rFonts w:ascii="Arial" w:cs="Arial" w:eastAsia="Arial" w:hAnsi="Arial"/>
          <w:sz w:val="18"/>
          <w:szCs w:val="18"/>
          <w:color w:val="auto"/>
        </w:rPr>
      </w:pPr>
    </w:p>
    <w:p>
      <w:pPr>
        <w:ind w:left="1260" w:hanging="259"/>
        <w:spacing w:after="0"/>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proceeds of and payments under business interruption insurance;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66675</wp:posOffset>
            </wp:positionV>
            <wp:extent cx="729043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80" w:top="340" w:right="259" w:bottom="1440" w:gutter="0" w:footer="0" w:header="0"/>
        </w:sectPr>
      </w:pPr>
    </w:p>
    <w:bookmarkStart w:id="223" w:name="page224"/>
    <w:bookmarkEnd w:id="223"/>
    <w:p>
      <w:pPr>
        <w:ind w:right="80" w:firstLine="1041"/>
        <w:spacing w:after="0" w:line="252" w:lineRule="auto"/>
        <w:tabs>
          <w:tab w:leader="none" w:pos="124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proceeds of, collateral for, income, royalties and other payments now or hereafter due and payable with respect to, and supporting obligations relating to, any and all of the Collateral (including proceeds, collateral and supporting obligations that constitute property of the types described in clauses (a) through (h) of this Section 1) and, to the extent not otherwise included, all (A) payments under insurance (whether or not the Agent is the loss payee thereof), or any indemnity, warranty or guaranty, payable by reason of loss or damage to or otherwise with respect to any of the foregoing Collateral, and (B) cash and cash equivalents, including all Eligible Cash and US Cash;</w:t>
      </w:r>
    </w:p>
    <w:p>
      <w:pPr>
        <w:spacing w:after="0" w:line="193" w:lineRule="exact"/>
        <w:rPr>
          <w:sz w:val="20"/>
          <w:szCs w:val="20"/>
          <w:color w:val="auto"/>
        </w:rPr>
      </w:pPr>
    </w:p>
    <w:p>
      <w:pPr>
        <w:spacing w:after="0" w:line="28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notwithstanding any of the other provisions set forth in this Section 1 or in any Loan Document, no Excluded Property shall constitute Collateral under this Agreement. For purposes of this Agreement and the other Loan Documents, “</w:t>
      </w:r>
      <w:r>
        <w:rPr>
          <w:rFonts w:ascii="Arial" w:cs="Arial" w:eastAsia="Arial" w:hAnsi="Arial"/>
          <w:sz w:val="16"/>
          <w:szCs w:val="16"/>
          <w:b w:val="1"/>
          <w:bCs w:val="1"/>
          <w:i w:val="1"/>
          <w:iCs w:val="1"/>
          <w:color w:val="auto"/>
        </w:rPr>
        <w:t>Excluded Property</w:t>
      </w:r>
      <w:r>
        <w:rPr>
          <w:rFonts w:ascii="Arial" w:cs="Arial" w:eastAsia="Arial" w:hAnsi="Arial"/>
          <w:sz w:val="16"/>
          <w:szCs w:val="16"/>
          <w:color w:val="auto"/>
        </w:rPr>
        <w:t>” shall mean (1) any property to the extent that such grant of a security interest (x) is prohibited by any applicable Requirements of Law, (y) requires a consent not obtained of any Governmental Authority pursuant to such applicable Requirement of Law or (z) is prohibited by, or constitutes a breach or default under or results in the termination of or requires any consent not obtained under, any contract, license, agreement, instrument or other document evidencing or giving rise to such property or, in the case of any Security Collateral (other than any of the foregoing issued by a Grantor),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(2) any lease, license or other agreement or any property that is subject to a purchase money Lien or capital lease or similar arrangement (in each case permitted by the Credit Agreement and for so long as subject to such purchase money Lien, capital lease or similar arrangement), in each case to the extent that a grant of a Lien therein would violate or invalidate such lease, license or agreement or such purchase money, capital lease or similar arrangement or create a right of termination in favor of any party thereto (other than a Loan Party), except to the extent that such lease, license or other agreement or other document providing for such violation or invalidation or termination right is ineffective under applicable law (it being understood that Excluded Property shall not include proceeds and Receivables in respect of the foregoing), (3) any United States trademark or service mark application filed on the basis of a Grantor’s “intent-to-use” such trademark or service mark pursuant to Section 1(b) the Lanham Act, 15 U.S.C. § 1051, in each case, to the extent the inclusion in the Collateral of any such application would void, impair or invalidate any such application or any resulting registration, unless and until an Amendment to Allege Use or a Statement of Use under Section 1(c) or 1(d) of said Act is filed with and accepted by the United States Patent and Trademark Office, (4) any property to the extent a security interest in such property would result in material adverse tax consequences as reasonably determined by the Borrower and the Agent, including any of the equity interests of any domestic Subsidiary of the Borrower that is a direct or indirect Subsidiary of a CFC, (5) any fee-owned real property and all leasehold interests in real property, (6) any Excluded Account, (7) any of the equity interests of any Foreign Subsidiary of the Borrower that is not a Material First-Tier Foreign Subsidiary, each of which, as of the date hereof, is indicated on Part III of Schedule I hereto, (8) any of the equity interests of any Subsidiary of the Borrower that is a Material First-Tier Foreign Subsidiary in excess of 65% of all of the issued and outstanding shares of capital stock of such Material First-Tier Foreign Subsidiary entitled to vote (within the meaning of Treasury Regulation Section 1.956-2), and (9) any assets of Borrower, Qualex, Inc. or Kodak (Near East), Inc. which have been Disposed of on or before the Initial Closing Date pursuant to the KPP Global Settlement. Notwithstanding anything herein or in any other Loan Document, the Grantors shall not be required to perfect the Agent’s security interest in (i) motor vehicles and other assets subject to certificates of title to the extent a Lien thereon cannot be perfected by the filing of a UCC financing statement, (ii) Letter-of-Credit Rights, (iii) disbursement accounts and (iv) any property as to which the Agent shall agree in writing that the cost of obtaining a security interest or perfection thereof would be excessive in relation to the value of the security to be afforded thereby. For purposes of this Agreement, “</w:t>
      </w:r>
      <w:r>
        <w:rPr>
          <w:rFonts w:ascii="Arial" w:cs="Arial" w:eastAsia="Arial" w:hAnsi="Arial"/>
          <w:sz w:val="16"/>
          <w:szCs w:val="16"/>
          <w:b w:val="1"/>
          <w:bCs w:val="1"/>
          <w:i w:val="1"/>
          <w:iCs w:val="1"/>
          <w:color w:val="auto"/>
        </w:rPr>
        <w:t>Requirements of Law</w:t>
      </w:r>
      <w:r>
        <w:rPr>
          <w:rFonts w:ascii="Arial" w:cs="Arial" w:eastAsia="Arial" w:hAnsi="Arial"/>
          <w:sz w:val="16"/>
          <w:szCs w:val="16"/>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5" w:lineRule="exact"/>
        <w:rPr>
          <w:sz w:val="20"/>
          <w:szCs w:val="20"/>
          <w:color w:val="auto"/>
        </w:rPr>
      </w:pPr>
    </w:p>
    <w:p>
      <w:pPr>
        <w:ind w:right="20" w:firstLine="518"/>
        <w:spacing w:after="0" w:line="28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Security for Obligations</w:t>
      </w:r>
      <w:r>
        <w:rPr>
          <w:rFonts w:ascii="Arial" w:cs="Arial" w:eastAsia="Arial" w:hAnsi="Arial"/>
          <w:sz w:val="16"/>
          <w:szCs w:val="16"/>
          <w:color w:val="auto"/>
        </w:rPr>
        <w:t>. This Agreement secures, in the case of each Grantor, the payment of all obligations of such Grantor and the Subsidiaries of the Company now or hereafter existing under (a) the Loan Documents, (b) the Specified Secured Creditor Agreements, and (c) the Bank Product Agreements, whether direct or indirect, absolute or contingent, and whether for principal, reimbursement obligations, interest, fees, premiums, penalties, indemnifications, contract causes of action, costs, expenses or otherwise (all such obligations being the “</w:t>
      </w:r>
      <w:r>
        <w:rPr>
          <w:rFonts w:ascii="Arial" w:cs="Arial" w:eastAsia="Arial" w:hAnsi="Arial"/>
          <w:sz w:val="16"/>
          <w:szCs w:val="16"/>
          <w:b w:val="1"/>
          <w:bCs w:val="1"/>
          <w:i w:val="1"/>
          <w:iCs w:val="1"/>
          <w:color w:val="auto"/>
        </w:rPr>
        <w:t>Secured Obligations</w:t>
      </w:r>
      <w:r>
        <w:rPr>
          <w:rFonts w:ascii="Arial" w:cs="Arial" w:eastAsia="Arial" w:hAnsi="Arial"/>
          <w:sz w:val="16"/>
          <w:szCs w:val="16"/>
          <w:color w:val="auto"/>
        </w:rPr>
        <w:t>”) owing to the Secured</w:t>
      </w:r>
    </w:p>
    <w:p>
      <w:pPr>
        <w:spacing w:after="0" w:line="3"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Parties. Without limiting the generality of the foregoing, this Agreement secures, as to each Grantor, the payment of all amounts that constitute part of the Secured Obligations and would be owed by such Grantor or Subsidiary of the Company, as applicable, to any Secured Party under the Loan Documents, the Specified Secured Creditor Agreements or the Bank Product Agreements but for the fact that they are unenforceable or not allowable due to the existence of a bankruptcy, reorganization or similar proceeding involving any of the Loan Parties and other Subsidiaries of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4" w:name="page225"/>
    <w:bookmarkEnd w:id="224"/>
    <w:p>
      <w:pPr>
        <w:ind w:right="20" w:firstLine="518"/>
        <w:spacing w:after="0" w:line="28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Grantors Remain Liable.</w:t>
      </w:r>
      <w:r>
        <w:rPr>
          <w:rFonts w:ascii="Arial" w:cs="Arial" w:eastAsia="Arial" w:hAnsi="Arial"/>
          <w:sz w:val="16"/>
          <w:szCs w:val="16"/>
          <w:color w:val="auto"/>
        </w:rPr>
        <w:t xml:space="preserve"> Anything herein to the contrary notwithstanding, (a) each Grantor shall remain liable under the contracts and agreements included in such Grantor’s Collateral to perform all of its duties and obligations thereunder to the extent set forth therein to the same extent as if this Agreement had not been executed, (b) the exercise by the Agent of any of the rights hereunder shall not release any Grantor from any of its duties or obligations under the contracts and agreements included in the Collateral and (c) no Secured Party shall have any obligation or liability under the contracts and agreements included in the Collateral by reason of this Agreement or any other Loan Document, nor shall any Secured Party be obligated to perform any of the obligations or duties of any Grantor thereunder or to take any action to collect or enforce any claim for payment assigned hereunder.</w:t>
      </w:r>
    </w:p>
    <w:p>
      <w:pPr>
        <w:spacing w:after="0" w:line="169"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Delivery and Control of Security Collateral</w:t>
      </w:r>
      <w:r>
        <w:rPr>
          <w:rFonts w:ascii="Arial" w:cs="Arial" w:eastAsia="Arial" w:hAnsi="Arial"/>
          <w:sz w:val="17"/>
          <w:szCs w:val="17"/>
          <w:color w:val="auto"/>
        </w:rPr>
        <w:t>. (a) Subject to the Intercreditor Agreement, all certificates or instruments representing or evidencing Pledged Equity or Pledged Debt shall be promptly delivered to and held by or on behalf of the Agent pursuant hereto and shall be in suitable form for transfer by delivery, or shall be accompanied by duly executed instruments of transfer or assignment in blank, all in form and substance reasonably satisfactory to the Agent except to the extent that such transfer or assignment is prohibited by applicable law. With respect to any Pledged Equity existing on the Closing Date, the transfer or assignment of which is subject to (x) certain corporate actions by the holders of or issuers of Initial Pledged Equity issued by Foreign Subsidiaries which have not occurred as of the Closing Date despite the Grantors’ use of commercially reasonable efforts to cause such corporate actions to occur prior to the Closing Date or (y) governmental approvals or consents which have not been obtained as of the Closing Date despite the Grantors’ use of commercially reasonable efforts to cause such approvals or consents to be obtained prior to the Closing Date, the Grantors shall cause such corporate actions to occur or shall obtain such approvals or consents within 45 days after the Closing Date (or such later date as the Administrative Agent shall reasonably agree).</w:t>
      </w:r>
    </w:p>
    <w:p>
      <w:pPr>
        <w:spacing w:after="0" w:line="189" w:lineRule="exact"/>
        <w:rPr>
          <w:sz w:val="20"/>
          <w:szCs w:val="20"/>
          <w:color w:val="auto"/>
        </w:rPr>
      </w:pPr>
    </w:p>
    <w:p>
      <w:pPr>
        <w:ind w:right="100" w:firstLine="1041"/>
        <w:spacing w:after="0" w:line="285" w:lineRule="auto"/>
        <w:tabs>
          <w:tab w:leader="none" w:pos="1286" w:val="left"/>
        </w:tabs>
        <w:numPr>
          <w:ilvl w:val="1"/>
          <w:numId w:val="203"/>
        </w:numPr>
        <w:rPr>
          <w:rFonts w:ascii="Arial" w:cs="Arial" w:eastAsia="Arial" w:hAnsi="Arial"/>
          <w:sz w:val="16"/>
          <w:szCs w:val="16"/>
          <w:color w:val="auto"/>
        </w:rPr>
      </w:pPr>
      <w:r>
        <w:rPr>
          <w:rFonts w:ascii="Arial" w:cs="Arial" w:eastAsia="Arial" w:hAnsi="Arial"/>
          <w:sz w:val="16"/>
          <w:szCs w:val="16"/>
          <w:color w:val="auto"/>
        </w:rPr>
        <w:t>With respect to any Security Collateral representing interests in which any Grantor has any right, title or interest and that constitutes an uncertificated security, such Grantor will use commercially reasonable efforts (or in the case of a wholly-owned Subsidiary, take all actions necessary) to cause</w:t>
      </w:r>
    </w:p>
    <w:p>
      <w:pPr>
        <w:ind w:right="20" w:firstLine="7"/>
        <w:spacing w:after="0" w:line="291" w:lineRule="auto"/>
        <w:tabs>
          <w:tab w:leader="none" w:pos="21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issuers of such Security Collateral and (ii) any securities intermediary which is the holder of any such Security Collateral, to cause the Agent to have and retain, subject to the Intercreditor Agreement, Control over such Security Collateral. Without limiting the foregoing, such Grantor will, with respect to any such Security Collateral held with a securities intermediary, use commercially reasonable efforts to cause such securities intermediary to enter into a control agreement with the Agent, in form and substance reasonably satisfactory to the Agent, giving the Agent Control, subject to the Intercreditor Agreement.</w:t>
      </w:r>
    </w:p>
    <w:p>
      <w:pPr>
        <w:spacing w:after="0" w:line="163" w:lineRule="exact"/>
        <w:rPr>
          <w:rFonts w:ascii="Arial" w:cs="Arial" w:eastAsia="Arial" w:hAnsi="Arial"/>
          <w:sz w:val="16"/>
          <w:szCs w:val="16"/>
          <w:color w:val="auto"/>
        </w:rPr>
      </w:pPr>
    </w:p>
    <w:p>
      <w:pPr>
        <w:ind w:firstLine="1041"/>
        <w:spacing w:after="0" w:line="291" w:lineRule="auto"/>
        <w:tabs>
          <w:tab w:leader="none" w:pos="127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With respect to any securities or commodity account and any Security Collateral that constitutes a security entitlement (other than a security entitlement which is an uncertificated security, which for the avoidance of doubt shall be subject to the preceding Section 4(b)), within 60 days after the Closing Date (or such later date as the Administrative Agent shall reasonably agree), the relevant Grantor will cause the securities intermediary with respect to such security or commodity account or security entitlement to identify in its records the Agent as the entitlement holder thereof or enter into a control agreement with the Agent, in form and substance reasonably satisfactory to the Agent, giving the Agent Control, subject to the Intercreditor Agreement.</w:t>
      </w:r>
    </w:p>
    <w:p>
      <w:pPr>
        <w:spacing w:after="0" w:line="164" w:lineRule="exact"/>
        <w:rPr>
          <w:rFonts w:ascii="Arial" w:cs="Arial" w:eastAsia="Arial" w:hAnsi="Arial"/>
          <w:sz w:val="16"/>
          <w:szCs w:val="16"/>
          <w:color w:val="auto"/>
        </w:rPr>
      </w:pPr>
    </w:p>
    <w:p>
      <w:pPr>
        <w:ind w:right="140" w:firstLine="1041"/>
        <w:spacing w:after="0" w:line="269" w:lineRule="auto"/>
        <w:tabs>
          <w:tab w:leader="none" w:pos="1286" w:val="left"/>
        </w:tabs>
        <w:numPr>
          <w:ilvl w:val="1"/>
          <w:numId w:val="204"/>
        </w:numPr>
        <w:rPr>
          <w:rFonts w:ascii="Arial" w:cs="Arial" w:eastAsia="Arial" w:hAnsi="Arial"/>
          <w:sz w:val="17"/>
          <w:szCs w:val="17"/>
          <w:color w:val="auto"/>
        </w:rPr>
      </w:pPr>
      <w:r>
        <w:rPr>
          <w:rFonts w:ascii="Arial" w:cs="Arial" w:eastAsia="Arial" w:hAnsi="Arial"/>
          <w:sz w:val="17"/>
          <w:szCs w:val="17"/>
          <w:color w:val="auto"/>
        </w:rPr>
        <w:t>Subject to the Intercreditor Agreement and upon the occurrence and during the continuance of an Event of Default, each Grantor shall cause the Security Collateral to be registered in the name of the Agent or such of its nominees as the Agent shall direct, subject only to the revocable rights specified in Section 12(a). In addition, the Agent shall have the right upon the occurrence and during the continuance of an Event of Default to convert Security Collateral consisting of financial assets credited to any securities account or the L/C Cash Deposit Account to Security Collateral consisting of financial assets held directly by the Agent, and to convert Security Collateral consisting of financial assets held directly by the Agent to Security Collateral consisting of financial assets credited to any securities or commodity account or the L/C Cash Deposit Account.</w:t>
      </w:r>
    </w:p>
    <w:p>
      <w:pPr>
        <w:spacing w:after="0" w:line="178" w:lineRule="exact"/>
        <w:rPr>
          <w:rFonts w:ascii="Arial" w:cs="Arial" w:eastAsia="Arial" w:hAnsi="Arial"/>
          <w:sz w:val="17"/>
          <w:szCs w:val="17"/>
          <w:color w:val="auto"/>
        </w:rPr>
      </w:pPr>
    </w:p>
    <w:p>
      <w:pPr>
        <w:ind w:right="40" w:firstLine="1041"/>
        <w:spacing w:after="0" w:line="267" w:lineRule="auto"/>
        <w:tabs>
          <w:tab w:leader="none" w:pos="127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each Grantor will notify each issuer of Security Collateral granted by it hereunder that such Security Collateral is subject to the security interest granted hereunder.</w:t>
      </w:r>
    </w:p>
    <w:p>
      <w:pPr>
        <w:spacing w:after="0" w:line="180"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Delivery and Possession of Certain Cash Collateral.</w:t>
      </w:r>
      <w:r>
        <w:rPr>
          <w:rFonts w:ascii="Arial" w:cs="Arial" w:eastAsia="Arial" w:hAnsi="Arial"/>
          <w:sz w:val="16"/>
          <w:szCs w:val="16"/>
          <w:color w:val="auto"/>
        </w:rPr>
        <w:t xml:space="preserve"> Borrower may, from time to time, deposit or cause to be deposited with Agent cash denominated in dollars (such amounts, the “</w:t>
      </w:r>
      <w:r>
        <w:rPr>
          <w:rFonts w:ascii="Arial" w:cs="Arial" w:eastAsia="Arial" w:hAnsi="Arial"/>
          <w:sz w:val="16"/>
          <w:szCs w:val="16"/>
          <w:b w:val="1"/>
          <w:bCs w:val="1"/>
          <w:i w:val="1"/>
          <w:iCs w:val="1"/>
          <w:color w:val="auto"/>
        </w:rPr>
        <w:t>Eligible Cash Collateral</w:t>
      </w:r>
      <w:r>
        <w:rPr>
          <w:rFonts w:ascii="Arial" w:cs="Arial" w:eastAsia="Arial" w:hAnsi="Arial"/>
          <w:sz w:val="16"/>
          <w:szCs w:val="16"/>
          <w:color w:val="auto"/>
        </w:rPr>
        <w:t>”) by federal funds wire transfer (or other means reasonably acceptable to Agent) to the Pledged Cash Account (Eligible Cash). The Eligible Cash Collateral shall be held in and released from the Pledged Cash Account (Eligible Cash) pursuant to and in accordance with the terms and conditions of the Credit Agreement, this Agreement, and to the extent applicable, the terms of the Pledged Cash Account Agreement (Eligible Cash) and the relevant documentation establishing the Pledged Cash Account (Eligible Cash).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Grantor represents and warrants as follows:</w:t>
      </w:r>
    </w:p>
    <w:p>
      <w:pPr>
        <w:spacing w:after="0" w:line="220" w:lineRule="exact"/>
        <w:rPr>
          <w:sz w:val="20"/>
          <w:szCs w:val="20"/>
          <w:color w:val="auto"/>
        </w:rPr>
      </w:pPr>
    </w:p>
    <w:p>
      <w:pPr>
        <w:ind w:left="-520" w:right="220" w:firstLine="1041"/>
        <w:spacing w:after="0" w:line="291" w:lineRule="auto"/>
        <w:tabs>
          <w:tab w:leader="none" w:pos="75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Such Grantor’s exact legal name, chief executive office, type of organization, jurisdiction of organization, organizational identification number and Federal Employer Identification Number as of the date hereof is set forth in Schedule V hereto. Within the five years preceding the date hereof, such Grantor has not changed its legal name, chief executive office, type of organization, jurisdiction of organization, organizational identification number or Federal Employer Identification Number from those set forth in Schedule V hereto except as set forth in Schedule VI hereto. Each of the trade names owned and used by the any Grantor in the operation of its business (e.g. billing, advertising, etc.) are set forth in Schedule V hereto.</w:t>
      </w:r>
    </w:p>
    <w:p>
      <w:pPr>
        <w:spacing w:after="0" w:line="164" w:lineRule="exact"/>
        <w:rPr>
          <w:rFonts w:ascii="Arial" w:cs="Arial" w:eastAsia="Arial" w:hAnsi="Arial"/>
          <w:sz w:val="16"/>
          <w:szCs w:val="16"/>
          <w:color w:val="auto"/>
        </w:rPr>
      </w:pPr>
    </w:p>
    <w:p>
      <w:pPr>
        <w:ind w:left="-520" w:firstLine="1041"/>
        <w:spacing w:after="0" w:line="267" w:lineRule="auto"/>
        <w:tabs>
          <w:tab w:leader="none" w:pos="76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Since the date of four (4) months prior to the date hereof, each Grantor has made or entered into only the mergers and acquisitions set forth on Schedule XI hereto.</w:t>
      </w:r>
    </w:p>
    <w:p>
      <w:pPr>
        <w:spacing w:after="0" w:line="179" w:lineRule="exact"/>
        <w:rPr>
          <w:rFonts w:ascii="Arial" w:cs="Arial" w:eastAsia="Arial" w:hAnsi="Arial"/>
          <w:sz w:val="18"/>
          <w:szCs w:val="18"/>
          <w:color w:val="auto"/>
        </w:rPr>
      </w:pPr>
    </w:p>
    <w:p>
      <w:pPr>
        <w:ind w:left="-520" w:right="660" w:firstLine="1041"/>
        <w:spacing w:after="0" w:line="267" w:lineRule="auto"/>
        <w:tabs>
          <w:tab w:leader="none" w:pos="75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books and records of each Grantor pertaining to accounts, contract rights, inventory, and other assets are located at the addresses indicated for each Grantor on Schedule XII hereto.</w:t>
      </w:r>
    </w:p>
    <w:p>
      <w:pPr>
        <w:spacing w:after="0" w:line="179" w:lineRule="exact"/>
        <w:rPr>
          <w:rFonts w:ascii="Arial" w:cs="Arial" w:eastAsia="Arial" w:hAnsi="Arial"/>
          <w:sz w:val="18"/>
          <w:szCs w:val="18"/>
          <w:color w:val="auto"/>
        </w:rPr>
      </w:pPr>
    </w:p>
    <w:p>
      <w:pPr>
        <w:ind w:left="-520" w:firstLine="1041"/>
        <w:spacing w:after="0" w:line="288" w:lineRule="auto"/>
        <w:tabs>
          <w:tab w:leader="none" w:pos="76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Such Grantor is the legal and beneficial owner of the Collateral and has rights in, the power to transfer, or a valid right to use, the Collateral with respect to which it has purported to grant a security interest hereunder, free and clear of any Lien, claim, option or right of others, except for the security interest created under this Agreement or Liens permitted under the Credit Agreement, and has full power and authority to grant to the Agent the security interest in such Collateral granted hereunder pursuant to the terms hereof. No effective financing statement or other instrument similar in effect covering all or any part of such Collateral or listing such Grantor or any trade name of such Grantor as debtor is on file in any recording office, except such as may exist on the date of this Agreement, have been filed in favor of the Agent relating to the Loan Documents or are otherwise permitted under the Credit Agreement.</w:t>
      </w:r>
    </w:p>
    <w:p>
      <w:pPr>
        <w:spacing w:after="0" w:line="168" w:lineRule="exact"/>
        <w:rPr>
          <w:rFonts w:ascii="Arial" w:cs="Arial" w:eastAsia="Arial" w:hAnsi="Arial"/>
          <w:sz w:val="16"/>
          <w:szCs w:val="16"/>
          <w:color w:val="auto"/>
        </w:rPr>
      </w:pPr>
    </w:p>
    <w:p>
      <w:pPr>
        <w:ind w:left="-520" w:firstLine="1041"/>
        <w:spacing w:after="0" w:line="282" w:lineRule="auto"/>
        <w:tabs>
          <w:tab w:leader="none" w:pos="75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When financing statements naming such Grantor as debtor and the Agent as secured party and providing a description of the Collateral with respect to which such Grantor has purported to grant a security interest hereunder have been filed in the appropriate offices against such Grantor in the locations listed on Schedule XIII, the Agent will have a fully perfected and, subject to the Intercreditor Agreement, first priority security interest (except as enforceability may be affected by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 subject only to Liens permitted under the Credit Agreement, in that Collateral of the Grantor in which a security interest may be perfected by filing of an initial financing statement in the appropriate office against such Grantor;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filing of Intellectual Property security agreements with the United States Patent and Trademark Office and the United States Copyright Office may be necessary to perfect the security interest of the Agent in respect of any registered U.S. Patents, U.S. Patent applications, registered or applied for U.S. Trademarks and registered or applied for U.S. Copyrights, (ii) additional filings may be necessary to perfect the Agent’s security interest in any registered U.S. Patents, U.S. Patent applications, registered or applied for U.S. Trademarks and registered or applied for U.S. Copyrights acquired by such Grantor after the date hereof, and (iii) upon completion of the filings referred to in this Section 6(e) and the other actions specified on Schedule XIV, the security interests granted pursuant to this Agreement will constitute valid perfected security interests in all of the Collateral (other than Excluded Property) in favor of the Agent as collateral security for the Secured Obligations. Notwithstanding the foregoing, nothing in this Agreement shall require any Grantor to make any filings or take any other actions to record or perfect the Agent’s Lien on and security interest in any Intellectual Property outside the United States (or to reimburse the Agent for the same).</w:t>
      </w:r>
    </w:p>
    <w:p>
      <w:pPr>
        <w:spacing w:after="0" w:line="170" w:lineRule="exact"/>
        <w:rPr>
          <w:rFonts w:ascii="Arial" w:cs="Arial" w:eastAsia="Arial" w:hAnsi="Arial"/>
          <w:sz w:val="16"/>
          <w:szCs w:val="16"/>
          <w:color w:val="auto"/>
        </w:rPr>
      </w:pPr>
    </w:p>
    <w:p>
      <w:pPr>
        <w:ind w:left="-520" w:right="60" w:firstLine="1041"/>
        <w:spacing w:after="0" w:line="270" w:lineRule="auto"/>
        <w:tabs>
          <w:tab w:leader="none" w:pos="73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All of such Grantor’s locations where Equipment and Inventory having a value in excess of $1,000,000 is located as of the date hereof are specified in Schedule VIII and Schedule IX hereto, respectively (other than Collateral in transit in the ordinary course of business, in use or on display at any trade show, conference or similar event in the ordinary course of business, maintained with customers (or otherwise on the premises of customers) and consignees in the ordinary course of business or in the possession of employees in the ordinary course of business). Such Grantor has exclusive possession and control of its Inventory, other than Inventory stored at any leased premises or third party warehouse.</w:t>
      </w:r>
    </w:p>
    <w:p>
      <w:pPr>
        <w:spacing w:after="0" w:line="180" w:lineRule="exact"/>
        <w:rPr>
          <w:rFonts w:ascii="Arial" w:cs="Arial" w:eastAsia="Arial" w:hAnsi="Arial"/>
          <w:sz w:val="17"/>
          <w:szCs w:val="17"/>
          <w:color w:val="auto"/>
        </w:rPr>
      </w:pPr>
    </w:p>
    <w:p>
      <w:pPr>
        <w:ind w:left="-520" w:right="120" w:firstLine="1041"/>
        <w:spacing w:after="0" w:line="331" w:lineRule="auto"/>
        <w:tabs>
          <w:tab w:leader="none" w:pos="76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None of the Receivables or Agreement Collateral is evidenced by a promissory note or other instrument in excess of $3,750,000 that has not been delivered to the Agent. All such Receivables or Agreement Collateral valued in excess of $3,750,000 is listed on Schedule III attached hereto.</w:t>
      </w:r>
    </w:p>
    <w:p>
      <w:pPr>
        <w:spacing w:after="0" w:line="132" w:lineRule="exact"/>
        <w:rPr>
          <w:rFonts w:ascii="Arial" w:cs="Arial" w:eastAsia="Arial" w:hAnsi="Arial"/>
          <w:sz w:val="16"/>
          <w:szCs w:val="16"/>
          <w:color w:val="auto"/>
        </w:rPr>
      </w:pPr>
    </w:p>
    <w:p>
      <w:pPr>
        <w:ind w:left="-520" w:right="420" w:firstLine="1041"/>
        <w:spacing w:after="0" w:line="267" w:lineRule="auto"/>
        <w:tabs>
          <w:tab w:leader="none" w:pos="76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Subject to the Intercreditor Agreement, all Security Collateral consisting of certificated securities and instruments with an aggregate fair market value in excess of $10,000,000 for all such Security Collateral of the Grantors have been delivered to the Agent.</w:t>
      </w:r>
    </w:p>
    <w:p>
      <w:pPr>
        <w:spacing w:after="0" w:line="179" w:lineRule="exact"/>
        <w:rPr>
          <w:rFonts w:ascii="Arial" w:cs="Arial" w:eastAsia="Arial" w:hAnsi="Arial"/>
          <w:sz w:val="18"/>
          <w:szCs w:val="18"/>
          <w:color w:val="auto"/>
        </w:rPr>
      </w:pPr>
    </w:p>
    <w:p>
      <w:pPr>
        <w:ind w:left="5140" w:right="100" w:hanging="4619"/>
        <w:spacing w:after="0" w:line="514" w:lineRule="auto"/>
        <w:tabs>
          <w:tab w:leader="none" w:pos="72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such Grantor is an issuer of Security Collateral, such Grantor confirms that it has received notice of the security interest granted hereunder.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-92710</wp:posOffset>
            </wp:positionV>
            <wp:extent cx="729043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880"/>
          </w:cols>
          <w:pgMar w:left="760" w:top="341" w:right="259" w:bottom="1440" w:gutter="0" w:footer="0" w:header="0"/>
        </w:sectPr>
      </w:pPr>
    </w:p>
    <w:bookmarkStart w:id="226" w:name="page227"/>
    <w:bookmarkEnd w:id="226"/>
    <w:p>
      <w:pPr>
        <w:ind w:right="140" w:firstLine="1041"/>
        <w:spacing w:after="0" w:line="283" w:lineRule="auto"/>
        <w:tabs>
          <w:tab w:leader="none" w:pos="124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The Pledged Equity pledged by such Grantor hereunder has been duly authorized and validly issued and is fully paid and non-assessable (to the extent such concepts are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representation and warranty, insofar as it relates to the Pledged Equity issued by a Person other than a Subsidiary of a Grantor, is made to the knowledge of the Grantors. Each interest in any limited liability company or limited partnership wholly-owned by such Grantor, pledged hereunder and represented by a certificate is a “security” within the meaning of Article 8 of the UCC and is governed by Article 8 of the UCC and each such interest shall at all times hereafter be represented by a certificate. Each interest in any limited liability company or limited partnership controlled by such Grantor, pledged hereunder and not represented by a certificate either (1) is not a “security” within the meaning of Article 8 of the UCC and is not governed by Article 8 of the UCC and such Grantor shall at no time elect to treat any such interest as a “security” within the meaning of Article 8 of the UCC or issue any certificate representing such interest or (2) is a “security” within the meaning of Article 8 of the UCC and is governed by Article 8 of the UCC and, with respect to any such Pledged Equity having a value in excess of $1,000,000, such Grantor shall have entered into a control agreement with the issuer of such “security” and the Agent to establish Control with respect to such “security.” The Pledged Debt pledged by such Grantor hereunder has been duly authorized, authenticated or issued and delivered, is the legal, valid and binding obligation of the issuers thereof and, if evidenced by any promissory notes, such promissory notes have been delivered to the Agent, and is not in default.</w:t>
      </w:r>
    </w:p>
    <w:p>
      <w:pPr>
        <w:spacing w:after="0" w:line="170" w:lineRule="exact"/>
        <w:rPr>
          <w:rFonts w:ascii="Arial" w:cs="Arial" w:eastAsia="Arial" w:hAnsi="Arial"/>
          <w:sz w:val="16"/>
          <w:szCs w:val="16"/>
          <w:color w:val="auto"/>
        </w:rPr>
      </w:pPr>
    </w:p>
    <w:p>
      <w:pPr>
        <w:ind w:right="40" w:firstLine="1041"/>
        <w:spacing w:after="0" w:line="273" w:lineRule="auto"/>
        <w:tabs>
          <w:tab w:leader="none" w:pos="128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Initial Pledged Equity in Foreign Subsidiaries pledged by such Grantor constitutes, as of the date hereof, 65% of the issued and outstanding equity interests entitled to vote (within the meaning of Treasury Regulation Section 1.956-1) of the issuers thereof indicated on Part I of Schedule I hereto, each of which is a Material First-Tier Foreign Subsidiary. The Initial Pledged Debt constitutes all of the outstanding Debt for Borrowed Money owed to such Grantor by the issuers thereof (other than intercompany Indebtedness in respect of the KPP Global Settlement).</w:t>
      </w:r>
    </w:p>
    <w:p>
      <w:pPr>
        <w:spacing w:after="0" w:line="177" w:lineRule="exact"/>
        <w:rPr>
          <w:rFonts w:ascii="Arial" w:cs="Arial" w:eastAsia="Arial" w:hAnsi="Arial"/>
          <w:sz w:val="17"/>
          <w:szCs w:val="17"/>
          <w:color w:val="auto"/>
        </w:rPr>
      </w:pPr>
    </w:p>
    <w:p>
      <w:pPr>
        <w:ind w:firstLine="1041"/>
        <w:spacing w:after="0" w:line="267" w:lineRule="auto"/>
        <w:tabs>
          <w:tab w:leader="none" w:pos="124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Such Grantor has no Investment Property with a market value in excess of $1,000,000 as of the date hereof, other than the Investment Property listed on Part IV of Schedule I hereto.</w:t>
      </w:r>
    </w:p>
    <w:p>
      <w:pPr>
        <w:spacing w:after="0" w:line="179" w:lineRule="exact"/>
        <w:rPr>
          <w:rFonts w:ascii="Arial" w:cs="Arial" w:eastAsia="Arial" w:hAnsi="Arial"/>
          <w:sz w:val="18"/>
          <w:szCs w:val="18"/>
          <w:color w:val="auto"/>
        </w:rPr>
      </w:pPr>
    </w:p>
    <w:p>
      <w:pPr>
        <w:ind w:right="140" w:firstLine="1041"/>
        <w:spacing w:after="0" w:line="257" w:lineRule="auto"/>
        <w:tabs>
          <w:tab w:leader="none" w:pos="133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Assigned Agreements to which such Grantor is a party have been duly authorized, executed and delivered by such Grantor and, to such Grantor’s knowledge, any material Assigned Agreements are in full force and effect and are binding upon and enforceable against all parties thereto in accordance with their terms.</w:t>
      </w:r>
    </w:p>
    <w:p>
      <w:pPr>
        <w:spacing w:after="0" w:line="188" w:lineRule="exact"/>
        <w:rPr>
          <w:rFonts w:ascii="Arial" w:cs="Arial" w:eastAsia="Arial" w:hAnsi="Arial"/>
          <w:sz w:val="18"/>
          <w:szCs w:val="18"/>
          <w:color w:val="auto"/>
        </w:rPr>
      </w:pPr>
    </w:p>
    <w:p>
      <w:pPr>
        <w:ind w:right="420" w:firstLine="1041"/>
        <w:spacing w:after="0" w:line="331" w:lineRule="auto"/>
        <w:tabs>
          <w:tab w:leader="none" w:pos="128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Such Grantor has no deposit accounts or securities accounts as of the date hereof, other than the deposit accounts and securities accounts listed on Schedule II hereto (other than deposit accounts or securities accounts that have less than $750,000 in the aggregate on deposit).</w:t>
      </w:r>
    </w:p>
    <w:p>
      <w:pPr>
        <w:spacing w:after="0" w:line="132" w:lineRule="exact"/>
        <w:rPr>
          <w:rFonts w:ascii="Arial" w:cs="Arial" w:eastAsia="Arial" w:hAnsi="Arial"/>
          <w:sz w:val="16"/>
          <w:szCs w:val="16"/>
          <w:color w:val="auto"/>
        </w:rPr>
      </w:pPr>
    </w:p>
    <w:p>
      <w:pPr>
        <w:ind w:right="220" w:firstLine="1041"/>
        <w:spacing w:after="0" w:line="267" w:lineRule="auto"/>
        <w:tabs>
          <w:tab w:leader="none" w:pos="128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Such Grantor is not a beneficiary or assignee under any letter of credit with a stated amount in excess of $2,500,000 and issued by a United States financial institution as of the date hereof, other than the letters of credit described in Schedule VII hereto.</w:t>
      </w:r>
    </w:p>
    <w:p>
      <w:pPr>
        <w:spacing w:after="0" w:line="179" w:lineRule="exact"/>
        <w:rPr>
          <w:rFonts w:ascii="Arial" w:cs="Arial" w:eastAsia="Arial" w:hAnsi="Arial"/>
          <w:sz w:val="18"/>
          <w:szCs w:val="18"/>
          <w:color w:val="auto"/>
        </w:rPr>
      </w:pPr>
    </w:p>
    <w:p>
      <w:pPr>
        <w:ind w:firstLine="1041"/>
        <w:spacing w:after="0" w:line="269" w:lineRule="auto"/>
        <w:tabs>
          <w:tab w:leader="none" w:pos="128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This Agreement creates in favor of the Agent for the benefit of the Secured Parties a valid security interest in the Collateral granted by such Grantor under this Agreement, securing the payment of the Secured Obligations except to the extent that Control or possession by the Agent is required for the creation of the security interest; all filings and other actions necessary to perfect the security interest in the Collateral granted by such Grantor have been duly made or taken and are in full force and effect other than (i) actions necessary to perfect the Agent’s security interest with respect to Collateral evidenced by a certificate of title or Collateral consisting of vessels or aircraft and (ii) actions necessary to transfer and prior approval of or filings with any governmental entity required in connection with any interest in Pledged Equity.</w:t>
      </w:r>
    </w:p>
    <w:p>
      <w:pPr>
        <w:spacing w:after="0" w:line="178" w:lineRule="exact"/>
        <w:rPr>
          <w:rFonts w:ascii="Arial" w:cs="Arial" w:eastAsia="Arial" w:hAnsi="Arial"/>
          <w:sz w:val="17"/>
          <w:szCs w:val="17"/>
          <w:color w:val="auto"/>
        </w:rPr>
      </w:pPr>
    </w:p>
    <w:p>
      <w:pPr>
        <w:ind w:right="140" w:firstLine="1041"/>
        <w:spacing w:after="0" w:line="283" w:lineRule="auto"/>
        <w:tabs>
          <w:tab w:leader="none" w:pos="128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 authorization or approval or other action by, and no notice to or filing with, any Governmental Authority or any other third party is required for (i) the grant by such Grantor of the security interest granted hereunder or for the execution, delivery or performance of this Agreement by such Grantor, (ii) the perfection or maintenance of the security interest created hereunder (including, subject to the Intercreditor Agreement, the first priority nature of such security interest in Collateral), except for (A) the filing of financing and continuation statements under the UCC, (B) the recordation of the Intellectual Property Security Agreement with respect to certain registered Intellectual Property Collateral attached thereto, and the actions described in Section 4 with respect to the Security Collateral, (C) subject to certain corporate actions by the holders or issuers of Non-U.S. Initial Pledged Equity which have not occurred as of the Effective Date, necessary to transfer or assign, (D) the governmental filings required to be made or approvals obtained prior to the creation of a security interest in any Pledged Equity issued by a non-US Person and any filings or approvals required prior to realizing on any such Pledged Equity, and (E) the Control of certain assets as provided in Sections 9-104, 9-105, 9-106 and 9-107 of the UCC, or (iii) the exercise by the Agent of its voting or other rights provided for in this Agreement or the remedies in respect of the Collateral pursuant to this Agreement, except as set forth above and as may be required in connection with the disposition of any portion of the Security Collateral by laws affecting the offering and sale of securities generally.</w:t>
      </w:r>
    </w:p>
    <w:p>
      <w:pPr>
        <w:spacing w:after="0" w:line="173" w:lineRule="exact"/>
        <w:rPr>
          <w:rFonts w:ascii="Arial" w:cs="Arial" w:eastAsia="Arial" w:hAnsi="Arial"/>
          <w:sz w:val="16"/>
          <w:szCs w:val="16"/>
          <w:color w:val="auto"/>
        </w:rPr>
      </w:pPr>
    </w:p>
    <w:p>
      <w:pPr>
        <w:ind w:right="40" w:firstLine="1041"/>
        <w:spacing w:after="0" w:line="267" w:lineRule="auto"/>
        <w:tabs>
          <w:tab w:leader="none" w:pos="125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Inventory that has been produced or distributed by such Grantor has been produced in compliance with all requirements of applicable law except where the failure to so comply would not have a Material Adverse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7" w:name="page228"/>
    <w:bookmarkEnd w:id="227"/>
    <w:p>
      <w:pPr>
        <w:ind w:left="1260" w:hanging="239"/>
        <w:spacing w:after="0"/>
        <w:tabs>
          <w:tab w:leader="none" w:pos="12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As to itself and its Intellectual Property Collateral:</w:t>
      </w:r>
    </w:p>
    <w:p>
      <w:pPr>
        <w:spacing w:after="0" w:line="219" w:lineRule="exact"/>
        <w:rPr>
          <w:rFonts w:ascii="Arial" w:cs="Arial" w:eastAsia="Arial" w:hAnsi="Arial"/>
          <w:sz w:val="18"/>
          <w:szCs w:val="18"/>
          <w:color w:val="auto"/>
        </w:rPr>
      </w:pPr>
    </w:p>
    <w:p>
      <w:pPr>
        <w:ind w:left="-20" w:right="140" w:firstLine="1559"/>
        <w:spacing w:after="0" w:line="257" w:lineRule="auto"/>
        <w:tabs>
          <w:tab w:leader="none" w:pos="174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operation of such Grantor’s business as currently conducted or as contemplated to be conducted and the use of the Intellectual Property Collateral in connection therewith do not conflict with, infringe, misappropriate, dilute, misuse or otherwise violate the intellectual property rights of any third party, except as are not expected to have a Material Adverse Effect.</w:t>
      </w:r>
    </w:p>
    <w:p>
      <w:pPr>
        <w:spacing w:after="0" w:line="188" w:lineRule="exact"/>
        <w:rPr>
          <w:rFonts w:ascii="Arial" w:cs="Arial" w:eastAsia="Arial" w:hAnsi="Arial"/>
          <w:sz w:val="18"/>
          <w:szCs w:val="18"/>
          <w:color w:val="auto"/>
        </w:rPr>
      </w:pPr>
    </w:p>
    <w:p>
      <w:pPr>
        <w:ind w:left="-20" w:right="160" w:firstLine="1559"/>
        <w:spacing w:after="0" w:line="279" w:lineRule="auto"/>
        <w:tabs>
          <w:tab w:leader="none" w:pos="1794" w:val="left"/>
        </w:tabs>
        <w:numPr>
          <w:ilvl w:val="1"/>
          <w:numId w:val="207"/>
        </w:numPr>
        <w:rPr>
          <w:rFonts w:ascii="Arial" w:cs="Arial" w:eastAsia="Arial" w:hAnsi="Arial"/>
          <w:sz w:val="17"/>
          <w:szCs w:val="17"/>
          <w:color w:val="auto"/>
        </w:rPr>
      </w:pPr>
      <w:r>
        <w:rPr>
          <w:rFonts w:ascii="Arial" w:cs="Arial" w:eastAsia="Arial" w:hAnsi="Arial"/>
          <w:sz w:val="17"/>
          <w:szCs w:val="17"/>
          <w:color w:val="auto"/>
        </w:rPr>
        <w:t>Such Grantor is the exclusive owner of all right, title and interest in and to Patents, Trademarks and Copyrights contained in the Intellectual Property Collateral, except as set forth in Schedule IV Part I hereto with respect to co-ownership of certain Patents, and such Grantor is entitled to use all such Intellectual Property Collateral in accordance with applicable law, subject to the terms of the IP Agreements.</w:t>
      </w:r>
    </w:p>
    <w:p>
      <w:pPr>
        <w:spacing w:after="0" w:line="171" w:lineRule="exact"/>
        <w:rPr>
          <w:rFonts w:ascii="Arial" w:cs="Arial" w:eastAsia="Arial" w:hAnsi="Arial"/>
          <w:sz w:val="17"/>
          <w:szCs w:val="17"/>
          <w:color w:val="auto"/>
        </w:rPr>
      </w:pPr>
    </w:p>
    <w:p>
      <w:pPr>
        <w:ind w:left="-20" w:right="220" w:firstLine="1559"/>
        <w:spacing w:after="0" w:line="331" w:lineRule="auto"/>
        <w:tabs>
          <w:tab w:leader="none" w:pos="1843"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Intellectual Property Collateral set forth on Schedule IV Part I hereto includes all of the registered patents, patent applications, domain names, trademark registrations and applications, copyright registrations and applications owned by such Grantor as of the date set forth therein.</w:t>
      </w:r>
    </w:p>
    <w:p>
      <w:pPr>
        <w:spacing w:after="0" w:line="132" w:lineRule="exact"/>
        <w:rPr>
          <w:rFonts w:ascii="Arial" w:cs="Arial" w:eastAsia="Arial" w:hAnsi="Arial"/>
          <w:sz w:val="16"/>
          <w:szCs w:val="16"/>
          <w:color w:val="auto"/>
        </w:rPr>
      </w:pPr>
    </w:p>
    <w:p>
      <w:pPr>
        <w:ind w:left="-20" w:right="400" w:firstLine="1559"/>
        <w:spacing w:after="0" w:line="304" w:lineRule="auto"/>
        <w:tabs>
          <w:tab w:leader="none" w:pos="1833"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issued Patents and registered Trademarks contained in the Intellectual Property Collateral have not been adjudged invalid or unenforceable in whole or part, and to the knowledge of the Company, are valid and enforceable, except to the extent Grantor has ceased use of any such registered Trademarks, and except as would not be reasonably expected, individually or in the aggregate, to have a Material Adverse Effect.</w:t>
      </w:r>
    </w:p>
    <w:p>
      <w:pPr>
        <w:spacing w:after="0" w:line="154" w:lineRule="exact"/>
        <w:rPr>
          <w:rFonts w:ascii="Arial" w:cs="Arial" w:eastAsia="Arial" w:hAnsi="Arial"/>
          <w:sz w:val="16"/>
          <w:szCs w:val="16"/>
          <w:color w:val="auto"/>
        </w:rPr>
      </w:pPr>
    </w:p>
    <w:p>
      <w:pPr>
        <w:ind w:left="-20" w:right="60" w:firstLine="1559"/>
        <w:spacing w:after="0" w:line="257" w:lineRule="auto"/>
        <w:tabs>
          <w:tab w:leader="none" w:pos="178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Such Grantor has made or performed all filings, recordings and other acts and has paid all required fees and taxes, as deemed necessary by Grantor in its reasonable business discretion, to maintain and protect its interest in each and every material item of Intellectual Property Collateral owned by such Grantor in full force and effect.</w:t>
      </w:r>
    </w:p>
    <w:p>
      <w:pPr>
        <w:spacing w:after="0" w:line="188" w:lineRule="exact"/>
        <w:rPr>
          <w:rFonts w:ascii="Arial" w:cs="Arial" w:eastAsia="Arial" w:hAnsi="Arial"/>
          <w:sz w:val="18"/>
          <w:szCs w:val="18"/>
          <w:color w:val="auto"/>
        </w:rPr>
      </w:pPr>
    </w:p>
    <w:p>
      <w:pPr>
        <w:ind w:left="-20" w:right="60" w:firstLine="1559"/>
        <w:spacing w:after="0" w:line="288" w:lineRule="auto"/>
        <w:tabs>
          <w:tab w:leader="none" w:pos="1833" w:val="left"/>
        </w:tabs>
        <w:numPr>
          <w:ilvl w:val="1"/>
          <w:numId w:val="207"/>
        </w:numPr>
        <w:rPr>
          <w:rFonts w:ascii="Arial" w:cs="Arial" w:eastAsia="Arial" w:hAnsi="Arial"/>
          <w:sz w:val="16"/>
          <w:szCs w:val="16"/>
          <w:color w:val="auto"/>
        </w:rPr>
      </w:pPr>
      <w:r>
        <w:rPr>
          <w:rFonts w:ascii="Arial" w:cs="Arial" w:eastAsia="Arial" w:hAnsi="Arial"/>
          <w:sz w:val="16"/>
          <w:szCs w:val="16"/>
          <w:color w:val="auto"/>
        </w:rPr>
        <w:t>No claim has been asserted and is pending by any Person challenging or questioning the use of any Intellectual Property Collateral or the validity of effectiveness of any such Intellectual Property Collateral, nor does the Company know of any valid basis for any such claim, except, in either case, for such claims that in the aggregate are not reasonably expected to have a Material Adverse Effect. The conduct of the business of the Company and its Subsidiaries does not infringe on the rights of any Person except for such claims and infringements that, in the aggregate, are not reasonably expected to have a Material Adverse Effect. The consummation of the transactions contemplated by the Loan Documents will not result in the termination or impairment (other than impairment contemplated by the Loan Documents) of any of the Intellectual Property Collateral.</w:t>
      </w:r>
    </w:p>
    <w:p>
      <w:pPr>
        <w:spacing w:after="0" w:line="168" w:lineRule="exact"/>
        <w:rPr>
          <w:rFonts w:ascii="Arial" w:cs="Arial" w:eastAsia="Arial" w:hAnsi="Arial"/>
          <w:sz w:val="16"/>
          <w:szCs w:val="16"/>
          <w:color w:val="auto"/>
        </w:rPr>
      </w:pPr>
    </w:p>
    <w:p>
      <w:pPr>
        <w:ind w:left="-20" w:firstLine="1559"/>
        <w:spacing w:after="0" w:line="284" w:lineRule="auto"/>
        <w:tabs>
          <w:tab w:leader="none" w:pos="1883" w:val="left"/>
        </w:tabs>
        <w:numPr>
          <w:ilvl w:val="1"/>
          <w:numId w:val="207"/>
        </w:numPr>
        <w:rPr>
          <w:rFonts w:ascii="Arial" w:cs="Arial" w:eastAsia="Arial" w:hAnsi="Arial"/>
          <w:sz w:val="16"/>
          <w:szCs w:val="16"/>
          <w:color w:val="auto"/>
        </w:rPr>
      </w:pPr>
      <w:r>
        <w:rPr>
          <w:rFonts w:ascii="Arial" w:cs="Arial" w:eastAsia="Arial" w:hAnsi="Arial"/>
          <w:sz w:val="16"/>
          <w:szCs w:val="16"/>
          <w:color w:val="auto"/>
        </w:rPr>
        <w:t>Except as set forth on Schedule IV Part II hereto, with respect to each IP Agreement that is not Excluded Property: (A) to the knowledge of the Company, such IP Agreement is valid and binding and in full force and effect; (B) such IP Agreement will not cease to be valid and binding and in full force and effect on terms identical to those currently in effect as a result of the rights and interest granted herein, nor will the grant of such rights and interest constitute a breach or default under such IP Agreement or otherwise give any party thereto a right to terminate such IP Agreement; (C) such Grantor has not received any notice of termination or cancellation under such IP Agreement within the six months immediately preceding the date of this Agreement; (D) within the six months immediately preceding the date of this Agreement, such Grantor has not received any notice of a breach or default under such IP Agreement, which breach or default has not been cured; and (E) neither such Grantor nor, to such Grantor’s knowledge, any other party to such IP Agreement is in breach or default thereof in any material respect, and no event has occurred that, with notice or lapse of time or both, would constitute such a breach or default or permit termination or modification under such IP Agreement, in each case as would not reasonably be expected to have a Material Adverse Effect.</w:t>
      </w:r>
    </w:p>
    <w:p>
      <w:pPr>
        <w:spacing w:after="0" w:line="174" w:lineRule="exact"/>
        <w:rPr>
          <w:rFonts w:ascii="Arial" w:cs="Arial" w:eastAsia="Arial" w:hAnsi="Arial"/>
          <w:sz w:val="16"/>
          <w:szCs w:val="16"/>
          <w:color w:val="auto"/>
        </w:rPr>
      </w:pPr>
    </w:p>
    <w:p>
      <w:pPr>
        <w:ind w:left="-20" w:firstLine="1559"/>
        <w:spacing w:after="0" w:line="267" w:lineRule="auto"/>
        <w:tabs>
          <w:tab w:leader="none" w:pos="193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To the Company’s knowledge, none of the material Trade Secrets of such Grantor has been used, divulged, disclosed or appropriated to the detriment of such Grantor for the benefit of any other Person other than such Grantor within the past two years.</w:t>
      </w:r>
    </w:p>
    <w:p>
      <w:pPr>
        <w:spacing w:after="0" w:line="179" w:lineRule="exact"/>
        <w:rPr>
          <w:rFonts w:ascii="Arial" w:cs="Arial" w:eastAsia="Arial" w:hAnsi="Arial"/>
          <w:sz w:val="18"/>
          <w:szCs w:val="18"/>
          <w:color w:val="auto"/>
        </w:rPr>
      </w:pPr>
    </w:p>
    <w:p>
      <w:pPr>
        <w:ind w:left="-20" w:right="180" w:firstLine="1559"/>
        <w:spacing w:after="0" w:line="267" w:lineRule="auto"/>
        <w:tabs>
          <w:tab w:leader="none" w:pos="1833"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This Agreement is effective to create a valid and continuing Lien and, upon filing of appropriate financing statements in the offices listed on Schedule XIII and appropriate releases (which releases have been filed or will be filed substantially simultaneously with the entering into of this Agreement) and Intellectual Property security agreements with the United States Copyright Office and the United States Patent and Trademark Office (to the extent a security interest may be perfected by filing, recording or registering a security agreement, financing statement or analogous document in the United States Copyright Office or the United States Patent and Trademark Office, as applicable), fully perfected and, subject to the Intercreditor Agreement, first priority security interests in favor of the Agent on such Grantor’s U.S. Patents, U.S. Trademarks and U.S. Copyrights and such perfected security interests are enforceable as such as against any and all creditor of and purchasers from such Grantor.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66675</wp:posOffset>
            </wp:positionV>
            <wp:extent cx="729043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60" w:top="340" w:right="259" w:bottom="1440" w:gutter="0" w:footer="0" w:header="0"/>
        </w:sectPr>
      </w:pPr>
    </w:p>
    <w:bookmarkStart w:id="228" w:name="page229"/>
    <w:bookmarkEnd w:id="228"/>
    <w:p>
      <w:pPr>
        <w:ind w:left="5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20" w:lineRule="exact"/>
        <w:rPr>
          <w:sz w:val="20"/>
          <w:szCs w:val="20"/>
          <w:color w:val="auto"/>
        </w:rPr>
      </w:pPr>
    </w:p>
    <w:p>
      <w:pPr>
        <w:ind w:right="60" w:firstLine="1041"/>
        <w:spacing w:after="0" w:line="264" w:lineRule="auto"/>
        <w:tabs>
          <w:tab w:leader="none" w:pos="127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Each Grantor agrees that from time to time, in accordance with the terms of this Agreement at the expense of such Grantor and at the reasonable request of the Agent, such Grantor will promptly execute and deliver, or otherwise authenticate, all further instruments and documents, and take all further action that may be reasonably necessary or desirable, or that the Agent may reasonably request, in order to perfect and protect any pledge or security interest granted or purported to be granted by such Grantor hereunder or to enable the Agent to exercise and enforce its rights and remedies hereunder with respect to any Collateral of such Grantor. Without limiting the generality of the foregoing, each Grantor will, at the reasonable request of the Agent, promptly with respect to the Collateral of such Grantor: (i) mark conspicuously each document included in Inventory, each chattel paper included in Receivables each Assigned Agreement and, at the request of the Agent, each of its records pertaining to such Collateral with a legend, in form and substance reasonably satisfactory to the Agent, indicating that such document, Assigned Agreement or Collateral is subject to the security interest granted hereby; if any such Collateral shall be evidenced by a promissory note or other instrument or chattel paper, deliver and pledge to the Agent hereunder such note or instrument or chattel paper duly indorsed and accompanied by duly executed instruments of transfer or assignment, all in form and substance reasonably satisfactory to the Agent; (iii) file such financing or continuation statements, or amendments thereto, and such other instruments or notices, as may be reasonably necessary or desirable, or as the Agent may reasonably request, in order to perfect and preserve the security interest granted or purported to be granted by such Grantor hereunder; (iv) prepare, sign, and file for recordation in any intellectual property registry, appropriate evidence of the lien and security interest granted herein in any Intellectual Property in the name of such Grantor as debtor; and (v) deliver to the Agent evidence that all other actions that the Agent may deem reasonably necessary or desirable in order to perfect and protect the security interest granted or purported to be granted by such Grantor under this Agreement has been taken.</w:t>
      </w:r>
    </w:p>
    <w:p>
      <w:pPr>
        <w:spacing w:after="0" w:line="186" w:lineRule="exact"/>
        <w:rPr>
          <w:rFonts w:ascii="Arial" w:cs="Arial" w:eastAsia="Arial" w:hAnsi="Arial"/>
          <w:sz w:val="17"/>
          <w:szCs w:val="17"/>
          <w:color w:val="auto"/>
        </w:rPr>
      </w:pPr>
    </w:p>
    <w:p>
      <w:pPr>
        <w:ind w:right="40" w:firstLine="1041"/>
        <w:spacing w:after="0" w:line="251" w:lineRule="auto"/>
        <w:tabs>
          <w:tab w:leader="none" w:pos="128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Grantor hereby authorizes the Agent to file one or more financing or continuation statements, and amendments thereto in the applicable UCC filing office, including one or more financing statements indicating that such financing statements cover all assets or all personal property (or words of similar effect) of such Grantor in the United States, or any real property or fixtures, regardless of whether any particular asset described in such financing statements falls within the scope of the UCC. A photocopy or other reproduction of this Agreement shall be sufficient as a financing statement where permitted by law. Each Grantor ratifies its authorization for the Agent to have filed such financing statements, continuation statements or amendments filed prior to the date hereof.</w:t>
      </w:r>
    </w:p>
    <w:p>
      <w:pPr>
        <w:spacing w:after="0" w:line="194" w:lineRule="exact"/>
        <w:rPr>
          <w:rFonts w:ascii="Arial" w:cs="Arial" w:eastAsia="Arial" w:hAnsi="Arial"/>
          <w:sz w:val="18"/>
          <w:szCs w:val="18"/>
          <w:color w:val="auto"/>
        </w:rPr>
      </w:pPr>
    </w:p>
    <w:p>
      <w:pPr>
        <w:ind w:right="260" w:firstLine="1041"/>
        <w:spacing w:after="0" w:line="297" w:lineRule="auto"/>
        <w:tabs>
          <w:tab w:leader="none" w:pos="127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Each Grantor will furnish to the Agent from time to time statements and schedules further identifying and describing the Collateral of such Grantor and such other reports in connection with such Collateral as the Agent may reasonably request, all in reasonable detail.</w:t>
      </w:r>
    </w:p>
    <w:p>
      <w:pPr>
        <w:spacing w:after="0" w:line="156"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As to Equipment and Inventory</w:t>
      </w:r>
      <w:r>
        <w:rPr>
          <w:rFonts w:ascii="Arial" w:cs="Arial" w:eastAsia="Arial" w:hAnsi="Arial"/>
          <w:sz w:val="17"/>
          <w:szCs w:val="17"/>
          <w:color w:val="auto"/>
        </w:rPr>
        <w:t>. (a) Each Grantor will keep its Equipment having a value in excess of $1,000,000 and Inventory having a value in excess of $1,000,000 (other than Inventory sold in the ordinary course of business) at the locations therefor specified in Schedule VIII and Schedule IX, respectively, or, upon 30 days’ prior written notice to the Agent (or such lesser time as may be agreed by the Agent), at such other places designated by such Grantor in such notice. Schedule VIII and Schedule IX respectively set forth whether each such location is owned, leased or operated by third parties, and, if leased or operated by third parties, their names and addresses.</w:t>
      </w:r>
    </w:p>
    <w:p>
      <w:pPr>
        <w:spacing w:after="0" w:line="181" w:lineRule="exact"/>
        <w:rPr>
          <w:sz w:val="20"/>
          <w:szCs w:val="20"/>
          <w:color w:val="auto"/>
        </w:rPr>
      </w:pPr>
    </w:p>
    <w:p>
      <w:pPr>
        <w:ind w:right="20" w:firstLine="1041"/>
        <w:spacing w:after="0" w:line="254" w:lineRule="auto"/>
        <w:tabs>
          <w:tab w:leader="none" w:pos="128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Grantor will pay promptly when due all property and other taxes, assessments and governmental charges or levies imposed upon, and all claims (including claims for labor, materials and supplies) against, its Equipment and Inventory, except to the extent payment thereof is not required by Section 5.01(b) of the Credit Agreement. In producing its Inventory, each Grantor will comply with all requirements of applicable law, except where the failure to so comply will not have a Material Adverse Effect.</w:t>
      </w:r>
    </w:p>
    <w:p>
      <w:pPr>
        <w:spacing w:after="0" w:line="191" w:lineRule="exact"/>
        <w:rPr>
          <w:sz w:val="20"/>
          <w:szCs w:val="20"/>
          <w:color w:val="auto"/>
        </w:rPr>
      </w:pPr>
    </w:p>
    <w:p>
      <w:pPr>
        <w:ind w:firstLine="518"/>
        <w:spacing w:after="0" w:line="282"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(a) Each Grantor will, and will cause each Restricted Subsidiary to, at its own expense, maintain, insurance with responsible and reputable insurance companies or associations in such amounts and covering such risks as is usually carried by companies engaged in similar businesses and owning similar properties in the same general areas in which the Company or such Restricted Subsidiary operates;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Company and its Restricted Subsidiaries may self-insure to the extent consistent with prudent business practice. Each policy of each Grantor for liability insurance shall provide for all losses to be paid on behalf of the Agent and such Grantor as their interests may appear, and each policy for property damage insurance shall provide for all losses to be paid, in accordance with the Credit Agreement, the Intercreditor Agreement and the Lender loss payee provisions which were requested pursuant to clause (iv) below, directly to the Agent. Each such policy shall in addition (i) name such Grantor and the Agent as insured parties thereunder (without any representation or warranty by or obligation upon the Agent) as their interests may appear, (ii) provide that (A) there shall be no recourse against the Agent for payment of premiums or other amounts with respect thereto and (B) if agreed by the insurer (which agreement such Grantor shall use commercially reasonable efforts to obtain), at least 10 days’ prior written notice of cancellation or of lapse shall be given to the Agent by the insurer, and (iv) contain such other customary lender loss payee provisions as the Agent shall reasonably request. Each Grantor will, if so requested by the Agent, deliver to the Agent certificates of insurance evidencing such insurance and, as often as the Agent may reasonably request, a report of a reputable insurance broker or the insurer with respect to such insurance. Further, each Grantor will, at the request of the Agent, duly execute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9" w:name="page230"/>
    <w:bookmarkEnd w:id="229"/>
    <w:p>
      <w:pPr>
        <w:ind w:right="40"/>
        <w:spacing w:after="0" w:line="270" w:lineRule="auto"/>
        <w:rPr>
          <w:sz w:val="20"/>
          <w:szCs w:val="20"/>
          <w:color w:val="auto"/>
        </w:rPr>
      </w:pPr>
      <w:r>
        <w:rPr>
          <w:rFonts w:ascii="Arial" w:cs="Arial" w:eastAsia="Arial" w:hAnsi="Arial"/>
          <w:sz w:val="17"/>
          <w:szCs w:val="17"/>
          <w:color w:val="auto"/>
        </w:rPr>
        <w:t>and deliver instruments of assignment of such insurance policies to comply with the requirements of Section 1(l) and cause the insurers to acknowledge notice of such assignment. Each Grantor will, if so requested by the Agent, deliver to the Agent certificates of insurance evidencing such insurance and, as often as the Agent may reasonably request, a report of a reputable insurance broker or the insurer with respect to such insurance. Further, each Grantor will, at the request of the Agent, duly execute and deliver instruments of assignment of such insurance policies to comply with the requirements of Section 1(k) and 1(l) and use its commercially reasonable efforts to cause the insurers to acknowledge notice of such assignment.</w:t>
      </w:r>
    </w:p>
    <w:p>
      <w:pPr>
        <w:spacing w:after="0" w:line="181" w:lineRule="exact"/>
        <w:rPr>
          <w:sz w:val="20"/>
          <w:szCs w:val="20"/>
          <w:color w:val="auto"/>
        </w:rPr>
      </w:pPr>
    </w:p>
    <w:p>
      <w:pPr>
        <w:ind w:right="160" w:firstLine="1041"/>
        <w:spacing w:after="0" w:line="291" w:lineRule="auto"/>
        <w:tabs>
          <w:tab w:leader="none" w:pos="128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case of any loss involving damage to Equipment or Inventory when subsection (c) of this Section 9 is not applicable, the applicable Grantor, to the extent determined to be in the business interest of such Grantor, will make or cause to be made the necessary repairs to or replacements of such Equipment or Inventory, and any proceeds of insurance properly received by or released to such Grantor shall be used by such Grantor, except as otherwise required hereunder or by the Credit Agreement, to pay or as reimbursement for the costs of such repairs or replacements or, if such Grantor determines not to repair or replace such Equipment or Inventory, treat the loss or damage as a disposition under Section 5.02(e)(vii) of the Credit Agreement.</w:t>
      </w:r>
    </w:p>
    <w:p>
      <w:pPr>
        <w:spacing w:after="0" w:line="165"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Post-Closing Changes; Collections on Assigned Agreements and Receivables.</w:t>
      </w:r>
      <w:r>
        <w:rPr>
          <w:rFonts w:ascii="Arial" w:cs="Arial" w:eastAsia="Arial" w:hAnsi="Arial"/>
          <w:sz w:val="17"/>
          <w:szCs w:val="17"/>
          <w:color w:val="auto"/>
        </w:rPr>
        <w:t xml:space="preserve"> (a) If any Grantor changes its name, type of organization, jurisdiction of organization or organizational identification number from those set forth in Schedule V of this Agreement it will give written notice to the Agent within 15 days of such change and will take all action reasonably required by the Agent for the purpose of perfecting or protecting the security interest granted by this Agreement. Each Grantor will hold and preserve its records relating to the Collateral, including the Assigned Agreements and Related Contracts, and will permit representatives of the Agent at any time during normal business hours to inspect and make abstracts from such records and other documents to the extent provided in Section 5.01(e) of the Credit Agreement. If any Grantor does not have an organizational identification number and later obtains one, it will promptly notify the Agent of such organizational identification number.</w:t>
      </w:r>
    </w:p>
    <w:p>
      <w:pPr>
        <w:spacing w:after="0" w:line="185" w:lineRule="exact"/>
        <w:rPr>
          <w:sz w:val="20"/>
          <w:szCs w:val="20"/>
          <w:color w:val="auto"/>
        </w:rPr>
      </w:pPr>
    </w:p>
    <w:p>
      <w:pPr>
        <w:ind w:firstLine="1041"/>
        <w:spacing w:after="0" w:line="281" w:lineRule="auto"/>
        <w:tabs>
          <w:tab w:leader="none" w:pos="128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Agent shall have the right at any time or times, in Agent’s name or in the name of a nominee of Agent, to verify the validity, amount or any other matter relating to any Receivables or other Collateral, by mail, telephone, facsimile transmission or otherwise (provided any visits shall be done during normal business hours and at times to be mutually agreed). Except as otherwise provided in this subsection (b), each Grantor, at its own expense and in the ordinary course of business undertaken in a commercially reasonable manner and consistent with applicable law, will continue to collect, adjust, settle, compromise the amount or payment of, all amounts due or to become due such Grantor under the Assigned Agreements and Receivables. In connection with such collections, adjustments, settlements, compromises and other exercises of rights, such Grantor may take (and, at the Agent’s direction upon the occurrence and during the continuance of an Event of Default, will take) such action as such Grantor (or, upon the occurrence and during the continuance of an Event of Default, the Agent) may deem necessary or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Agent shall have the right at any time, upon the occurrence and during the continuance of an Event of Default and upon written notice to such Grantor of its intention to do so, to notify the Obligors under any Assigned Agreements and Receivables of the assignment of such Assigned Agreements to the Agent and to direct such Obligors to make payment of all amounts due or to become due to such Grantor thereunder directly to the Agent and, upon such notification and at the expense of such Grantor, to enforce collection of any such Assigned Agreements and Receivables, to adjust, settle or compromise the amount or payment thereof, in the same manner and to the same extent as such Grantor might have done, and to otherwise exercise all rights with respect to such Assigned Agreements and Receivables, including those set forth in Section 9-607 of the UCC. After receipt by any Grantor of the notice from the Agent referred to in the proviso to the preceding sentence, (i) all amounts and proceeds (including instruments) received by such Grantor in respect of the Assigned Agreements and Receivables of such Grantor shall be received in trust for the benefit of the Secured Parties, shall be segregated from other funds of such Grantor and shall be forthwith paid over to the Agent in the same form as so received (with any necessary indorsement) to be deposited in the Agent Sweep Account in the United States and applied as provided in Section 19(b) of this Agreement or as provided in Section 2.18(h) of the Credit Agreement, and (ii) such Grantor will not adjust, settle or compromise the amount or payment of any Receivable or amount due on any Assigned Agreement, release wholly or partly any Obligor thereof or allow any credit or discount thereon other than credits or discounts given in the ordinary course of business.</w:t>
      </w:r>
    </w:p>
    <w:p>
      <w:pPr>
        <w:spacing w:after="0" w:line="172" w:lineRule="exact"/>
        <w:rPr>
          <w:rFonts w:ascii="Arial" w:cs="Arial" w:eastAsia="Arial" w:hAnsi="Arial"/>
          <w:sz w:val="16"/>
          <w:szCs w:val="16"/>
          <w:color w:val="auto"/>
        </w:rPr>
      </w:pPr>
    </w:p>
    <w:p>
      <w:pPr>
        <w:ind w:right="180" w:firstLine="1041"/>
        <w:spacing w:after="0" w:line="295" w:lineRule="auto"/>
        <w:tabs>
          <w:tab w:leader="none" w:pos="127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No Grantor will authorize the filing of any financing statement naming it as debtor covering all or any portion of the Collateral owned by it, except for financing statements (i) naming the Agent on behalf of the Secured Parties as the secured party, and (ii) in respect to other Liens permitted by the Credit Agreement. Each Grantor acknowledges that it is not authorized to file any financing statement or amendment or termination statement with respect to any financing statement naming the Agent as secured party without the prior written consent of the Agent, subject to such Grantor’s rights under the UCC.</w:t>
      </w:r>
    </w:p>
    <w:p>
      <w:pPr>
        <w:spacing w:after="0" w:line="162" w:lineRule="exact"/>
        <w:rPr>
          <w:sz w:val="20"/>
          <w:szCs w:val="20"/>
          <w:color w:val="auto"/>
        </w:rPr>
      </w:pPr>
    </w:p>
    <w:p>
      <w:pPr>
        <w:ind w:right="140" w:firstLine="518"/>
        <w:spacing w:after="0" w:line="28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As to Intellectual Property Collateral</w:t>
      </w:r>
      <w:r>
        <w:rPr>
          <w:rFonts w:ascii="Arial" w:cs="Arial" w:eastAsia="Arial" w:hAnsi="Arial"/>
          <w:sz w:val="16"/>
          <w:szCs w:val="16"/>
          <w:color w:val="auto"/>
        </w:rPr>
        <w:t>. (a) With respect to each item of its Intellectual Property Collateral material to the business of the Company and its Restricted Subsidiaries, each Grantor agrees to take, at its expense, commercially reasonable steps as determined in Grantor’s reasonable discretion, including in the U.S. Patent and Trademark Office, the U.S. Copyright Office and any other Governmental Authority, to (i) maintain (in accordance with the exercise of such Grantor’s reasonable business discretion) the validity and enforceability of such Intellectual Property Collateral and maintain such Intellectual Property Collateral in full force and effect, and (ii) pursue the registration and maintenance (in accordance with the exercise of such Grantor’s reasonable business discretion) of each patent, trademark, or copyright registration or application, now or hereafter included in such Intellectual Property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0" w:name="page231"/>
    <w:bookmarkEnd w:id="230"/>
    <w:p>
      <w:pPr>
        <w:spacing w:after="0" w:line="267" w:lineRule="auto"/>
        <w:rPr>
          <w:sz w:val="20"/>
          <w:szCs w:val="20"/>
          <w:color w:val="auto"/>
        </w:rPr>
      </w:pPr>
      <w:r>
        <w:rPr>
          <w:rFonts w:ascii="Arial" w:cs="Arial" w:eastAsia="Arial" w:hAnsi="Arial"/>
          <w:sz w:val="17"/>
          <w:szCs w:val="17"/>
          <w:color w:val="auto"/>
        </w:rPr>
        <w:t>Collateral of such Grantor, including the payment of required fees and taxes, the filing of responses to office actions issued by the U.S. Patent and Trademark Office, the U.S. Copyright Office or other Governmental Authorities, the filing of applications for renewal or extension, the filing of affidavits under Sections 8 and 15 of the U.S. Trademark Act, and the participation in interference, reexamination, opposition, cancellation, infringement and misappropriation proceedings, in each case except where the failure to so file, register or maintain is not reasonably likely to have a Material Adverse Effect. No Grantor shall, without the written consent of the Agent, which shall not be unreasonably withheld or delayed, discontinue use of any material Trademark or otherwise abandon any such material Intellectual Property Collateral unless such Grantor shall have determined that such use or the pursuit or maintenance of such Intellectual Property Collateral is no longer material to the conduct of such Grantor’s business.</w:t>
      </w:r>
    </w:p>
    <w:p>
      <w:pPr>
        <w:spacing w:after="0" w:line="185" w:lineRule="exact"/>
        <w:rPr>
          <w:sz w:val="20"/>
          <w:szCs w:val="20"/>
          <w:color w:val="auto"/>
        </w:rPr>
      </w:pPr>
    </w:p>
    <w:p>
      <w:pPr>
        <w:ind w:right="260" w:firstLine="1041"/>
        <w:spacing w:after="0" w:line="257" w:lineRule="auto"/>
        <w:tabs>
          <w:tab w:leader="none" w:pos="128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Until the termination of the Credit Agreement, each Grantor agrees to provide to the Agent, concurrently with any delivery of Financial Statements pursuant to Section 5.01(h)(ii) of the Credit Agreement, an updated Schedule of its registered U.S. Patents, U.S. Patent applications, registered or applied for U.S. Trademarks and registered or applied for U.S. Copyrights.</w:t>
      </w:r>
    </w:p>
    <w:p>
      <w:pPr>
        <w:spacing w:after="0" w:line="188" w:lineRule="exact"/>
        <w:rPr>
          <w:rFonts w:ascii="Arial" w:cs="Arial" w:eastAsia="Arial" w:hAnsi="Arial"/>
          <w:sz w:val="18"/>
          <w:szCs w:val="18"/>
          <w:color w:val="auto"/>
        </w:rPr>
      </w:pPr>
    </w:p>
    <w:p>
      <w:pPr>
        <w:ind w:firstLine="1041"/>
        <w:spacing w:after="0" w:line="304" w:lineRule="auto"/>
        <w:tabs>
          <w:tab w:leader="none" w:pos="127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the event that any Grantor becomes aware that any item of Intellectual Property Collateral is being infringed or misappropriated by a third party, such Grantor shall take such commercially reasonable actions determined in its reasonable discretion, at its expense, to protect or enforce such Intellectual Property Collateral, including suing for infringement or misappropriation and for an injunction against such infringement or misappropriation.</w:t>
      </w:r>
    </w:p>
    <w:p>
      <w:pPr>
        <w:spacing w:after="0" w:line="154" w:lineRule="exact"/>
        <w:rPr>
          <w:rFonts w:ascii="Arial" w:cs="Arial" w:eastAsia="Arial" w:hAnsi="Arial"/>
          <w:sz w:val="16"/>
          <w:szCs w:val="16"/>
          <w:color w:val="auto"/>
        </w:rPr>
      </w:pPr>
    </w:p>
    <w:p>
      <w:pPr>
        <w:ind w:right="160" w:firstLine="1041"/>
        <w:spacing w:after="0" w:line="273" w:lineRule="auto"/>
        <w:tabs>
          <w:tab w:leader="none" w:pos="128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Grantor shall take all reasonable steps which it deems appropriate under the circumstances to preserve and protect each item of its material Trademarks included in the Intellectual Property Collateral, including maintaining substantially the quality of any and all products or services used or provided in connection with any such Trademarks, consistent with the general quality of the products and services as of the date hereof, and taking steps reasonably necessary to ensure that all licensed users of any such Trademarks use such consistent standards of quality.</w:t>
      </w:r>
    </w:p>
    <w:p>
      <w:pPr>
        <w:spacing w:after="0" w:line="177" w:lineRule="exact"/>
        <w:rPr>
          <w:rFonts w:ascii="Arial" w:cs="Arial" w:eastAsia="Arial" w:hAnsi="Arial"/>
          <w:sz w:val="17"/>
          <w:szCs w:val="17"/>
          <w:color w:val="auto"/>
        </w:rPr>
      </w:pPr>
    </w:p>
    <w:p>
      <w:pPr>
        <w:ind w:right="60" w:firstLine="1041"/>
        <w:spacing w:after="0" w:line="295" w:lineRule="auto"/>
        <w:tabs>
          <w:tab w:leader="none" w:pos="127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With respect to its Intellectual Property Collateral, each Grantor agrees to execute or otherwise authenticate an agreement, in substantially the form set forth in Exhibit A hereto or otherwise in form and substance satisfactory to the Agent (an “</w:t>
      </w:r>
      <w:r>
        <w:rPr>
          <w:rFonts w:ascii="Arial" w:cs="Arial" w:eastAsia="Arial" w:hAnsi="Arial"/>
          <w:sz w:val="16"/>
          <w:szCs w:val="16"/>
          <w:b w:val="1"/>
          <w:bCs w:val="1"/>
          <w:i w:val="1"/>
          <w:iCs w:val="1"/>
          <w:color w:val="auto"/>
        </w:rPr>
        <w:t>Intellectual Property Security Agreement</w:t>
      </w:r>
      <w:r>
        <w:rPr>
          <w:rFonts w:ascii="Arial" w:cs="Arial" w:eastAsia="Arial" w:hAnsi="Arial"/>
          <w:sz w:val="16"/>
          <w:szCs w:val="16"/>
          <w:color w:val="auto"/>
        </w:rPr>
        <w:t>”), for recording the security interest granted hereunder to the Agent in such Intellectual Property Collateral with the U.S. Patent and Trademark Office, the U.S. Copyright Office, and any other Governmental Authorities necessary to perfect the security interest hereunder in such Intellectual Property Collateral.</w:t>
      </w:r>
    </w:p>
    <w:p>
      <w:pPr>
        <w:spacing w:after="0" w:line="162" w:lineRule="exact"/>
        <w:rPr>
          <w:rFonts w:ascii="Arial" w:cs="Arial" w:eastAsia="Arial" w:hAnsi="Arial"/>
          <w:sz w:val="16"/>
          <w:szCs w:val="16"/>
          <w:color w:val="auto"/>
        </w:rPr>
      </w:pPr>
    </w:p>
    <w:p>
      <w:pPr>
        <w:ind w:right="40" w:firstLine="1041"/>
        <w:spacing w:after="0" w:line="295" w:lineRule="auto"/>
        <w:tabs>
          <w:tab w:leader="none" w:pos="125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Each entity which executes a Security Agreement Supplement as Grantor shall execute and deliver to the Agent with such written notice, or otherwise authenticate, an agreement substantially in the form of Exhibit B hereto or otherwise in form and substance satisfactory to the Agent (an “</w:t>
      </w:r>
      <w:r>
        <w:rPr>
          <w:rFonts w:ascii="Arial" w:cs="Arial" w:eastAsia="Arial" w:hAnsi="Arial"/>
          <w:sz w:val="16"/>
          <w:szCs w:val="16"/>
          <w:b w:val="1"/>
          <w:bCs w:val="1"/>
          <w:i w:val="1"/>
          <w:iCs w:val="1"/>
          <w:color w:val="auto"/>
        </w:rPr>
        <w:t>IP Security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 Supplement</w:t>
      </w:r>
      <w:r>
        <w:rPr>
          <w:rFonts w:ascii="Arial" w:cs="Arial" w:eastAsia="Arial" w:hAnsi="Arial"/>
          <w:sz w:val="16"/>
          <w:szCs w:val="16"/>
          <w:color w:val="auto"/>
        </w:rPr>
        <w:t>”) covering such Intellectual Property, which IP Security Agreement Supplement shall be recorded with the U.S. Patent and Trademark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 the U.S. Copyright Office and any other Governmental Authorities necessary to perfect the security interest hereunder in such Intellectual Property.</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Rights; Dividends; Etc</w:t>
      </w:r>
      <w:r>
        <w:rPr>
          <w:rFonts w:ascii="Arial" w:cs="Arial" w:eastAsia="Arial" w:hAnsi="Arial"/>
          <w:sz w:val="18"/>
          <w:szCs w:val="18"/>
          <w:color w:val="auto"/>
        </w:rPr>
        <w:t>. So long as no Event of Default shall have occurred and be continuing:</w:t>
      </w:r>
    </w:p>
    <w:p>
      <w:pPr>
        <w:spacing w:after="0" w:line="220" w:lineRule="exact"/>
        <w:rPr>
          <w:sz w:val="20"/>
          <w:szCs w:val="20"/>
          <w:color w:val="auto"/>
        </w:rPr>
      </w:pPr>
    </w:p>
    <w:p>
      <w:pPr>
        <w:ind w:right="260" w:firstLine="1559"/>
        <w:spacing w:after="0" w:line="267" w:lineRule="auto"/>
        <w:tabs>
          <w:tab w:leader="none" w:pos="176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Each Grantor shall be entitled to exercise any and all voting and other consensual rights pertaining to the Security Collateral of such Grantor or any part thereof for any purpose.</w:t>
      </w:r>
    </w:p>
    <w:p>
      <w:pPr>
        <w:spacing w:after="0" w:line="179" w:lineRule="exact"/>
        <w:rPr>
          <w:rFonts w:ascii="Arial" w:cs="Arial" w:eastAsia="Arial" w:hAnsi="Arial"/>
          <w:sz w:val="18"/>
          <w:szCs w:val="18"/>
          <w:color w:val="auto"/>
        </w:rPr>
      </w:pPr>
    </w:p>
    <w:p>
      <w:pPr>
        <w:ind w:firstLine="1559"/>
        <w:spacing w:after="0" w:line="269" w:lineRule="auto"/>
        <w:tabs>
          <w:tab w:leader="none" w:pos="181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Each Grantor shall be entitled to receive and retain any and all dividends, interest and other distributions paid in respect of the Security Collateral of such Grantor if and to the extent that the payment thereof is not otherwise prohibited by the terms of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any and all dividends, interest and other distributions paid or payable in the form of instruments or certificates in respect of, or in exchange for, any Security Collateral, shall be promptly delivered to the Agent to hold as Security Collateral (to the extent it is not Excluded Property) and shall, if received by such Grantor, be received in trust for the benefit of the Secured Parties, be segregated from the other property or funds of such Grantor and be promptly delivered to the Agent as Security Collateral in the same form as so received (with any necessary indorsement).</w:t>
      </w:r>
    </w:p>
    <w:p>
      <w:pPr>
        <w:spacing w:after="0" w:line="178" w:lineRule="exact"/>
        <w:rPr>
          <w:rFonts w:ascii="Arial" w:cs="Arial" w:eastAsia="Arial" w:hAnsi="Arial"/>
          <w:sz w:val="17"/>
          <w:szCs w:val="17"/>
          <w:color w:val="auto"/>
        </w:rPr>
      </w:pPr>
    </w:p>
    <w:p>
      <w:pPr>
        <w:ind w:right="140" w:firstLine="1559"/>
        <w:spacing w:after="0" w:line="304" w:lineRule="auto"/>
        <w:tabs>
          <w:tab w:leader="none" w:pos="186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Agent will execute and deliver (or cause to be executed and delivered) to each Grantor all such proxies and other instruments as such Grantor may reasonably request for the purpose of enabling such Grantor to exercise the voting and other rights that it is entitled to exercise pursuant to paragraph (i) above and to receive the dividends or interest payments that it is authorized to receive and retain pursuant to paragraph (ii) above.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1" w:name="page232"/>
    <w:bookmarkEnd w:id="231"/>
    <w:p>
      <w:pPr>
        <w:ind w:left="1300" w:hanging="259"/>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w:t>
      </w:r>
    </w:p>
    <w:p>
      <w:pPr>
        <w:spacing w:after="0" w:line="219" w:lineRule="exact"/>
        <w:rPr>
          <w:rFonts w:ascii="Arial" w:cs="Arial" w:eastAsia="Arial" w:hAnsi="Arial"/>
          <w:sz w:val="18"/>
          <w:szCs w:val="18"/>
          <w:color w:val="auto"/>
        </w:rPr>
      </w:pPr>
    </w:p>
    <w:p>
      <w:pPr>
        <w:ind w:right="120" w:firstLine="1559"/>
        <w:spacing w:after="0" w:line="251" w:lineRule="auto"/>
        <w:tabs>
          <w:tab w:leader="none" w:pos="176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All rights of each Grantor (A) to exercise or refrain from exercising the voting and other consensual rights that it would otherwise be entitled to exercise pursuant to Section 12(a)(i) shall, upon notice to such Grantor by the Agent, cease and (B) to receive the dividends, interest and other distributions that it would otherwise be authorized to receive and retain pursuant to Section 12(a)(ii) shall automatically cease, and all such rights shall, subject to the Intercreditor Agreement, thereupon become vested in the Agent for the benefit of the Secured Parties, which shall thereupon have the sole right to exercise or refrain from exercising such voting and other consensual rights and to receive and hold as Security Collateral such dividends, interest and other distributions.</w:t>
      </w:r>
    </w:p>
    <w:p>
      <w:pPr>
        <w:spacing w:after="0" w:line="194" w:lineRule="exact"/>
        <w:rPr>
          <w:rFonts w:ascii="Arial" w:cs="Arial" w:eastAsia="Arial" w:hAnsi="Arial"/>
          <w:sz w:val="18"/>
          <w:szCs w:val="18"/>
          <w:color w:val="auto"/>
        </w:rPr>
      </w:pPr>
    </w:p>
    <w:p>
      <w:pPr>
        <w:ind w:right="240" w:firstLine="1559"/>
        <w:spacing w:after="0" w:line="257" w:lineRule="auto"/>
        <w:tabs>
          <w:tab w:leader="none" w:pos="181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All dividends, interest and other distributions that are received by any Grantor contrary to the provisions of paragraph (i) of this Section 12(b) shall be received in trust for the benefit of the Secured Parties, shall be segregated from other funds of such Grantor and shall be promptly paid over to the Agent as Security Collateral in the same form as so received (with any necessary indorsement).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As to the Assigned Agreements</w:t>
      </w:r>
      <w:r>
        <w:rPr>
          <w:rFonts w:ascii="Arial" w:cs="Arial" w:eastAsia="Arial" w:hAnsi="Arial"/>
          <w:sz w:val="18"/>
          <w:szCs w:val="18"/>
          <w:color w:val="auto"/>
        </w:rPr>
        <w:t>.</w:t>
      </w:r>
    </w:p>
    <w:p>
      <w:pPr>
        <w:spacing w:after="0" w:line="220" w:lineRule="exact"/>
        <w:rPr>
          <w:sz w:val="20"/>
          <w:szCs w:val="20"/>
          <w:color w:val="auto"/>
        </w:rPr>
      </w:pPr>
    </w:p>
    <w:p>
      <w:pPr>
        <w:ind w:left="1280" w:hanging="239"/>
        <w:spacing w:after="0"/>
        <w:tabs>
          <w:tab w:leader="none" w:pos="1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Grantor will at its expense:</w:t>
      </w:r>
    </w:p>
    <w:p>
      <w:pPr>
        <w:spacing w:after="0" w:line="219" w:lineRule="exact"/>
        <w:rPr>
          <w:rFonts w:ascii="Arial" w:cs="Arial" w:eastAsia="Arial" w:hAnsi="Arial"/>
          <w:sz w:val="18"/>
          <w:szCs w:val="18"/>
          <w:color w:val="auto"/>
        </w:rPr>
      </w:pPr>
    </w:p>
    <w:p>
      <w:pPr>
        <w:ind w:right="80" w:firstLine="1559"/>
        <w:spacing w:after="0" w:line="254" w:lineRule="auto"/>
        <w:tabs>
          <w:tab w:leader="none" w:pos="176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perform and observe in all material respects all terms and provisions of the Assigned Agreements to be performed or observed by it to the extent consistent with its past practice or reasonable business judgment, maintain the Assigned Agreements to which it is a party in full force and effect, enforce the Assigned Agreements to which it is a party in accordance with the terms thereof and take all such action to such end as may be requested from time to time by the Agent; and</w:t>
      </w:r>
    </w:p>
    <w:p>
      <w:pPr>
        <w:spacing w:after="0" w:line="190" w:lineRule="exact"/>
        <w:rPr>
          <w:rFonts w:ascii="Arial" w:cs="Arial" w:eastAsia="Arial" w:hAnsi="Arial"/>
          <w:sz w:val="18"/>
          <w:szCs w:val="18"/>
          <w:color w:val="auto"/>
        </w:rPr>
      </w:pPr>
    </w:p>
    <w:p>
      <w:pPr>
        <w:ind w:right="60" w:firstLine="1559"/>
        <w:spacing w:after="0" w:line="270" w:lineRule="auto"/>
        <w:tabs>
          <w:tab w:leader="none" w:pos="181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furnish to the Agent promptly upon receipt thereof copies of all notices of defaults relating to agreements involving monetary liability of or to any Person in an amount in excess of $5,000,000 received by such Grantor under or pursuant to the Assigned Agreements to which it is a party, and from time to time (A) furnish to the Agent such information and reports regarding the Assigned Agreements and such other Collateral of such Grantor as the Agent may reasonably request and (B) upon request of the Agent, make to each other party to any Assigned Agreement to which it is a party such demands and requests for information and reports or for action as such Grantor is entitled to make thereunder.</w:t>
      </w:r>
    </w:p>
    <w:p>
      <w:pPr>
        <w:spacing w:after="0" w:line="180" w:lineRule="exact"/>
        <w:rPr>
          <w:rFonts w:ascii="Arial" w:cs="Arial" w:eastAsia="Arial" w:hAnsi="Arial"/>
          <w:sz w:val="17"/>
          <w:szCs w:val="17"/>
          <w:color w:val="auto"/>
        </w:rPr>
      </w:pPr>
    </w:p>
    <w:p>
      <w:pPr>
        <w:ind w:right="460" w:firstLine="1041"/>
        <w:spacing w:after="0" w:line="267" w:lineRule="auto"/>
        <w:tabs>
          <w:tab w:leader="none" w:pos="128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Grantor hereby consents on its behalf and on behalf of its Subsidiaries to the assignment and pledge to the Agent for benefit of the Secured Parties of each Assigned Agreement to which it is a party by any other Grantor hereunder.</w:t>
      </w:r>
    </w:p>
    <w:p>
      <w:pPr>
        <w:spacing w:after="0" w:line="179" w:lineRule="exact"/>
        <w:rPr>
          <w:rFonts w:ascii="Arial" w:cs="Arial" w:eastAsia="Arial" w:hAnsi="Arial"/>
          <w:sz w:val="18"/>
          <w:szCs w:val="18"/>
          <w:color w:val="auto"/>
        </w:rPr>
      </w:pPr>
    </w:p>
    <w:p>
      <w:pPr>
        <w:ind w:right="20" w:firstLine="1041"/>
        <w:spacing w:after="0" w:line="331" w:lineRule="auto"/>
        <w:tabs>
          <w:tab w:leader="none" w:pos="127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Each Grantor agrees, upon the reasonable request of Agent, to instruct each other party to each Assigned Agreement to which it is a party, that all payments due or to become due under or in connection with such Assigned Agreement will be made directly to a Pledged Deposit Account.</w:t>
      </w:r>
    </w:p>
    <w:p>
      <w:pPr>
        <w:spacing w:after="0" w:line="132" w:lineRule="exact"/>
        <w:rPr>
          <w:rFonts w:ascii="Arial" w:cs="Arial" w:eastAsia="Arial" w:hAnsi="Arial"/>
          <w:sz w:val="16"/>
          <w:szCs w:val="16"/>
          <w:color w:val="auto"/>
        </w:rPr>
      </w:pPr>
    </w:p>
    <w:p>
      <w:pPr>
        <w:ind w:right="180" w:firstLine="1041"/>
        <w:spacing w:after="0" w:line="257" w:lineRule="auto"/>
        <w:tabs>
          <w:tab w:leader="none" w:pos="128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All moneys received or collected pursuant to subsection (c) above shall be (i) released to the applicable Grantor on the terms set forth in the Credit Agreement so long as no Event of Default shall have occurred and be continuing or (ii) if any Event of Default shall have occurred and be continuing, applied as provided in Section 19(b).</w:t>
      </w:r>
    </w:p>
    <w:p>
      <w:pPr>
        <w:spacing w:after="0" w:line="188"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As to Letter-of-Credit Rights and Commercial Tort Claims</w:t>
      </w:r>
      <w:r>
        <w:rPr>
          <w:rFonts w:ascii="Arial" w:cs="Arial" w:eastAsia="Arial" w:hAnsi="Arial"/>
          <w:sz w:val="18"/>
          <w:szCs w:val="18"/>
          <w:color w:val="auto"/>
        </w:rPr>
        <w:t>. (a) Except as otherwise permitted by the Credit Agreement and this Agreement, each Grantor, by granting a security interest in its Receivables consisting of letter-of-credit rights to the Agent, hereby assigns to the Agent such rights (including its contingent rights) to the proceeds of all Related Contracts consisting of letters of credit of which it is or hereafter becomes a beneficiary or assignee. Upon request of the Agent, each Grantor will promptly use commercially reasonable efforts to cause the issuer of each letter-of-credit with a stated amount in excess of $2,500,000 and each nominated person (as defined in Section 5-102 of the UCC) (if any) with respect thereto to consent to such assignment of the proceeds thereof pursuant to a consent in form and substance reasonably satisfactory to the Agent and deliver written evidence of such consent to the Agent.</w:t>
      </w:r>
    </w:p>
    <w:p>
      <w:pPr>
        <w:spacing w:after="0" w:line="198" w:lineRule="exact"/>
        <w:rPr>
          <w:sz w:val="20"/>
          <w:szCs w:val="20"/>
          <w:color w:val="auto"/>
        </w:rPr>
      </w:pPr>
    </w:p>
    <w:p>
      <w:pPr>
        <w:ind w:firstLine="1041"/>
        <w:spacing w:after="0" w:line="273" w:lineRule="auto"/>
        <w:tabs>
          <w:tab w:leader="none" w:pos="128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each Grantor will, promptly upon request by the Agent, (i) notify (and such Grantor hereby authorizes the Agent to notify) the issuer and each nominated person with respect to each of the Related Contracts consisting of letters of credit that the proceeds thereof have been assigned to the Agent hereunder and any payments due or to become due in respect thereof are to be made directly to the Agent or its designee and (ii) arrange for the Agent to become the transferee beneficiary of letter of credit.</w:t>
      </w:r>
    </w:p>
    <w:p>
      <w:pPr>
        <w:spacing w:after="0" w:line="177" w:lineRule="exact"/>
        <w:rPr>
          <w:rFonts w:ascii="Arial" w:cs="Arial" w:eastAsia="Arial" w:hAnsi="Arial"/>
          <w:sz w:val="17"/>
          <w:szCs w:val="17"/>
          <w:color w:val="auto"/>
        </w:rPr>
      </w:pPr>
    </w:p>
    <w:p>
      <w:pPr>
        <w:ind w:right="60" w:firstLine="1041"/>
        <w:spacing w:after="0" w:line="257" w:lineRule="auto"/>
        <w:tabs>
          <w:tab w:leader="none" w:pos="127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event that any Grantor hereafter acquires or has any commercial tort claim that has been filed with any court in excess of $5,000,000 in the aggregate, it shall, promptly after such claim has been filed with such court, deliver a supplement to Schedule X hereto, identifying such new commercial tort claim.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32" w:name="page233"/>
    <w:bookmarkEnd w:id="232"/>
    <w:p>
      <w:pPr>
        <w:ind w:right="280" w:firstLine="518"/>
        <w:spacing w:after="0" w:line="295"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Transfers and Other Liens; Additional Shares.</w:t>
      </w:r>
      <w:r>
        <w:rPr>
          <w:rFonts w:ascii="Arial" w:cs="Arial" w:eastAsia="Arial" w:hAnsi="Arial"/>
          <w:sz w:val="16"/>
          <w:szCs w:val="16"/>
          <w:color w:val="auto"/>
        </w:rPr>
        <w:t xml:space="preserve"> (a) Each Grantor agrees that it will not (i) sell, assign or otherwise dispose of, or grant any option with respect to, any of the Collateral, other than sales, assignments and other dispositions of Collateral, and options relating to Collateral, permitted under the terms of the Credit Agreement or (ii) create or suffer to exist any Lien upon or with respect to any of the Collateral of such Grantor except for the pledge, assignment and security interest created under this Agreement and Liens permitted under the Credit Agreement.</w:t>
      </w:r>
    </w:p>
    <w:p>
      <w:pPr>
        <w:spacing w:after="0" w:line="162" w:lineRule="exact"/>
        <w:rPr>
          <w:sz w:val="20"/>
          <w:szCs w:val="20"/>
          <w:color w:val="auto"/>
        </w:rPr>
      </w:pPr>
    </w:p>
    <w:p>
      <w:pPr>
        <w:jc w:val="both"/>
        <w:ind w:right="20" w:firstLine="1041"/>
        <w:spacing w:after="0" w:line="295" w:lineRule="auto"/>
        <w:tabs>
          <w:tab w:leader="none" w:pos="128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Subject to the terms of the Credit Agreement and this Agreement, each Grantor agrees that it will (i) cause each issuer of the Pledged Equity pledged by such Grantor not to issue any equity interests or other securities in addition to or in substitution for the Pledged Equity issued by such issuer except to such Grantor or its Affiliates, and (ii) pledge hereunder, promptly upon its acquisition (directly or indirectly) thereof, any and all additional equity interests or other securities as required by Section 5.01(i) of the Credit Agreement from time to time acquired by such Grantor in any manner.</w:t>
      </w:r>
    </w:p>
    <w:p>
      <w:pPr>
        <w:spacing w:after="0" w:line="162" w:lineRule="exact"/>
        <w:rPr>
          <w:sz w:val="20"/>
          <w:szCs w:val="20"/>
          <w:color w:val="auto"/>
        </w:rPr>
      </w:pPr>
    </w:p>
    <w:p>
      <w:pPr>
        <w:ind w:firstLine="777"/>
        <w:spacing w:after="0" w:line="279"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Agent Appointed Attorney in Fact</w:t>
      </w:r>
      <w:r>
        <w:rPr>
          <w:rFonts w:ascii="Arial" w:cs="Arial" w:eastAsia="Arial" w:hAnsi="Arial"/>
          <w:sz w:val="17"/>
          <w:szCs w:val="17"/>
          <w:color w:val="auto"/>
        </w:rPr>
        <w:t>. Each Grantor hereby irrevocably appoints the Agent such Grantor’s attorney-in-fact, with full authority in the place and stead of such Grantor and in the name of such Grantor or otherwise, from time to time, in the Agent’s discretion, to take any action and to execute any instrument that the Agent may deem necessary or advisable to accomplish the purposes of this Agreement, including:</w:t>
      </w:r>
    </w:p>
    <w:p>
      <w:pPr>
        <w:spacing w:after="0" w:line="172" w:lineRule="exact"/>
        <w:rPr>
          <w:sz w:val="20"/>
          <w:szCs w:val="20"/>
          <w:color w:val="auto"/>
        </w:rPr>
      </w:pPr>
    </w:p>
    <w:p>
      <w:pPr>
        <w:ind w:right="620" w:firstLine="1041"/>
        <w:spacing w:after="0" w:line="267" w:lineRule="auto"/>
        <w:tabs>
          <w:tab w:leader="none" w:pos="127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obtain, an upon the occurrence and during the continuance of an Event of Default, adjust insurance required to be paid to the Agent pursuant to Section 9,</w:t>
      </w:r>
    </w:p>
    <w:p>
      <w:pPr>
        <w:spacing w:after="0" w:line="179" w:lineRule="exact"/>
        <w:rPr>
          <w:rFonts w:ascii="Arial" w:cs="Arial" w:eastAsia="Arial" w:hAnsi="Arial"/>
          <w:sz w:val="18"/>
          <w:szCs w:val="18"/>
          <w:color w:val="auto"/>
        </w:rPr>
      </w:pPr>
    </w:p>
    <w:p>
      <w:pPr>
        <w:ind w:right="240" w:firstLine="1041"/>
        <w:spacing w:after="0" w:line="267" w:lineRule="auto"/>
        <w:tabs>
          <w:tab w:leader="none" w:pos="128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upon the occurrence and during the continuation of any Event of Default, to ask for, demand, collect, sue for, recover, compromise, receive and give acquittance and receipts for moneys due and to become due under or in respect of any of the Collateral,</w:t>
      </w:r>
    </w:p>
    <w:p>
      <w:pPr>
        <w:spacing w:after="0" w:line="179" w:lineRule="exact"/>
        <w:rPr>
          <w:rFonts w:ascii="Arial" w:cs="Arial" w:eastAsia="Arial" w:hAnsi="Arial"/>
          <w:sz w:val="18"/>
          <w:szCs w:val="18"/>
          <w:color w:val="auto"/>
        </w:rPr>
      </w:pPr>
    </w:p>
    <w:p>
      <w:pPr>
        <w:ind w:right="820" w:firstLine="1041"/>
        <w:spacing w:after="0" w:line="267" w:lineRule="auto"/>
        <w:tabs>
          <w:tab w:leader="none" w:pos="127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 Cash Control Trigger Event, to receive, indorse and collect any drafts or other instruments, documents and chattel paper, in connection with clause (a) or (b) above,</w:t>
      </w:r>
    </w:p>
    <w:p>
      <w:pPr>
        <w:spacing w:after="0" w:line="179" w:lineRule="exact"/>
        <w:rPr>
          <w:rFonts w:ascii="Arial" w:cs="Arial" w:eastAsia="Arial" w:hAnsi="Arial"/>
          <w:sz w:val="18"/>
          <w:szCs w:val="18"/>
          <w:color w:val="auto"/>
        </w:rPr>
      </w:pPr>
    </w:p>
    <w:p>
      <w:pPr>
        <w:ind w:right="40" w:firstLine="1041"/>
        <w:spacing w:after="0" w:line="257" w:lineRule="auto"/>
        <w:tabs>
          <w:tab w:leader="none" w:pos="128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upon the occurrence and during the continuation of any Event of Default to file any claims or take any action or institute any proceedings that the Agent may deem necessary or desirable for the collection of any of the Collateral or otherwise to enforce compliance with the terms and conditions of any Assigned Agreement or the rights of the Agent with respect to any of the Collateral;</w:t>
      </w:r>
    </w:p>
    <w:p>
      <w:pPr>
        <w:spacing w:after="0" w:line="188" w:lineRule="exact"/>
        <w:rPr>
          <w:rFonts w:ascii="Arial" w:cs="Arial" w:eastAsia="Arial" w:hAnsi="Arial"/>
          <w:sz w:val="18"/>
          <w:szCs w:val="18"/>
          <w:color w:val="auto"/>
        </w:rPr>
      </w:pPr>
    </w:p>
    <w:p>
      <w:pPr>
        <w:jc w:val="both"/>
        <w:ind w:right="180" w:firstLine="1041"/>
        <w:spacing w:after="0" w:line="279" w:lineRule="auto"/>
        <w:tabs>
          <w:tab w:leader="none" w:pos="127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upon the occurrence and during the continuation of any Event of Default, to use any Intellectual Property or IP Agreements (solely pursuant to the terms thereof) that are not Excluded Property of such Grantor, including any labels, Patents, Trademarks, trade names, URLs, domain names, industrial designs, Copyrights, or advertising matter, in preparing for sale, advertising for sale, or selling Inventory or other Collateral;</w:t>
      </w:r>
    </w:p>
    <w:p>
      <w:pPr>
        <w:spacing w:after="0" w:line="171" w:lineRule="exact"/>
        <w:rPr>
          <w:rFonts w:ascii="Arial" w:cs="Arial" w:eastAsia="Arial" w:hAnsi="Arial"/>
          <w:sz w:val="17"/>
          <w:szCs w:val="17"/>
          <w:color w:val="auto"/>
        </w:rPr>
      </w:pPr>
    </w:p>
    <w:p>
      <w:pPr>
        <w:ind w:right="40" w:firstLine="1041"/>
        <w:spacing w:after="0" w:line="254" w:lineRule="auto"/>
        <w:tabs>
          <w:tab w:leader="none" w:pos="125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take or cause to be taken all actions necessary to perform or comply or cause performance or compliance with the terms of this Agreement, including actions to pay or discharge taxes or Liens (other than Permitted Liens) levied or placed upon or threatened against the Collateral, the legality or validity thereof and the amounts necessary to discharge the same to be determined by Agent in its sole discretion, any such payments made by Agent to become obligations of such Grantor to Agent, due and payable immediately without demand;</w:t>
      </w:r>
    </w:p>
    <w:p>
      <w:pPr>
        <w:spacing w:after="0" w:line="190" w:lineRule="exact"/>
        <w:rPr>
          <w:rFonts w:ascii="Arial" w:cs="Arial" w:eastAsia="Arial" w:hAnsi="Arial"/>
          <w:sz w:val="18"/>
          <w:szCs w:val="18"/>
          <w:color w:val="auto"/>
        </w:rPr>
      </w:pPr>
    </w:p>
    <w:p>
      <w:pPr>
        <w:ind w:right="20" w:firstLine="1041"/>
        <w:spacing w:after="0" w:line="252" w:lineRule="auto"/>
        <w:tabs>
          <w:tab w:leader="none" w:pos="128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upon the occurrence and during the continuation of any Event of Default, generally to sell, transfer, lease, license, pledge, make any agreement with respect to or otherwise deal with any of the Collateral as fully and completely as though Agent were the absolute owner thereof for all purposes, and (ii) to do, at Agent’s option and such Grantor’s expense, at any time or from time to time, all acts and things that Agent deems reasonably necessary to protect, preserve or realize upon the Collateral and Agent’s security interest therein in order to effect the intent of this Agreement, all as fully and effectively as such Grantor might do;</w:t>
      </w:r>
    </w:p>
    <w:p>
      <w:pPr>
        <w:spacing w:after="0" w:line="193" w:lineRule="exact"/>
        <w:rPr>
          <w:rFonts w:ascii="Arial" w:cs="Arial" w:eastAsia="Arial" w:hAnsi="Arial"/>
          <w:sz w:val="18"/>
          <w:szCs w:val="18"/>
          <w:color w:val="auto"/>
        </w:rPr>
      </w:pPr>
    </w:p>
    <w:p>
      <w:pPr>
        <w:ind w:right="100" w:firstLine="1041"/>
        <w:spacing w:after="0" w:line="257" w:lineRule="auto"/>
        <w:tabs>
          <w:tab w:leader="none" w:pos="128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upon the occurrence and during the continuation of any Event of Default, to repair, alter, or supply goods, if any, necessary to fulfill in whole or in part the purchase order of any Person obligated to the Borrower or such other Grantor in respect of any Account of the Borrower or such other Grantor; and</w:t>
      </w:r>
    </w:p>
    <w:p>
      <w:pPr>
        <w:spacing w:after="0" w:line="188" w:lineRule="exact"/>
        <w:rPr>
          <w:rFonts w:ascii="Arial" w:cs="Arial" w:eastAsia="Arial" w:hAnsi="Arial"/>
          <w:sz w:val="18"/>
          <w:szCs w:val="18"/>
          <w:color w:val="auto"/>
        </w:rPr>
      </w:pPr>
    </w:p>
    <w:p>
      <w:pPr>
        <w:jc w:val="both"/>
        <w:ind w:right="60" w:firstLine="1041"/>
        <w:spacing w:after="0" w:line="254" w:lineRule="auto"/>
        <w:tabs>
          <w:tab w:leader="none" w:pos="12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to take exclusive possession of all locations where the Borrower or other Grantor conducts its business or has rights of possession, with prompt notice to the Borrower or any Grantor and to use such locations to store, process, manufacture, sell, use, and liquidate or otherwise dispose of items that are Collateral, without obligation to pay rent or other compensation for the possession or use of any location.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33" w:name="page234"/>
    <w:bookmarkEnd w:id="233"/>
    <w:p>
      <w:pPr>
        <w:ind w:right="60" w:firstLine="518"/>
        <w:spacing w:after="0" w:line="279"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Agent May Perform</w:t>
      </w:r>
      <w:r>
        <w:rPr>
          <w:rFonts w:ascii="Arial" w:cs="Arial" w:eastAsia="Arial" w:hAnsi="Arial"/>
          <w:sz w:val="17"/>
          <w:szCs w:val="17"/>
          <w:color w:val="auto"/>
        </w:rPr>
        <w:t>. If any Grantor fails to perform any agreement contained herein, the Agent may, but without any obligation to do so, upon notice to the Company of at least five Business Days in advance and if the Company fails to cure within such period, itself perform, or cause performance of, such agreement, and the expenses of the Agent incurred in connection therewith shall be payable by such Grantor under Section 21.</w:t>
      </w:r>
    </w:p>
    <w:p>
      <w:pPr>
        <w:spacing w:after="0" w:line="172"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The Agent’s Duties</w:t>
      </w:r>
      <w:r>
        <w:rPr>
          <w:rFonts w:ascii="Arial" w:cs="Arial" w:eastAsia="Arial" w:hAnsi="Arial"/>
          <w:sz w:val="17"/>
          <w:szCs w:val="17"/>
          <w:color w:val="auto"/>
        </w:rPr>
        <w:t>. (a) The powers conferred on the Agent hereunder are solely to protect the Secured Parties’ interest in the Collateral and shall not impose any duty upon it to exercise any such powers. Except for the safe custody of any Collateral in its possession and the accounting for moneys actually received by it hereunder, the Agent shall have no duty as to any Collateral, as to ascertaining or taking action with respect to calls, conversions, exchanges, maturities, tenders or other matters relative to any Collateral, whether or not any Secured Party has or is deemed to have knowledge of such matters, or as to the taking of any necessary steps to preserve rights against any parties or any other rights pertaining to any Collateral. The Agent shall be deemed to have exercised reasonable care in the custody and preservation of any Collateral in its possession if such Collateral is accorded treatment substantially equal to that which it accords its own property.</w:t>
      </w:r>
    </w:p>
    <w:p>
      <w:pPr>
        <w:spacing w:after="0" w:line="185" w:lineRule="exact"/>
        <w:rPr>
          <w:sz w:val="20"/>
          <w:szCs w:val="20"/>
          <w:color w:val="auto"/>
        </w:rPr>
      </w:pPr>
    </w:p>
    <w:p>
      <w:pPr>
        <w:ind w:right="20" w:firstLine="1041"/>
        <w:spacing w:after="0" w:line="266" w:lineRule="auto"/>
        <w:tabs>
          <w:tab w:leader="none" w:pos="1286"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Anything contained herein to the contrary notwithstanding, the Agent may from time to time, when the Agent deems it to be necessary, appoint one or more of its Affiliates (or, with the consent of the Company, any other Persons) subagents (each a “</w:t>
      </w:r>
      <w:r>
        <w:rPr>
          <w:rFonts w:ascii="Arial" w:cs="Arial" w:eastAsia="Arial" w:hAnsi="Arial"/>
          <w:sz w:val="17"/>
          <w:szCs w:val="17"/>
          <w:b w:val="1"/>
          <w:bCs w:val="1"/>
          <w:i w:val="1"/>
          <w:iCs w:val="1"/>
          <w:color w:val="auto"/>
        </w:rPr>
        <w:t>Subagent</w:t>
      </w:r>
      <w:r>
        <w:rPr>
          <w:rFonts w:ascii="Arial" w:cs="Arial" w:eastAsia="Arial" w:hAnsi="Arial"/>
          <w:sz w:val="17"/>
          <w:szCs w:val="17"/>
          <w:color w:val="auto"/>
        </w:rPr>
        <w:t xml:space="preserve">”) for the Agent hereunder with respect to all or any part of the Collateral. In the event that the Agent so appoints any Subagent with respect to any Collateral, (i) the assignment and pledge of such Collateral and the security interest granted in such Collateral by each Grantor hereunder shall be deemed for purposes of this Agreement to have been made to such Subagent, in addition to the Agent, for the benefit of the Secured Parties, as security for the Secured Obligations of such Grantor, (ii) such Subagent shall automatically be vested, in addition to the Agent, with all rights, powers, privileges, interests and remedies of the Agent hereunder with respect to such Collateral, and (iii) the term “Agent,” when used herein in relation to any rights, powers, privileges, interests and remedies of the Agent with respect to such Collateral, shall include such Subagent;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Subagent shall be authorized to take any action with respect to any such Collateral unless and except to the extent expressly authorized in writing by the Agent.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Remedies</w:t>
      </w:r>
      <w:r>
        <w:rPr>
          <w:rFonts w:ascii="Arial" w:cs="Arial" w:eastAsia="Arial" w:hAnsi="Arial"/>
          <w:sz w:val="16"/>
          <w:szCs w:val="16"/>
          <w:color w:val="auto"/>
        </w:rPr>
        <w:t>. If any Event of Default shall have occurred and be continuing and such Event of Default has resulted in the acceleration of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Secured Obligations, which acceleration has not been rescinded or otherwise terminated:</w:t>
      </w:r>
    </w:p>
    <w:p>
      <w:pPr>
        <w:spacing w:after="0" w:line="209" w:lineRule="exact"/>
        <w:rPr>
          <w:sz w:val="20"/>
          <w:szCs w:val="20"/>
          <w:color w:val="auto"/>
        </w:rPr>
      </w:pPr>
    </w:p>
    <w:p>
      <w:pPr>
        <w:ind w:firstLine="1041"/>
        <w:spacing w:after="0" w:line="279" w:lineRule="auto"/>
        <w:tabs>
          <w:tab w:leader="none" w:pos="1276"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Agent may exercise in respect of the Collateral, in addition to other rights and remedies provided for herein or otherwise available to it, all the rights and remedies of a secured party upon default under the UCC (whether or not the UCC applies to the affected Collateral) and also may: (i) require each Grantor to, and each Grantor hereby agrees that it will at its expense and upon request of the Agent forthwith, assemble all or part of the Collateral as directed by the Agent and make it available to the Agent at a place and time to be designated by the Agent that is reasonably convenient to both parties; (ii) subject to applicable law, without notice except as specified below, sell the Collateral or any part thereof in one or more parcels at public or private sale, at any of the Agent’s offices or elsewhere, for cash, on credit or for future delivery, and upon such other terms as the Agent may deem commercially reasonable; (iii) occupy, consistent with Section 5.01(e) of the Credit Agreement, on a non-exclusive basis any premises owned or leased by any of the Grantors where the Collateral or any part thereof is assembled or located for a reasonable period in order to effectuate its rights and remedies hereunder or under law, without obligation to such Grantor in respect of such occupation; and (iv) exercise any and all rights and remedies of any of the Grantors under or in connection with the Collateral, or otherwise in respect of the Collateral, including (A) any and all rights of such Grantor to demand or otherwise require payment of any amount under, or performance of any provision of, the Assigned Agreements, the Receivables and the other Collateral, (B) withdraw, or cause or direct the withdrawal, of all funds with respect to the Account Collateral, and (C) exercise all other rights and remedies with respect to the Assigned Agreements, the Receivables and the other Collateral, including those set forth in Section 9-607 of the UCC. Each Grantor agrees that, to the extent notice of sale shall be required by law, at least ten days’ notice to such Grantor of the time and place of any public sale, or of the time after which any private sale is to be made shall constitute reasonable notification. The Agent shall not be obligated to make any sale of Collateral regardless of notice of sale having been given. The Agent may adjourn any public or private sale from time to time by announcement at the time and place fixed therefor, and such sale may, without further notice, be made at the time and place to which it was so adjourned. Each Grantor agrees that (A) the internet shall constitute a “place” for purposes of Section 9-610(b) of the UCC and (B) to the extent notification of sale shall be required by law, notification by mail of the URL where a sale will occur and the time when a sale will commence at least ten</w:t>
      </w:r>
    </w:p>
    <w:p>
      <w:pPr>
        <w:spacing w:after="0" w:line="1" w:lineRule="exact"/>
        <w:rPr>
          <w:rFonts w:ascii="Arial" w:cs="Arial" w:eastAsia="Arial" w:hAnsi="Arial"/>
          <w:sz w:val="16"/>
          <w:szCs w:val="16"/>
          <w:color w:val="auto"/>
        </w:rPr>
      </w:pPr>
    </w:p>
    <w:p>
      <w:pPr>
        <w:ind w:left="340" w:hanging="333"/>
        <w:spacing w:after="0"/>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days prior to the sale shall constitute a reasonable notification for purposes of Section 9-611(b) of the UCC.</w:t>
      </w:r>
    </w:p>
    <w:p>
      <w:pPr>
        <w:spacing w:after="0" w:line="208" w:lineRule="exact"/>
        <w:rPr>
          <w:rFonts w:ascii="Arial" w:cs="Arial" w:eastAsia="Arial" w:hAnsi="Arial"/>
          <w:sz w:val="18"/>
          <w:szCs w:val="18"/>
          <w:color w:val="auto"/>
        </w:rPr>
      </w:pPr>
    </w:p>
    <w:p>
      <w:pPr>
        <w:jc w:val="both"/>
        <w:ind w:right="220" w:firstLine="1041"/>
        <w:spacing w:after="0" w:line="254" w:lineRule="auto"/>
        <w:tabs>
          <w:tab w:leader="none" w:pos="128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cash held by or on behalf of the Agent and all cash proceeds received by or on behalf of the Agent in respect of any sale of, collection from, or other realization upon all or any part of the Collateral may, in the discretion of the Agent, be held by the Agent as collateral for, and/or then or at any time thereafter shall be applied in whole or in part by the Agent for the benefit of the Secured Parties against, all or any part of the Secured Obligations, in accordance with Section 6.04 of the Credit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4" w:name="page235"/>
    <w:bookmarkEnd w:id="234"/>
    <w:p>
      <w:pPr>
        <w:ind w:right="120" w:firstLine="1041"/>
        <w:spacing w:after="0" w:line="257" w:lineRule="auto"/>
        <w:tabs>
          <w:tab w:leader="none" w:pos="12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payments received by any Grantor under or in connection with any Assigned Agreement or otherwise in respect of the Collateral shall be received in trust for the benefit of the Agent, shall be segregated from other funds of such Grantor and shall be forthwith paid over to the Agent in the same form as so received (with any necessary indorsement).</w:t>
      </w:r>
    </w:p>
    <w:p>
      <w:pPr>
        <w:spacing w:after="0" w:line="188" w:lineRule="exact"/>
        <w:rPr>
          <w:rFonts w:ascii="Arial" w:cs="Arial" w:eastAsia="Arial" w:hAnsi="Arial"/>
          <w:sz w:val="18"/>
          <w:szCs w:val="18"/>
          <w:color w:val="auto"/>
        </w:rPr>
      </w:pPr>
    </w:p>
    <w:p>
      <w:pPr>
        <w:jc w:val="both"/>
        <w:ind w:right="280" w:firstLine="1041"/>
        <w:spacing w:after="0" w:line="257" w:lineRule="auto"/>
        <w:tabs>
          <w:tab w:leader="none" w:pos="128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Subject to the provisions of Section 9.06 of the Credit Agreement, the Agent may, without notice to any Grantor except as required by law and at any time or from time to time, charge, set off and otherwise apply all or any part of the Secured Obligations against any funds held with respect to the Account Collateral or in any other deposit account.</w:t>
      </w:r>
    </w:p>
    <w:p>
      <w:pPr>
        <w:spacing w:after="0" w:line="188" w:lineRule="exact"/>
        <w:rPr>
          <w:rFonts w:ascii="Arial" w:cs="Arial" w:eastAsia="Arial" w:hAnsi="Arial"/>
          <w:sz w:val="18"/>
          <w:szCs w:val="18"/>
          <w:color w:val="auto"/>
        </w:rPr>
      </w:pPr>
    </w:p>
    <w:p>
      <w:pPr>
        <w:ind w:right="100" w:firstLine="1041"/>
        <w:spacing w:after="0" w:line="295" w:lineRule="auto"/>
        <w:tabs>
          <w:tab w:leader="none" w:pos="127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 the event of any sale or other disposition of any of the Intellectual Property Collateral of any Grantor, the goodwill symbolized by any Trademarks subject to such sale or other disposition shall be included therein, and such Grantor shall supply to the Agent or its designee, documents and things relating to any Intellectual Property Collateral subject to such sale or other disposition, and such Grantor’s customer lists and other records and documents relating to such Intellectual Property Collateral and to the manufacture, distribution, advertising and sale of products and services of such Grantor.</w:t>
      </w:r>
    </w:p>
    <w:p>
      <w:pPr>
        <w:spacing w:after="0" w:line="162" w:lineRule="exact"/>
        <w:rPr>
          <w:rFonts w:ascii="Arial" w:cs="Arial" w:eastAsia="Arial" w:hAnsi="Arial"/>
          <w:sz w:val="16"/>
          <w:szCs w:val="16"/>
          <w:color w:val="auto"/>
        </w:rPr>
      </w:pPr>
    </w:p>
    <w:p>
      <w:pPr>
        <w:ind w:right="100" w:firstLine="1041"/>
        <w:spacing w:after="0" w:line="304" w:lineRule="auto"/>
        <w:tabs>
          <w:tab w:leader="none" w:pos="125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 each case under this Agreement in which the Agent takes any action with respect to the Collateral, including proceeds, the Agent shall provide to the Company such records and information regarding the possession, control, sale and any receipt of amounts with respect to such Collateral as may be reasonably requested by the Company as a basis for the preparation of the company’s financial statements in accordance with GAAP.</w:t>
      </w:r>
    </w:p>
    <w:p>
      <w:pPr>
        <w:spacing w:after="0" w:line="154"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Grant of Intellectual Property License</w:t>
      </w:r>
      <w:r>
        <w:rPr>
          <w:rFonts w:ascii="Arial" w:cs="Arial" w:eastAsia="Arial" w:hAnsi="Arial"/>
          <w:sz w:val="16"/>
          <w:szCs w:val="16"/>
          <w:color w:val="auto"/>
        </w:rPr>
        <w:t>. For the purpose of enabling Agent, upon the occurrence and during the continuance of an Event of Default, to exercise rights and remedies under Section 19 hereof at such time as Agent shall be lawfully entitled to exercise such rights and remedies, and for no other purpose, each Grantor hereby grants to Agent, to the extent assignable, an irrevocable, non-exclusive license (exercisable without payment of royalty or other compensation to such Grantor), subject, in the case of Trademarks, to sufficient rights to quality control and inspection in favor of such Grantor to avoid the risk of invalidation of such Trademarks, to use, assign, license or sublicense any of the Intellectual Property, including any labels, Patents, Trademarks, trade names, URLs, domain names, industrial designs, Copyrights, and advertising matter, now owned or hereafter acquired, developed or created by such Grantor, wherever the same may be located. Such license shall include access to all media in which any of the licensed items may be recorded or stored and to all computer programs used for the compilation or printout hereof, solely to the extent such Grantor has all rights necessary to provide such access.</w:t>
      </w:r>
    </w:p>
    <w:p>
      <w:pPr>
        <w:spacing w:after="0" w:line="17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Indemnity and Expenses</w:t>
      </w:r>
      <w:r>
        <w:rPr>
          <w:rFonts w:ascii="Arial" w:cs="Arial" w:eastAsia="Arial" w:hAnsi="Arial"/>
          <w:sz w:val="17"/>
          <w:szCs w:val="17"/>
          <w:color w:val="auto"/>
        </w:rPr>
        <w:t>. (a) Each Grantor agrees to indemnify, defend and save and hold harmless each Secured Party and each of their Affiliates and their respective officers, directors, employees, trustees, agents and advisors (each, an “</w:t>
      </w:r>
      <w:r>
        <w:rPr>
          <w:rFonts w:ascii="Arial" w:cs="Arial" w:eastAsia="Arial" w:hAnsi="Arial"/>
          <w:sz w:val="17"/>
          <w:szCs w:val="17"/>
          <w:b w:val="1"/>
          <w:bCs w:val="1"/>
          <w:i w:val="1"/>
          <w:iCs w:val="1"/>
          <w:color w:val="auto"/>
        </w:rPr>
        <w:t>Indemnified Party</w:t>
      </w:r>
      <w:r>
        <w:rPr>
          <w:rFonts w:ascii="Arial" w:cs="Arial" w:eastAsia="Arial" w:hAnsi="Arial"/>
          <w:sz w:val="17"/>
          <w:szCs w:val="17"/>
          <w:color w:val="auto"/>
        </w:rPr>
        <w:t>”) from and against, and shall pay on demand, any and all claims, damages, losses, liabilities and expenses (including reasonable fees and expenses of counsel) that may be incurred by or asserted or awarded against any Indemnified Party, in each case arising out of or in connection with or resulting from this Agreement (including enforcement of this Agreement), except to the extent such claim, damage, loss, liability or expense is found in a final, non-appealable judgment by a court of competent jurisdiction to have resulted from such Indemnified Party’s gross negligence or willful misconduct.</w:t>
      </w:r>
    </w:p>
    <w:p>
      <w:pPr>
        <w:spacing w:after="0" w:line="179" w:lineRule="exact"/>
        <w:rPr>
          <w:sz w:val="20"/>
          <w:szCs w:val="20"/>
          <w:color w:val="auto"/>
        </w:rPr>
      </w:pPr>
    </w:p>
    <w:p>
      <w:pPr>
        <w:ind w:right="140" w:firstLine="1041"/>
        <w:spacing w:after="0" w:line="273" w:lineRule="auto"/>
        <w:tabs>
          <w:tab w:leader="none" w:pos="1286" w:val="left"/>
        </w:tabs>
        <w:numPr>
          <w:ilvl w:val="0"/>
          <w:numId w:val="223"/>
        </w:numPr>
        <w:rPr>
          <w:rFonts w:ascii="Arial" w:cs="Arial" w:eastAsia="Arial" w:hAnsi="Arial"/>
          <w:sz w:val="17"/>
          <w:szCs w:val="17"/>
          <w:color w:val="auto"/>
        </w:rPr>
      </w:pPr>
      <w:r>
        <w:rPr>
          <w:rFonts w:ascii="Arial" w:cs="Arial" w:eastAsia="Arial" w:hAnsi="Arial"/>
          <w:sz w:val="17"/>
          <w:szCs w:val="17"/>
          <w:color w:val="auto"/>
        </w:rPr>
        <w:t>Each Grantor will upon demand pay to the Agent the amount of any and all reasonable expenses, including the reasonable fees and expenses of its counsel and of any experts and agents, that the Agent may incur in connection with (i) the custody, preservation, use or operation of, or the sale of, collection from or other realization upon, any of the Collateral of such Grantor, (ii) the exercise or enforcement of any of the rights of the Agent or the other Secured Parties hereunder or (iii) the failure by such Grantor to perform or observe any of the provisions hereof.</w:t>
      </w:r>
    </w:p>
    <w:p>
      <w:pPr>
        <w:spacing w:after="0" w:line="17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Amendments; Waivers; Additional Grantors; Etc</w:t>
      </w:r>
      <w:r>
        <w:rPr>
          <w:rFonts w:ascii="Arial" w:cs="Arial" w:eastAsia="Arial" w:hAnsi="Arial"/>
          <w:sz w:val="16"/>
          <w:szCs w:val="16"/>
          <w:color w:val="auto"/>
        </w:rPr>
        <w:t>. (a) No amendment or waiver of any provision of this Agreement, and no consent to any departure by any Grantor herefrom, shall in any event be effective unless the same shall be in writing and signed by the Agent and, with respect to any amendment, the Company on behalf of the Grantors, and then such waiver or consent shall be effective only in the specific instance and for the specific purpose for which given. No failure on the part of the Agent or any other Secured Party to exercise, and no delay in exercising any right hereunder, shall operate as a waiver thereof; nor shall any single or partial exercise of any such right preclude any other or further exercise thereof or the exercise of any other right.</w:t>
      </w:r>
    </w:p>
    <w:p>
      <w:pPr>
        <w:spacing w:after="0" w:line="165" w:lineRule="exact"/>
        <w:rPr>
          <w:sz w:val="20"/>
          <w:szCs w:val="20"/>
          <w:color w:val="auto"/>
        </w:rPr>
      </w:pPr>
    </w:p>
    <w:p>
      <w:pPr>
        <w:ind w:right="120" w:firstLine="1041"/>
        <w:spacing w:after="0" w:line="291" w:lineRule="auto"/>
        <w:tabs>
          <w:tab w:leader="none" w:pos="128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Upon the execution and delivery by any Person of a security agreement supplement in substantially the form of Exhibit C hereto (each a “</w:t>
      </w:r>
      <w:r>
        <w:rPr>
          <w:rFonts w:ascii="Arial" w:cs="Arial" w:eastAsia="Arial" w:hAnsi="Arial"/>
          <w:sz w:val="16"/>
          <w:szCs w:val="16"/>
          <w:b w:val="1"/>
          <w:bCs w:val="1"/>
          <w:i w:val="1"/>
          <w:iCs w:val="1"/>
          <w:color w:val="auto"/>
        </w:rPr>
        <w:t>Security Agreement Supplement</w:t>
      </w:r>
      <w:r>
        <w:rPr>
          <w:rFonts w:ascii="Arial" w:cs="Arial" w:eastAsia="Arial" w:hAnsi="Arial"/>
          <w:sz w:val="16"/>
          <w:szCs w:val="16"/>
          <w:color w:val="auto"/>
        </w:rPr>
        <w:t>”), such Person shall be referred to as an “</w:t>
      </w:r>
      <w:r>
        <w:rPr>
          <w:rFonts w:ascii="Arial" w:cs="Arial" w:eastAsia="Arial" w:hAnsi="Arial"/>
          <w:sz w:val="16"/>
          <w:szCs w:val="16"/>
          <w:b w:val="1"/>
          <w:bCs w:val="1"/>
          <w:i w:val="1"/>
          <w:iCs w:val="1"/>
          <w:color w:val="auto"/>
        </w:rPr>
        <w:t>Additional Grantor</w:t>
      </w:r>
      <w:r>
        <w:rPr>
          <w:rFonts w:ascii="Arial" w:cs="Arial" w:eastAsia="Arial" w:hAnsi="Arial"/>
          <w:sz w:val="16"/>
          <w:szCs w:val="16"/>
          <w:color w:val="auto"/>
        </w:rPr>
        <w:t>” and shall be and become a Grantor hereunder, and each reference in this Agreement and the other Loan Documents to “Grantor” shall also mean and be a reference to such Additional Grantor, each reference in this Agreement and the other Loan Documents to the “Collateral” shall also mean and be a reference to the Collateral granted by such Additional Grantor and each reference in this Agreement to a Schedule shall also mean and be a reference to the schedules attached to such Security Agreement Supplement.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5" w:name="page236"/>
    <w:bookmarkEnd w:id="235"/>
    <w:p>
      <w:pPr>
        <w:ind w:right="820" w:firstLine="518"/>
        <w:spacing w:after="0" w:line="26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Confidentiality; Notices; References</w:t>
      </w:r>
      <w:r>
        <w:rPr>
          <w:rFonts w:ascii="Arial" w:cs="Arial" w:eastAsia="Arial" w:hAnsi="Arial"/>
          <w:sz w:val="18"/>
          <w:szCs w:val="18"/>
          <w:color w:val="auto"/>
        </w:rPr>
        <w:t>. (a) The confidentiality provisions of Section 9.09 of the Credit Agreement shall apply to all information received by the Agent or any Lender under this Agreement.</w:t>
      </w:r>
    </w:p>
    <w:p>
      <w:pPr>
        <w:spacing w:after="0" w:line="180" w:lineRule="exact"/>
        <w:rPr>
          <w:sz w:val="20"/>
          <w:szCs w:val="20"/>
          <w:color w:val="auto"/>
        </w:rPr>
      </w:pPr>
    </w:p>
    <w:p>
      <w:pPr>
        <w:ind w:left="1300" w:hanging="259"/>
        <w:spacing w:after="0"/>
        <w:tabs>
          <w:tab w:leader="none" w:pos="13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All notices and other communications provided for hereunder shall be delivered as provided in Section 9.02 of the Credit Agreement.</w:t>
      </w:r>
    </w:p>
    <w:p>
      <w:pPr>
        <w:spacing w:after="0" w:line="231" w:lineRule="exact"/>
        <w:rPr>
          <w:rFonts w:ascii="Arial" w:cs="Arial" w:eastAsia="Arial" w:hAnsi="Arial"/>
          <w:sz w:val="17"/>
          <w:szCs w:val="17"/>
          <w:color w:val="auto"/>
        </w:rPr>
      </w:pPr>
    </w:p>
    <w:p>
      <w:pPr>
        <w:ind w:left="1280" w:hanging="239"/>
        <w:spacing w:after="0"/>
        <w:tabs>
          <w:tab w:leader="none" w:pos="12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definitions of certain terms used in this Agreement are set forth in the following locations: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57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Account Collateral</w:t>
            </w:r>
          </w:p>
        </w:tc>
        <w:tc>
          <w:tcPr>
            <w:tcW w:w="56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1(f)</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Additional Grantor</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22(b)</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Agreement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Agreement Collateral</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1(e)</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Assigned Agreements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1(e)</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Borrower</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Collateral</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Copyrights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 (g)(iii)</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Credit Agreement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Recitals (1)</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Equipment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1(a)</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Excluded Property</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Grantor, Grantors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Indemnified Party</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21(a)</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Initial Pledged Equity</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Recitals (4)</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Initial Pledged Debt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Recitals (5)</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Intellectual Property Collateral</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1(g)</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Intellectual Property Security Agreement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11(e)</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Inventory</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1(b)</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Intercreditor Agreement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29</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Investment Property</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1(d)(vi)</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IP Agreements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1(g)(v)</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IP Security Agreement Supplement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11</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Lenders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Recitals (1)</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Patents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1(g)(i)</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Pledged Debt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1(d)(iv)</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Pledged Deposit Accounts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Recitals (5)</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Pledged Equity</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1(d)(iii)</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Receivables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1(c)</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Related Contracts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1(c)</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Secured Obligations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2</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Security Agreement Supplement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22(b)</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Security Collateral</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1(d)</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Subagent</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18(b)</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Trademarks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1(g)(ii)</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Trade Secrets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1(g)(iii)</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UCC</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Recitals (10)</w:t>
            </w:r>
          </w:p>
        </w:tc>
      </w:tr>
      <w:tr>
        <w:trPr>
          <w:trHeight w:val="207"/>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URLs</w:t>
            </w:r>
          </w:p>
        </w:tc>
        <w:tc>
          <w:tcPr>
            <w:tcW w:w="5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1(g)(ii)</w:t>
            </w:r>
          </w:p>
        </w:tc>
      </w:tr>
    </w:tbl>
    <w:p>
      <w:pPr>
        <w:spacing w:after="0" w:line="200" w:lineRule="exact"/>
        <w:rPr>
          <w:sz w:val="20"/>
          <w:szCs w:val="20"/>
          <w:color w:val="auto"/>
        </w:rPr>
      </w:pPr>
    </w:p>
    <w:p>
      <w:pPr>
        <w:spacing w:after="0" w:line="214" w:lineRule="exact"/>
        <w:rPr>
          <w:sz w:val="20"/>
          <w:szCs w:val="20"/>
          <w:color w:val="auto"/>
        </w:rPr>
      </w:pPr>
    </w:p>
    <w:p>
      <w:pPr>
        <w:ind w:right="20" w:firstLine="518"/>
        <w:spacing w:after="0" w:line="26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Continuing Security Interest; Assignments Under the Credit Agreement</w:t>
      </w:r>
      <w:r>
        <w:rPr>
          <w:rFonts w:ascii="Arial" w:cs="Arial" w:eastAsia="Arial" w:hAnsi="Arial"/>
          <w:sz w:val="17"/>
          <w:szCs w:val="17"/>
          <w:color w:val="auto"/>
        </w:rPr>
        <w:t>. This Agreement shall create a continuing security interest in the Collateral and shall (a) except as otherwise provided in Section 9.16 of the Credit Agreement, remain in full force and effect until the latest of (i) the payment in full in cash of the Secured Obligations, (ii) the Termination Date and (iii) the termination, expiration, Cash Collateralization or backstopping of all Letters of Credit, (b) be binding upon each Grantor, its successors and assigns and (c) inure, together with the rights and remedies of the Agent hereunder, to the benefit of the Secured Parties and their respective successors, permitted transferees and permitted assigns. Without limiting the generality of the foregoing clause (c), to the extent permitted in Section 9.08 of the Credit Agreement, any Lender may assign or otherwise transfer all or any portion of its rights and obligations under the Credit Agreement (including all or any portion of its Commitments, the Revolving Loans owing to it and the Note or Notes, if any, held by it) to any permitted transferee, and such permitted transferee shall thereupon become vested with all the benefits in respect thereof granted to such Lender herein or otherwise.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36" w:name="page237"/>
    <w:bookmarkEnd w:id="236"/>
    <w:p>
      <w:pPr>
        <w:ind w:left="520"/>
        <w:spacing w:after="0"/>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Release; Termination</w:t>
      </w:r>
      <w:r>
        <w:rPr>
          <w:rFonts w:ascii="Arial" w:cs="Arial" w:eastAsia="Arial" w:hAnsi="Arial"/>
          <w:sz w:val="16"/>
          <w:szCs w:val="16"/>
          <w:color w:val="auto"/>
        </w:rPr>
        <w:t>. (a) (i) Upon (A) any Disposition of any item of Collateral of any Grantor as permitted by the Loan Documents, and</w:t>
      </w:r>
    </w:p>
    <w:p>
      <w:pPr>
        <w:spacing w:after="0" w:line="40" w:lineRule="exact"/>
        <w:rPr>
          <w:sz w:val="20"/>
          <w:szCs w:val="20"/>
          <w:color w:val="auto"/>
        </w:rPr>
      </w:pPr>
    </w:p>
    <w:p>
      <w:pPr>
        <w:ind w:firstLine="7"/>
        <w:spacing w:after="0" w:line="281" w:lineRule="auto"/>
        <w:tabs>
          <w:tab w:leader="none" w:pos="28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any Subsidiary that is not an Excluded Subsidiary becoming an Excluded Subsidiary in a manner permitted by the Loan Documents, and (ii) upon any Foreign Subsidiary ceasing to be a Material First-Tier Foreign Subsidiary in a manner permitted by the Loan Documents, and, in each case (other than with respect to Dispositions of Collateral not comprising TMM Assets), receipt by the Agent of a written certification by Borrower that such Disposition or other event, as applicable, is permitted under the terms of the Loan Documents (which written certification the Agent shall be entitled to rely conclusively without further inquiry), then in the case of the foregoing clause (i), the security interests granted under this Agreement by such Grantor in such Collateral or in the assets of such Subsidiary, as applicable, shall immediately terminate and automatically be released, and in the case of the foregoing clause (ii), the security interests granted under this Agreement in the equity interests of such Foreign Subsidiary shall immediately terminate and automatically be released, and Agent will, in each case and subject to the Intercreditor Agreement, promptly deliver at the Grantor’s request to such Grantor all certificates representing any Pledged Equity released and all notes and other instruments representing any Pledged Debt, Receivables or other Collateral so released, and Agent will, at such Grantor’s expense, promptly execute and deliver to such Grantor such documents as such Grantor shall reasonably request to evidence the release of such item of Collateral from the assignment and security interest granted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such documents shall be required unless such Grantor shall have delivered to the Agent, at least five Business Days prior to the date such documents are required by Grantor, or such lesser period of time agreed by the Agent, a written request for release describing the item of Collateral and the consideration to be received in the sale, transfer or other disposition and any expenses in connection therewith, together with a form of release for execution by the Agent (which form shall be reasonably acceptable to the Agent) and a certificate of such Grantor to the effect that the transaction will be in compliance with the Loan Documents.</w:t>
      </w:r>
    </w:p>
    <w:p>
      <w:pPr>
        <w:spacing w:after="0" w:line="171" w:lineRule="exact"/>
        <w:rPr>
          <w:rFonts w:ascii="Arial" w:cs="Arial" w:eastAsia="Arial" w:hAnsi="Arial"/>
          <w:sz w:val="16"/>
          <w:szCs w:val="16"/>
          <w:color w:val="auto"/>
        </w:rPr>
      </w:pPr>
    </w:p>
    <w:p>
      <w:pPr>
        <w:ind w:right="420" w:firstLine="1041"/>
        <w:spacing w:after="0" w:line="257" w:lineRule="auto"/>
        <w:tabs>
          <w:tab w:leader="none" w:pos="1286"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pledge and security interest granted hereby will be terminated as set forth in Section 9.16(b) of the Credit Agreement and upon such termination all rights to the Collateral shall revert to the applicable Grantor and the Agent will promptly deliver to the applicable Grantors all certificates representing any Pledged Equity or Pledged Debt, Receivables or other Collateral.</w:t>
      </w:r>
    </w:p>
    <w:p>
      <w:pPr>
        <w:spacing w:after="0" w:line="188"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any number of counterparts, each of which when so executed shall be deemed to be an original and all of which taken together shall constitute one and the same agreement. Delivery of an executed counterpart of a signature page to this Agreement by telecopier or .pdf shall be effective as delivery of an original executed counterpart of this Agreement.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w:t>
      </w:r>
    </w:p>
    <w:p>
      <w:pPr>
        <w:spacing w:after="0" w:line="220" w:lineRule="exact"/>
        <w:rPr>
          <w:sz w:val="20"/>
          <w:szCs w:val="20"/>
          <w:color w:val="auto"/>
        </w:rPr>
      </w:pPr>
    </w:p>
    <w:p>
      <w:pPr>
        <w:ind w:right="80" w:firstLine="518"/>
        <w:spacing w:after="0" w:line="284"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Jurisdiction; Waiver of Jury Trial</w:t>
      </w:r>
      <w:r>
        <w:rPr>
          <w:rFonts w:ascii="Arial" w:cs="Arial" w:eastAsia="Arial" w:hAnsi="Arial"/>
          <w:sz w:val="16"/>
          <w:szCs w:val="16"/>
          <w:color w:val="auto"/>
        </w:rPr>
        <w:t>.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Grantor hereby further irrevocably consents to the service of process in any action or proceeding in such courts by the mailing thereof by any parties hereto by registered or certified mail, postage prepaid, to the Borrower at its address specified pursuant to Section 9.02 of the Credit Agreement.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in the courts of any jurisdiction.</w:t>
      </w:r>
    </w:p>
    <w:p>
      <w:pPr>
        <w:spacing w:after="0" w:line="174" w:lineRule="exact"/>
        <w:rPr>
          <w:sz w:val="20"/>
          <w:szCs w:val="20"/>
          <w:color w:val="auto"/>
        </w:rPr>
      </w:pPr>
    </w:p>
    <w:p>
      <w:pPr>
        <w:ind w:right="100" w:firstLine="1041"/>
        <w:spacing w:after="0" w:line="254" w:lineRule="auto"/>
        <w:tabs>
          <w:tab w:leader="none" w:pos="128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190" w:lineRule="exact"/>
        <w:rPr>
          <w:rFonts w:ascii="Arial" w:cs="Arial" w:eastAsia="Arial" w:hAnsi="Arial"/>
          <w:sz w:val="18"/>
          <w:szCs w:val="18"/>
          <w:color w:val="auto"/>
        </w:rPr>
      </w:pPr>
    </w:p>
    <w:p>
      <w:pPr>
        <w:ind w:right="380" w:firstLine="1041"/>
        <w:spacing w:after="0" w:line="257" w:lineRule="auto"/>
        <w:tabs>
          <w:tab w:leader="none" w:pos="127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of the parties hereto hereby irrevocably waives all right to trial by jury in any action, proceeding or counterclaim (whether based on contract, tort or otherwise) arising out of or relating to this Agreement or the actions of the Agent or any Secured Party in the negotiation, administration, performance or enforcement thereof.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7" w:name="page238"/>
    <w:bookmarkEnd w:id="237"/>
    <w:p>
      <w:pPr>
        <w:ind w:firstLine="518"/>
        <w:spacing w:after="0" w:line="266"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xml:space="preserve">. Notwithstanding anything herein to the contrary, the Lien granted to the Agent, for the benefit of the Secured Parties, pursuant to this Security Agreement and the exercise of any right or remedy by the Agent and the other Secured Parties hereunder are subject to the provisions of the Intercreditor Agreement, dated as of the Initial Closing Date, among the Agent, as ABL Agent, JPMorgan Chase Bank, N.A, as Exit First Lien Term Loan Agent, Barclays Bank PLC, as Exit Second Lien Term Loan Agent, the Company and the Guarantors (the </w:t>
      </w:r>
      <w:r>
        <w:rPr>
          <w:rFonts w:ascii="Arial" w:cs="Arial" w:eastAsia="Arial" w:hAnsi="Arial"/>
          <w:sz w:val="17"/>
          <w:szCs w:val="17"/>
          <w:b w:val="1"/>
          <w:bCs w:val="1"/>
          <w:i w:val="1"/>
          <w:iCs w:val="1"/>
          <w:color w:val="auto"/>
        </w:rPr>
        <w:t>“Intercreditor Agreement”</w:t>
      </w:r>
      <w:r>
        <w:rPr>
          <w:rFonts w:ascii="Arial" w:cs="Arial" w:eastAsia="Arial" w:hAnsi="Arial"/>
          <w:sz w:val="17"/>
          <w:szCs w:val="17"/>
          <w:color w:val="auto"/>
        </w:rPr>
        <w:t>). In the event of any conflict or inconsistency between the provisions of the Intercreditor Agreement and this Security Agreement, the provisions of the Intercreditor Agreement shall control. Notwithstanding anything herein to the contrary, any provision hereof that requires any Grantor to (a) deliver any Collateral to the Agent or (b) cause the Agent to have Control over such Collateral, may be satisfied prior to the Maturity Date by (i) the delivery of such Collateral by such Grantor to the Agent for the benefit of itself and the Lenders and (ii) providing that the Agent be provided with Control with respect to such Collateral of such Grantor for the benefit of the itself and the other Credit Parties.</w:t>
      </w:r>
    </w:p>
    <w:p>
      <w:pPr>
        <w:spacing w:after="0" w:line="18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Section 30. </w:t>
      </w:r>
      <w:r>
        <w:rPr>
          <w:rFonts w:ascii="Arial" w:cs="Arial" w:eastAsia="Arial" w:hAnsi="Arial"/>
          <w:sz w:val="18"/>
          <w:szCs w:val="18"/>
          <w:u w:val="single" w:color="auto"/>
          <w:color w:val="auto"/>
        </w:rPr>
        <w:t>Continuation of Security Interests; No Novation</w:t>
      </w:r>
      <w:r>
        <w:rPr>
          <w:rFonts w:ascii="Arial" w:cs="Arial" w:eastAsia="Arial" w:hAnsi="Arial"/>
          <w:sz w:val="18"/>
          <w:szCs w:val="18"/>
          <w:color w:val="auto"/>
        </w:rPr>
        <w:t>. All security interests, Liens and obligations created by the Existing Security Agreement are continued in full force and effect under this Agreement. This Agreement amends and restates the Existing Security Agreement in its entirety and shall not be deemed to constitute a novation of the Existing Security Agreement.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238" w:name="page239"/>
    <w:bookmarkEnd w:id="238"/>
    <w:p>
      <w:pPr>
        <w:ind w:right="140" w:firstLine="518"/>
        <w:spacing w:after="0" w:line="267" w:lineRule="auto"/>
        <w:rPr>
          <w:sz w:val="20"/>
          <w:szCs w:val="20"/>
          <w:color w:val="auto"/>
        </w:rPr>
      </w:pPr>
      <w:r>
        <w:rPr>
          <w:rFonts w:ascii="Arial" w:cs="Arial" w:eastAsia="Arial" w:hAnsi="Arial"/>
          <w:sz w:val="18"/>
          <w:szCs w:val="18"/>
          <w:color w:val="auto"/>
        </w:rPr>
        <w:t>IN WITNESS WHEREOF, each Grantor has caused this Agreement to be duly executed and delivered by its officer thereunto duly authorized as of the date first above written.</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EASTMAN KODAK COMPANY</w:t>
      </w:r>
    </w:p>
    <w:p>
      <w:pPr>
        <w:spacing w:after="0" w:line="246"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Love</w:t>
            </w:r>
          </w:p>
        </w:tc>
      </w:tr>
      <w:tr>
        <w:trPr>
          <w:trHeight w:val="196"/>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spacing w:after="0" w:line="195" w:lineRule="exact"/>
              <w:rPr>
                <w:sz w:val="20"/>
                <w:szCs w:val="20"/>
                <w:color w:val="auto"/>
              </w:rPr>
            </w:pPr>
            <w:r>
              <w:rPr>
                <w:rFonts w:ascii="Arial" w:cs="Arial" w:eastAsia="Arial" w:hAnsi="Arial"/>
                <w:sz w:val="18"/>
                <w:szCs w:val="18"/>
                <w:color w:val="auto"/>
              </w:rPr>
              <w:t>William G. Love</w:t>
            </w:r>
          </w:p>
        </w:tc>
      </w:t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Eastman Kodak Company</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345 State Street</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Rochester, NY 14650</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FAR EAST DEVELOPMENT LTD.</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FPC INC.</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KODAK (NEAR EAST), INC.</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KODAK AMERICAS, LTD.</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KODAK REALTY, INC.</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LASER-PACIFIC MEDIA CORPORATION</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QUALEX INC.</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KODAK PHILIPPINES, LTD.</w:t>
      </w:r>
    </w:p>
    <w:p>
      <w:pPr>
        <w:spacing w:after="0" w:line="246"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Love</w:t>
            </w:r>
          </w:p>
        </w:tc>
      </w:tr>
      <w:tr>
        <w:trPr>
          <w:trHeight w:val="196"/>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20" w:type="dxa"/>
            <w:vAlign w:val="bottom"/>
          </w:tcPr>
          <w:p>
            <w:pPr>
              <w:spacing w:after="0" w:line="195" w:lineRule="exact"/>
              <w:rPr>
                <w:sz w:val="20"/>
                <w:szCs w:val="20"/>
                <w:color w:val="auto"/>
              </w:rPr>
            </w:pPr>
            <w:r>
              <w:rPr>
                <w:rFonts w:ascii="Arial" w:cs="Arial" w:eastAsia="Arial" w:hAnsi="Arial"/>
                <w:sz w:val="18"/>
                <w:szCs w:val="18"/>
                <w:color w:val="auto"/>
              </w:rPr>
              <w:t>William G. Love</w:t>
            </w:r>
          </w:p>
        </w:tc>
      </w:t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Eastman Kodak Company</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345 State Street</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Rochester, NY 14650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ABL A&amp;R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9" w:name="page240"/>
    <w:bookmarkEnd w:id="239"/>
    <w:p>
      <w:pPr>
        <w:ind w:left="5660"/>
        <w:spacing w:after="0"/>
        <w:rPr>
          <w:sz w:val="20"/>
          <w:szCs w:val="20"/>
          <w:color w:val="auto"/>
        </w:rPr>
      </w:pPr>
      <w:r>
        <w:rPr>
          <w:rFonts w:ascii="Arial" w:cs="Arial" w:eastAsia="Arial" w:hAnsi="Arial"/>
          <w:sz w:val="18"/>
          <w:szCs w:val="18"/>
          <w:color w:val="auto"/>
        </w:rPr>
        <w:t>NPEC INC.</w:t>
      </w:r>
    </w:p>
    <w:p>
      <w:pPr>
        <w:spacing w:after="0" w:line="246" w:lineRule="exact"/>
        <w:rPr>
          <w:sz w:val="20"/>
          <w:szCs w:val="20"/>
          <w:color w:val="auto"/>
        </w:rPr>
      </w:pPr>
    </w:p>
    <w:tbl>
      <w:tblPr>
        <w:tblLayout w:type="fixed"/>
        <w:tblInd w:w="5660" w:type="dxa"/>
        <w:tblCellMar>
          <w:top w:w="0" w:type="dxa"/>
          <w:left w:w="0" w:type="dxa"/>
          <w:bottom w:w="0" w:type="dxa"/>
          <w:right w:w="0" w:type="dxa"/>
        </w:tblCellMar>
      </w:tblP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Love</w:t>
            </w:r>
          </w:p>
        </w:tc>
      </w:tr>
      <w:tr>
        <w:trPr>
          <w:trHeight w:val="196"/>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spacing w:after="0" w:line="195" w:lineRule="exact"/>
              <w:rPr>
                <w:sz w:val="20"/>
                <w:szCs w:val="20"/>
                <w:color w:val="auto"/>
              </w:rPr>
            </w:pPr>
            <w:r>
              <w:rPr>
                <w:rFonts w:ascii="Arial" w:cs="Arial" w:eastAsia="Arial" w:hAnsi="Arial"/>
                <w:sz w:val="18"/>
                <w:szCs w:val="18"/>
                <w:color w:val="auto"/>
              </w:rPr>
              <w:t>William G. Love</w:t>
            </w:r>
          </w:p>
        </w:tc>
      </w:t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Assistant Treasurer</w:t>
            </w:r>
          </w:p>
        </w:tc>
      </w:tr>
    </w:tbl>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Eastman Kodak Company</w:t>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345 State Street</w:t>
      </w:r>
    </w:p>
    <w:p>
      <w:pPr>
        <w:spacing w:after="0" w:line="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Rochester, NY 14650</w:t>
      </w:r>
    </w:p>
    <w:p>
      <w:pPr>
        <w:spacing w:after="0" w:line="209"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[Signature Page to ABL A&amp;R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40" w:name="page241"/>
    <w:bookmarkEnd w:id="240"/>
    <w:p>
      <w:pPr>
        <w:jc w:val="right"/>
        <w:ind w:right="1760"/>
        <w:spacing w:after="0"/>
        <w:rPr>
          <w:sz w:val="20"/>
          <w:szCs w:val="20"/>
          <w:color w:val="auto"/>
        </w:rPr>
      </w:pPr>
      <w:r>
        <w:rPr>
          <w:rFonts w:ascii="Arial" w:cs="Arial" w:eastAsia="Arial" w:hAnsi="Arial"/>
          <w:sz w:val="18"/>
          <w:szCs w:val="18"/>
          <w:color w:val="auto"/>
        </w:rPr>
        <w:t>BANK OF AMERICA, N.A., as Agent</w:t>
      </w:r>
    </w:p>
    <w:p>
      <w:pPr>
        <w:spacing w:after="0" w:line="246" w:lineRule="exact"/>
        <w:rPr>
          <w:sz w:val="20"/>
          <w:szCs w:val="20"/>
          <w:color w:val="auto"/>
        </w:rPr>
      </w:pPr>
    </w:p>
    <w:tbl>
      <w:tblPr>
        <w:tblLayout w:type="fixed"/>
        <w:tblInd w:w="5660" w:type="dxa"/>
        <w:tblCellMar>
          <w:top w:w="0" w:type="dxa"/>
          <w:left w:w="0" w:type="dxa"/>
          <w:bottom w:w="0" w:type="dxa"/>
          <w:right w:w="0" w:type="dxa"/>
        </w:tblCellMar>
      </w:tblP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T. O’Keefe</w:t>
            </w:r>
          </w:p>
        </w:tc>
      </w:tr>
      <w:tr>
        <w:trPr>
          <w:trHeight w:val="196"/>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spacing w:after="0" w:line="195" w:lineRule="exact"/>
              <w:rPr>
                <w:sz w:val="20"/>
                <w:szCs w:val="20"/>
                <w:color w:val="auto"/>
              </w:rPr>
            </w:pPr>
            <w:r>
              <w:rPr>
                <w:rFonts w:ascii="Arial" w:cs="Arial" w:eastAsia="Arial" w:hAnsi="Arial"/>
                <w:sz w:val="18"/>
                <w:szCs w:val="18"/>
                <w:color w:val="auto"/>
              </w:rPr>
              <w:t>Matthew T. O’Keefe</w:t>
            </w:r>
          </w:p>
        </w:tc>
      </w:t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 for Notices:</w:t>
      </w:r>
    </w:p>
    <w:p>
      <w:pPr>
        <w:spacing w:after="0" w:line="2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w:t>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225 Franklin Street</w:t>
      </w:r>
    </w:p>
    <w:p>
      <w:pPr>
        <w:spacing w:after="0" w:line="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Boston, MA 02110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[Signature Page to ABL A&amp;R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340" w:right="239" w:bottom="1440" w:gutter="0" w:footer="0" w:header="0"/>
        </w:sectPr>
      </w:pPr>
    </w:p>
    <w:bookmarkStart w:id="241" w:name="page242"/>
    <w:bookmarkEnd w:id="241"/>
    <w:p>
      <w:pPr>
        <w:jc w:val="center"/>
        <w:ind w:right="20"/>
        <w:spacing w:after="0"/>
        <w:rPr>
          <w:sz w:val="20"/>
          <w:szCs w:val="20"/>
          <w:color w:val="auto"/>
        </w:rPr>
      </w:pPr>
      <w:r>
        <w:rPr>
          <w:rFonts w:ascii="Arial" w:cs="Arial" w:eastAsia="Arial" w:hAnsi="Arial"/>
          <w:sz w:val="18"/>
          <w:szCs w:val="18"/>
          <w:color w:val="auto"/>
        </w:rPr>
        <w:t>SCHEDULE I</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INVESTMENT PROPERTY</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PART I</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INITIAL PLEDGED EQUITY</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74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color w:val="auto"/>
                <w:w w:val="85"/>
              </w:rPr>
              <w:t>Issuer</w:t>
            </w:r>
          </w:p>
        </w:tc>
        <w:tc>
          <w:tcPr>
            <w:tcW w:w="17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2"/>
              </w:rPr>
              <w:t>Jurisdiction of</w:t>
            </w:r>
          </w:p>
        </w:tc>
        <w:tc>
          <w:tcPr>
            <w:tcW w:w="172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color w:val="auto"/>
                <w:w w:val="94"/>
              </w:rPr>
              <w:t>Holder</w:t>
            </w:r>
          </w:p>
        </w:tc>
        <w:tc>
          <w:tcPr>
            <w:tcW w:w="11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86"/>
              </w:rPr>
              <w:t># of Shares</w:t>
            </w:r>
          </w:p>
        </w:tc>
        <w:tc>
          <w:tcPr>
            <w:tcW w:w="11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86"/>
              </w:rPr>
              <w:t>Total Shares</w:t>
            </w:r>
          </w:p>
        </w:tc>
        <w:tc>
          <w:tcPr>
            <w:tcW w:w="11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0"/>
              </w:rPr>
              <w:t>Ownership</w:t>
            </w:r>
          </w:p>
        </w:tc>
        <w:tc>
          <w:tcPr>
            <w:tcW w:w="11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85"/>
              </w:rPr>
              <w:t>Percentage of</w:t>
            </w:r>
          </w:p>
        </w:tc>
        <w:tc>
          <w:tcPr>
            <w:tcW w:w="17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1"/>
              </w:rPr>
              <w:t>Certificate Number(s)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vMerge w:val="continue"/>
            <w:shd w:val="clear" w:color="auto" w:fill="BFBFBF"/>
          </w:tcPr>
          <w:p>
            <w:pPr>
              <w:spacing w:after="0"/>
              <w:rPr>
                <w:sz w:val="12"/>
                <w:szCs w:val="12"/>
                <w:color w:val="auto"/>
              </w:rPr>
            </w:pPr>
          </w:p>
        </w:tc>
        <w:tc>
          <w:tcPr>
            <w:tcW w:w="17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color w:val="auto"/>
                <w:w w:val="89"/>
              </w:rPr>
              <w:t>Organization of Issuer</w:t>
            </w:r>
          </w:p>
        </w:tc>
        <w:tc>
          <w:tcPr>
            <w:tcW w:w="1720" w:type="dxa"/>
            <w:vAlign w:val="bottom"/>
            <w:tcBorders>
              <w:right w:val="single" w:sz="8" w:color="auto"/>
            </w:tcBorders>
            <w:vMerge w:val="continue"/>
            <w:shd w:val="clear" w:color="auto" w:fill="BFBFBF"/>
          </w:tcPr>
          <w:p>
            <w:pPr>
              <w:spacing w:after="0"/>
              <w:rPr>
                <w:sz w:val="12"/>
                <w:szCs w:val="12"/>
                <w:color w:val="auto"/>
              </w:rPr>
            </w:pPr>
          </w:p>
        </w:tc>
        <w:tc>
          <w:tcPr>
            <w:tcW w:w="11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color w:val="auto"/>
                <w:w w:val="91"/>
              </w:rPr>
              <w:t>Owned</w:t>
            </w:r>
          </w:p>
        </w:tc>
        <w:tc>
          <w:tcPr>
            <w:tcW w:w="114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color w:val="auto"/>
                <w:w w:val="88"/>
              </w:rPr>
              <w:t>Outstanding</w:t>
            </w:r>
          </w:p>
        </w:tc>
        <w:tc>
          <w:tcPr>
            <w:tcW w:w="11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color w:val="auto"/>
                <w:w w:val="84"/>
              </w:rPr>
              <w:t>Percentage</w:t>
            </w:r>
          </w:p>
        </w:tc>
        <w:tc>
          <w:tcPr>
            <w:tcW w:w="1140" w:type="dxa"/>
            <w:vAlign w:val="bottom"/>
            <w:tcBorders>
              <w:right w:val="single" w:sz="8" w:color="auto"/>
            </w:tcBorders>
            <w:shd w:val="clear" w:color="auto" w:fill="BFBFBF"/>
          </w:tcPr>
          <w:p>
            <w:pPr>
              <w:jc w:val="center"/>
              <w:spacing w:after="0" w:line="148" w:lineRule="exact"/>
              <w:rPr>
                <w:sz w:val="20"/>
                <w:szCs w:val="20"/>
                <w:color w:val="auto"/>
              </w:rPr>
            </w:pPr>
            <w:r>
              <w:rPr>
                <w:rFonts w:ascii="Arial" w:cs="Arial" w:eastAsia="Arial" w:hAnsi="Arial"/>
                <w:sz w:val="17"/>
                <w:szCs w:val="17"/>
                <w:color w:val="auto"/>
                <w:w w:val="95"/>
              </w:rPr>
              <w:t>Outstanding</w:t>
            </w:r>
          </w:p>
        </w:tc>
        <w:tc>
          <w:tcPr>
            <w:tcW w:w="17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color w:val="auto"/>
                <w:w w:val="88"/>
              </w:rPr>
              <w:t>and Number of Shares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shd w:val="clear" w:color="auto" w:fill="BFBFBF"/>
          </w:tcPr>
          <w:p>
            <w:pPr>
              <w:spacing w:after="0"/>
              <w:rPr>
                <w:sz w:val="19"/>
                <w:szCs w:val="19"/>
                <w:color w:val="auto"/>
              </w:rPr>
            </w:pPr>
          </w:p>
        </w:tc>
        <w:tc>
          <w:tcPr>
            <w:tcW w:w="1720" w:type="dxa"/>
            <w:vAlign w:val="bottom"/>
            <w:tcBorders>
              <w:bottom w:val="single" w:sz="8" w:color="auto"/>
              <w:right w:val="single" w:sz="8" w:color="auto"/>
            </w:tcBorders>
            <w:vMerge w:val="continue"/>
            <w:shd w:val="clear" w:color="auto" w:fill="BFBFBF"/>
          </w:tcPr>
          <w:p>
            <w:pPr>
              <w:spacing w:after="0"/>
              <w:rPr>
                <w:sz w:val="19"/>
                <w:szCs w:val="19"/>
                <w:color w:val="auto"/>
              </w:rPr>
            </w:pPr>
          </w:p>
        </w:tc>
        <w:tc>
          <w:tcPr>
            <w:tcW w:w="1720" w:type="dxa"/>
            <w:vAlign w:val="bottom"/>
            <w:tcBorders>
              <w:bottom w:val="single" w:sz="8" w:color="auto"/>
              <w:right w:val="single" w:sz="8" w:color="auto"/>
            </w:tcBorders>
            <w:shd w:val="clear" w:color="auto" w:fill="BFBFB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BFBFB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BFBFBF"/>
          </w:tcPr>
          <w:p>
            <w:pPr>
              <w:spacing w:after="0"/>
              <w:rPr>
                <w:sz w:val="19"/>
                <w:szCs w:val="19"/>
                <w:color w:val="auto"/>
              </w:rPr>
            </w:pPr>
          </w:p>
        </w:tc>
        <w:tc>
          <w:tcPr>
            <w:tcW w:w="1120" w:type="dxa"/>
            <w:vAlign w:val="bottom"/>
            <w:tcBorders>
              <w:bottom w:val="single" w:sz="8" w:color="auto"/>
              <w:right w:val="single" w:sz="8" w:color="auto"/>
            </w:tcBorders>
            <w:vMerge w:val="continue"/>
            <w:shd w:val="clear" w:color="auto" w:fill="BFBFBF"/>
          </w:tcPr>
          <w:p>
            <w:pPr>
              <w:spacing w:after="0"/>
              <w:rPr>
                <w:sz w:val="19"/>
                <w:szCs w:val="19"/>
                <w:color w:val="auto"/>
              </w:rPr>
            </w:pPr>
          </w:p>
        </w:tc>
        <w:tc>
          <w:tcPr>
            <w:tcW w:w="11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87"/>
              </w:rPr>
              <w:t>Stock Pledged</w:t>
            </w:r>
          </w:p>
        </w:tc>
        <w:tc>
          <w:tcPr>
            <w:tcW w:w="1700" w:type="dxa"/>
            <w:vAlign w:val="bottom"/>
            <w:tcBorders>
              <w:bottom w:val="single" w:sz="8" w:color="auto"/>
              <w:right w:val="single" w:sz="8" w:color="auto"/>
            </w:tcBorders>
            <w:vMerge w:val="continue"/>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The Netherlands</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Uncertificated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Holdings B.V.</w:t>
            </w: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International Capital</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Delaware</w:t>
            </w:r>
          </w:p>
        </w:tc>
        <w:tc>
          <w:tcPr>
            <w:tcW w:w="17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8,200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8,200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No. 5- 5,330 shares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Company, Inc.</w:t>
            </w:r>
          </w:p>
        </w:tc>
        <w:tc>
          <w:tcPr>
            <w:tcW w:w="17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Far East Development</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Delaware</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No. 1- 10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Ltd.</w:t>
            </w: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FPC Inc.</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California</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Laser-Pacific Media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No. 2- 80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Kodak (Near East), Inc.</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New York</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5,000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5,000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No. 4- 5,000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Kodak Americas, Ltd.</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New York</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34,500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34,500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No. 6- 34,500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Kodak Holding GmbH</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Germany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Uncertificated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No. 93- 19,500,000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Kodak Limited</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United Kingdom</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130,000,000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130,000,000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No. 89- 65,000,000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No. 3- 1,000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Kodak Philippines, Ltd.</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New York</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6,000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6,000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 4- 1,500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No. 5- 2,000 shares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No. 6- 1,500 shares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7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Graphics Company</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Barbados</w:t>
            </w:r>
          </w:p>
        </w:tc>
        <w:tc>
          <w:tcPr>
            <w:tcW w:w="17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4</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No. 6- 2.6 shares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Ltd.</w:t>
            </w:r>
          </w:p>
        </w:tc>
        <w:tc>
          <w:tcPr>
            <w:tcW w:w="17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Kodak Realty, Inc.</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New York</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 3- 100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Laser-Pacific Media</w:t>
            </w: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No. 1- 1,000 shares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Delaware</w:t>
            </w:r>
          </w:p>
        </w:tc>
        <w:tc>
          <w:tcPr>
            <w:tcW w:w="17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1,110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1,110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No. 2- 100 shares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Corporation</w:t>
            </w:r>
          </w:p>
        </w:tc>
        <w:tc>
          <w:tcPr>
            <w:tcW w:w="17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No. 3- 10 shares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NPEC Inc.</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California</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No. 2- 100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Qualex Inc.</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Delaware</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No. C-1- 1,000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11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3"/>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color w:val="auto"/>
        </w:rPr>
        <w:t>SCHEDULE I</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INVESTMENT PROPERTY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INITIAL PLEDGED DEBT</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0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Grantor</w:t>
            </w:r>
          </w:p>
        </w:tc>
        <w:tc>
          <w:tcPr>
            <w:tcW w:w="40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Debt Issuer</w:t>
            </w:r>
          </w:p>
        </w:tc>
        <w:tc>
          <w:tcPr>
            <w:tcW w:w="1700" w:type="dxa"/>
            <w:vAlign w:val="bottom"/>
            <w:tcBorders>
              <w:top w:val="single" w:sz="8" w:color="auto"/>
              <w:bottom w:val="single" w:sz="8" w:color="auto"/>
              <w:right w:val="single" w:sz="8" w:color="auto"/>
            </w:tcBorders>
            <w:shd w:val="clear" w:color="auto" w:fill="D9D9D9"/>
          </w:tcPr>
          <w:p>
            <w:pPr>
              <w:jc w:val="right"/>
              <w:ind w:right="271"/>
              <w:spacing w:after="0"/>
              <w:rPr>
                <w:sz w:val="20"/>
                <w:szCs w:val="20"/>
                <w:color w:val="auto"/>
              </w:rPr>
            </w:pPr>
            <w:r>
              <w:rPr>
                <w:rFonts w:ascii="Arial" w:cs="Arial" w:eastAsia="Arial" w:hAnsi="Arial"/>
                <w:sz w:val="18"/>
                <w:szCs w:val="18"/>
                <w:color w:val="auto"/>
                <w:w w:val="91"/>
              </w:rPr>
              <w:t>Principal Amount</w:t>
            </w:r>
            <w:r>
              <w:rPr>
                <w:rFonts w:ascii="Arial" w:cs="Arial" w:eastAsia="Arial" w:hAnsi="Arial"/>
                <w:sz w:val="15"/>
                <w:szCs w:val="15"/>
                <w:color w:val="auto"/>
                <w:w w:val="91"/>
              </w:rPr>
              <w:t>1</w:t>
            </w:r>
          </w:p>
        </w:tc>
        <w:tc>
          <w:tcPr>
            <w:tcW w:w="17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Currency</w:t>
            </w:r>
          </w:p>
        </w:tc>
      </w:tr>
      <w:tr>
        <w:trPr>
          <w:trHeight w:val="207"/>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Company</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Kodak Canada ULC</w:t>
            </w:r>
          </w:p>
        </w:tc>
        <w:tc>
          <w:tcPr>
            <w:tcW w:w="1700" w:type="dxa"/>
            <w:vAlign w:val="bottom"/>
            <w:tcBorders>
              <w:bottom w:val="single" w:sz="8" w:color="auto"/>
              <w:right w:val="single" w:sz="8" w:color="auto"/>
            </w:tcBorders>
          </w:tcPr>
          <w:p>
            <w:pPr>
              <w:jc w:val="right"/>
              <w:ind w:right="331"/>
              <w:spacing w:after="0"/>
              <w:rPr>
                <w:sz w:val="20"/>
                <w:szCs w:val="20"/>
                <w:color w:val="auto"/>
              </w:rPr>
            </w:pPr>
            <w:r>
              <w:rPr>
                <w:rFonts w:ascii="Arial" w:cs="Arial" w:eastAsia="Arial" w:hAnsi="Arial"/>
                <w:sz w:val="18"/>
                <w:szCs w:val="18"/>
                <w:color w:val="auto"/>
              </w:rPr>
              <w:t>$85,853,909</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r>
      <w:tr>
        <w:trPr>
          <w:trHeight w:val="207"/>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Company</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Kodak International Finance Ltd.</w:t>
            </w:r>
          </w:p>
        </w:tc>
        <w:tc>
          <w:tcPr>
            <w:tcW w:w="1700" w:type="dxa"/>
            <w:vAlign w:val="bottom"/>
            <w:tcBorders>
              <w:bottom w:val="single" w:sz="8" w:color="auto"/>
              <w:right w:val="single" w:sz="8" w:color="auto"/>
            </w:tcBorders>
          </w:tcPr>
          <w:p>
            <w:pPr>
              <w:jc w:val="right"/>
              <w:ind w:right="331"/>
              <w:spacing w:after="0"/>
              <w:rPr>
                <w:sz w:val="20"/>
                <w:szCs w:val="20"/>
                <w:color w:val="auto"/>
              </w:rPr>
            </w:pPr>
            <w:r>
              <w:rPr>
                <w:rFonts w:ascii="Arial" w:cs="Arial" w:eastAsia="Arial" w:hAnsi="Arial"/>
                <w:sz w:val="18"/>
                <w:szCs w:val="18"/>
                <w:color w:val="auto"/>
              </w:rPr>
              <w:t>$30,000,000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USD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6104890</wp:posOffset>
            </wp:positionV>
            <wp:extent cx="14478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left="5660" w:right="5660" w:hanging="5653"/>
        <w:spacing w:after="0" w:line="609" w:lineRule="auto"/>
        <w:tabs>
          <w:tab w:leader="none" w:pos="110" w:val="left"/>
        </w:tabs>
        <w:numPr>
          <w:ilvl w:val="0"/>
          <w:numId w:val="228"/>
        </w:numPr>
        <w:rPr>
          <w:rFonts w:ascii="Arial" w:cs="Arial" w:eastAsia="Arial" w:hAnsi="Arial"/>
          <w:sz w:val="13"/>
          <w:szCs w:val="13"/>
          <w:color w:val="auto"/>
        </w:rPr>
      </w:pPr>
      <w:r>
        <w:rPr>
          <w:rFonts w:ascii="Arial" w:cs="Arial" w:eastAsia="Arial" w:hAnsi="Arial"/>
          <w:sz w:val="16"/>
          <w:szCs w:val="16"/>
          <w:color w:val="auto"/>
        </w:rPr>
        <w:t>Amount reflects outstanding principal and accrued interest as of April 30, 2016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-123190</wp:posOffset>
            </wp:positionV>
            <wp:extent cx="729043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3" w:name="page244"/>
    <w:bookmarkEnd w:id="243"/>
    <w:p>
      <w:pPr>
        <w:jc w:val="center"/>
        <w:ind w:right="20"/>
        <w:spacing w:after="0"/>
        <w:rPr>
          <w:sz w:val="20"/>
          <w:szCs w:val="20"/>
          <w:color w:val="auto"/>
        </w:rPr>
      </w:pPr>
      <w:r>
        <w:rPr>
          <w:rFonts w:ascii="Arial" w:cs="Arial" w:eastAsia="Arial" w:hAnsi="Arial"/>
          <w:sz w:val="18"/>
          <w:szCs w:val="18"/>
          <w:color w:val="auto"/>
        </w:rPr>
        <w:t>SCHEDULE I</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INVESTMENT PROPERTY</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PART III</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FOREIGN SUBSIDIARIES OTHER THAN MATERIAL FIRST-TIER FOREIGN SUBSIDIARIES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Subsidiary</w:t>
            </w:r>
          </w:p>
        </w:tc>
        <w:tc>
          <w:tcPr>
            <w:tcW w:w="1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Jurisdiction</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Class of Equity</w:t>
            </w:r>
          </w:p>
        </w:tc>
        <w:tc>
          <w:tcPr>
            <w:tcW w:w="1560" w:type="dxa"/>
            <w:vAlign w:val="bottom"/>
            <w:tcBorders>
              <w:top w:val="single" w:sz="8" w:color="auto"/>
            </w:tcBorders>
            <w:shd w:val="clear" w:color="auto" w:fill="D9D9D9"/>
          </w:tcPr>
          <w:p>
            <w:pPr>
              <w:jc w:val="center"/>
              <w:ind w:left="31"/>
              <w:spacing w:after="0"/>
              <w:rPr>
                <w:sz w:val="20"/>
                <w:szCs w:val="20"/>
                <w:color w:val="auto"/>
              </w:rPr>
            </w:pPr>
            <w:r>
              <w:rPr>
                <w:rFonts w:ascii="Arial" w:cs="Arial" w:eastAsia="Arial" w:hAnsi="Arial"/>
                <w:sz w:val="18"/>
                <w:szCs w:val="18"/>
                <w:color w:val="auto"/>
                <w:w w:val="87"/>
              </w:rPr>
              <w:t>Number of Shares</w:t>
            </w:r>
          </w:p>
        </w:tc>
        <w:tc>
          <w:tcPr>
            <w:tcW w:w="140" w:type="dxa"/>
            <w:vAlign w:val="bottom"/>
            <w:tcBorders>
              <w:top w:val="single" w:sz="8" w:color="auto"/>
              <w:right w:val="single" w:sz="8" w:color="auto"/>
            </w:tcBorders>
            <w:shd w:val="clear" w:color="auto" w:fill="D9D9D9"/>
          </w:tcPr>
          <w:p>
            <w:pPr>
              <w:spacing w:after="0"/>
              <w:rPr>
                <w:sz w:val="18"/>
                <w:szCs w:val="18"/>
                <w:color w:val="auto"/>
              </w:rPr>
            </w:pP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Number of</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Percentage of</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Parent Entity</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Number of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of</w:t>
            </w:r>
          </w:p>
        </w:tc>
        <w:tc>
          <w:tcPr>
            <w:tcW w:w="1140" w:type="dxa"/>
            <w:vAlign w:val="bottom"/>
            <w:tcBorders>
              <w:right w:val="single" w:sz="8" w:color="auto"/>
            </w:tcBorders>
            <w:shd w:val="clear" w:color="auto" w:fill="D9D9D9"/>
          </w:tcPr>
          <w:p>
            <w:pPr>
              <w:spacing w:after="0"/>
              <w:rPr>
                <w:sz w:val="18"/>
                <w:szCs w:val="18"/>
                <w:color w:val="auto"/>
              </w:rPr>
            </w:pPr>
          </w:p>
        </w:tc>
        <w:tc>
          <w:tcPr>
            <w:tcW w:w="1560" w:type="dxa"/>
            <w:vAlign w:val="bottom"/>
            <w:shd w:val="clear" w:color="auto" w:fill="D9D9D9"/>
          </w:tcPr>
          <w:p>
            <w:pPr>
              <w:jc w:val="center"/>
              <w:ind w:left="31"/>
              <w:spacing w:after="0"/>
              <w:rPr>
                <w:sz w:val="20"/>
                <w:szCs w:val="20"/>
                <w:color w:val="auto"/>
              </w:rPr>
            </w:pPr>
            <w:r>
              <w:rPr>
                <w:rFonts w:ascii="Arial" w:cs="Arial" w:eastAsia="Arial" w:hAnsi="Arial"/>
                <w:sz w:val="18"/>
                <w:szCs w:val="18"/>
                <w:color w:val="auto"/>
                <w:w w:val="92"/>
              </w:rPr>
              <w:t>Authorized</w:t>
            </w:r>
          </w:p>
        </w:tc>
        <w:tc>
          <w:tcPr>
            <w:tcW w:w="14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4"/>
              </w:rPr>
              <w:t>Shares</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Shares Owned</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Covered by all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Formation</w:t>
            </w:r>
          </w:p>
        </w:tc>
        <w:tc>
          <w:tcPr>
            <w:tcW w:w="1140" w:type="dxa"/>
            <w:vAlign w:val="bottom"/>
            <w:tcBorders>
              <w:right w:val="single" w:sz="8" w:color="auto"/>
            </w:tcBorders>
            <w:shd w:val="clear" w:color="auto" w:fill="D9D9D9"/>
          </w:tcPr>
          <w:p>
            <w:pPr>
              <w:spacing w:after="0"/>
              <w:rPr>
                <w:sz w:val="18"/>
                <w:szCs w:val="18"/>
                <w:color w:val="auto"/>
              </w:rPr>
            </w:pPr>
          </w:p>
        </w:tc>
        <w:tc>
          <w:tcPr>
            <w:tcW w:w="156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by Parent</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16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56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Entity</w:t>
            </w:r>
          </w:p>
        </w:tc>
        <w:tc>
          <w:tcPr>
            <w:tcW w:w="1700" w:type="dxa"/>
            <w:vAlign w:val="bottom"/>
            <w:tcBorders>
              <w:bottom w:val="single" w:sz="8" w:color="auto"/>
              <w:right w:val="single" w:sz="8" w:color="auto"/>
            </w:tcBorders>
            <w:shd w:val="clear" w:color="auto" w:fill="D9D9D9"/>
          </w:tcPr>
          <w:p>
            <w:pPr>
              <w:spacing w:after="0"/>
              <w:rPr>
                <w:sz w:val="19"/>
                <w:szCs w:val="19"/>
                <w:color w:val="auto"/>
              </w:rPr>
            </w:pP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Derivatives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1680382 Ontario</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Canada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93"/>
              </w:rPr>
              <w:t>100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Kodak Canada Inc. in</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equity</w:t>
            </w: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its capacity as</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Administrator of the</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Kodak Canada Income</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Sarl</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Switzerland</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1,900,000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1,900,000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Holdings B.V.</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Horsell Graphic</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United</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8"/>
              </w:rPr>
              <w:t>31,648,053</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2</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Kodak Limited</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Industries Ltd.</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Kingdom</w:t>
            </w: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(Australasia)</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Australia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Ordinary shares</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8"/>
              </w:rPr>
              <w:t>66,901,626</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66,901,626</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97.1576%</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Pty. Ltd.</w:t>
            </w: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2.8424%</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Graphic</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Communications</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Canada Company</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Company Limited</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Investment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(China) Graphic</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75%</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Communications</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 Ltd.</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Company Ltd.</w:t>
            </w:r>
          </w:p>
        </w:tc>
        <w:tc>
          <w:tcPr>
            <w:tcW w:w="116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5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740" w:type="dxa"/>
            <w:vAlign w:val="bottom"/>
            <w:tcBorders>
              <w:left w:val="single" w:sz="8" w:color="auto"/>
              <w:right w:val="single" w:sz="8" w:color="auto"/>
            </w:tcBorders>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88"/>
              </w:rPr>
              <w:t>25%</w:t>
            </w:r>
          </w:p>
        </w:tc>
        <w:tc>
          <w:tcPr>
            <w:tcW w:w="170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740" w:type="dxa"/>
            <w:vAlign w:val="bottom"/>
            <w:tcBorders>
              <w:left w:val="single" w:sz="8" w:color="auto"/>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Investment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Ltd.</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(China) Limited</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Investment Company</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(China) Limited</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Holdings B.V.</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 (Guangzhou)</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(China) Limited</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7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95"/>
              </w:rPr>
              <w:t>Technology Service</w:t>
            </w:r>
          </w:p>
        </w:tc>
        <w:tc>
          <w:tcPr>
            <w:tcW w:w="116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Company Limited</w:t>
            </w:r>
          </w:p>
        </w:tc>
        <w:tc>
          <w:tcPr>
            <w:tcW w:w="11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Canton Hotel</w:t>
            </w:r>
          </w:p>
        </w:tc>
        <w:tc>
          <w:tcPr>
            <w:tcW w:w="17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(Hong Kong)</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Hong Kong</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Holdings B.V.</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(Malaysia) Sdn.</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Malaysia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Ordinary shares</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8"/>
              </w:rPr>
              <w:t>10,000,000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8,509,343</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99.98%</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Bhd.</w:t>
            </w: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.01%</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.01%</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Then Tze Keen,</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 (Shanghai)</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(China) Limited</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International Trading</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 Ltd.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Kodak (Singapore) Pte.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Singapore</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Ordinary shares</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90,000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gridSpan w:val="2"/>
          </w:tcPr>
          <w:p>
            <w:pPr>
              <w:jc w:val="right"/>
              <w:ind w:right="1031"/>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44" w:name="page245"/>
    <w:bookmarkEnd w:id="244"/>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Subsidiary</w:t>
            </w:r>
          </w:p>
        </w:tc>
        <w:tc>
          <w:tcPr>
            <w:tcW w:w="1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Jurisdiction</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Class of Equity</w:t>
            </w:r>
          </w:p>
        </w:tc>
        <w:tc>
          <w:tcPr>
            <w:tcW w:w="160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Number of Shares</w:t>
            </w:r>
          </w:p>
        </w:tc>
        <w:tc>
          <w:tcPr>
            <w:tcW w:w="100" w:type="dxa"/>
            <w:vAlign w:val="bottom"/>
            <w:tcBorders>
              <w:top w:val="single" w:sz="8" w:color="auto"/>
              <w:right w:val="single" w:sz="8" w:color="auto"/>
            </w:tcBorders>
            <w:shd w:val="clear" w:color="auto" w:fill="D9D9D9"/>
          </w:tcPr>
          <w:p>
            <w:pPr>
              <w:spacing w:after="0"/>
              <w:rPr>
                <w:sz w:val="18"/>
                <w:szCs w:val="18"/>
                <w:color w:val="auto"/>
              </w:rPr>
            </w:pP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Number of</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Percentage of</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Parent Entity</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Number of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of</w:t>
            </w:r>
          </w:p>
        </w:tc>
        <w:tc>
          <w:tcPr>
            <w:tcW w:w="1140" w:type="dxa"/>
            <w:vAlign w:val="bottom"/>
            <w:tcBorders>
              <w:right w:val="single" w:sz="8" w:color="auto"/>
            </w:tcBorders>
            <w:shd w:val="clear" w:color="auto" w:fill="D9D9D9"/>
          </w:tcPr>
          <w:p>
            <w:pPr>
              <w:spacing w:after="0"/>
              <w:rPr>
                <w:sz w:val="18"/>
                <w:szCs w:val="18"/>
                <w:color w:val="auto"/>
              </w:rPr>
            </w:pPr>
          </w:p>
        </w:tc>
        <w:tc>
          <w:tcPr>
            <w:tcW w:w="16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2"/>
              </w:rPr>
              <w:t>Authorized</w:t>
            </w:r>
          </w:p>
        </w:tc>
        <w:tc>
          <w:tcPr>
            <w:tcW w:w="10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4"/>
              </w:rPr>
              <w:t>Shares</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Shares Owned</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Covered by all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Formation</w:t>
            </w:r>
          </w:p>
        </w:tc>
        <w:tc>
          <w:tcPr>
            <w:tcW w:w="1140" w:type="dxa"/>
            <w:vAlign w:val="bottom"/>
            <w:tcBorders>
              <w:right w:val="single" w:sz="8" w:color="auto"/>
            </w:tcBorders>
            <w:shd w:val="clear" w:color="auto" w:fill="D9D9D9"/>
          </w:tcPr>
          <w:p>
            <w:pPr>
              <w:spacing w:after="0"/>
              <w:rPr>
                <w:sz w:val="18"/>
                <w:szCs w:val="18"/>
                <w:color w:val="auto"/>
              </w:rPr>
            </w:pPr>
          </w:p>
        </w:tc>
        <w:tc>
          <w:tcPr>
            <w:tcW w:w="1600" w:type="dxa"/>
            <w:vAlign w:val="bottom"/>
            <w:shd w:val="clear" w:color="auto" w:fill="D9D9D9"/>
          </w:tcPr>
          <w:p>
            <w:pPr>
              <w:spacing w:after="0"/>
              <w:rPr>
                <w:sz w:val="18"/>
                <w:szCs w:val="18"/>
                <w:color w:val="auto"/>
              </w:rPr>
            </w:pPr>
          </w:p>
        </w:tc>
        <w:tc>
          <w:tcPr>
            <w:tcW w:w="10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by Parent</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16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600" w:type="dxa"/>
            <w:vAlign w:val="bottom"/>
            <w:tcBorders>
              <w:bottom w:val="single" w:sz="8" w:color="auto"/>
            </w:tcBorders>
            <w:shd w:val="clear" w:color="auto" w:fill="D9D9D9"/>
          </w:tcPr>
          <w:p>
            <w:pPr>
              <w:spacing w:after="0"/>
              <w:rPr>
                <w:sz w:val="19"/>
                <w:szCs w:val="19"/>
                <w:color w:val="auto"/>
              </w:rPr>
            </w:pPr>
          </w:p>
        </w:tc>
        <w:tc>
          <w:tcPr>
            <w:tcW w:w="10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Entity</w:t>
            </w:r>
          </w:p>
        </w:tc>
        <w:tc>
          <w:tcPr>
            <w:tcW w:w="1700" w:type="dxa"/>
            <w:vAlign w:val="bottom"/>
            <w:tcBorders>
              <w:bottom w:val="single" w:sz="8" w:color="auto"/>
              <w:right w:val="single" w:sz="8" w:color="auto"/>
            </w:tcBorders>
            <w:shd w:val="clear" w:color="auto" w:fill="D9D9D9"/>
          </w:tcPr>
          <w:p>
            <w:pPr>
              <w:spacing w:after="0"/>
              <w:rPr>
                <w:sz w:val="19"/>
                <w:szCs w:val="19"/>
                <w:color w:val="auto"/>
              </w:rPr>
            </w:pP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Derivatives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(Thailand)</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Thailand</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1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78,000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99.974359%</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740" w:type="dxa"/>
            <w:vAlign w:val="bottom"/>
            <w:tcBorders>
              <w:left w:val="single" w:sz="8" w:color="auto"/>
              <w:right w:val="single" w:sz="8" w:color="auto"/>
            </w:tcBorders>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.025641%</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10 shares held by</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Chuanchart Prukpaisal</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 10 shares held by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Pat Sheller</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Kodak (Wuxi)</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Company Limited</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Investment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(Xiamen)</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95%</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Company Limited</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Investment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1740" w:type="dxa"/>
            <w:vAlign w:val="bottom"/>
            <w:tcBorders>
              <w:left w:val="single" w:sz="8" w:color="auto"/>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5%</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Xiamen State-Owned</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Assets Investment Com</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740" w:type="dxa"/>
            <w:vAlign w:val="bottom"/>
            <w:tcBorders>
              <w:left w:val="single" w:sz="8" w:color="auto"/>
              <w:bottom w:val="single" w:sz="8" w:color="auto"/>
              <w:right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1700" w:type="dxa"/>
            <w:vAlign w:val="bottom"/>
            <w:tcBorders>
              <w:bottom w:val="single" w:sz="8" w:color="auto"/>
              <w:right w:val="single" w:sz="8" w:color="auto"/>
            </w:tcBorders>
          </w:tcPr>
          <w:p>
            <w:pPr>
              <w:spacing w:after="0"/>
              <w:rPr>
                <w:sz w:val="23"/>
                <w:szCs w:val="23"/>
                <w:color w:val="auto"/>
              </w:rPr>
            </w:pPr>
          </w:p>
        </w:tc>
        <w:tc>
          <w:tcPr>
            <w:tcW w:w="170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(Xiamen)</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75%</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Digital Imaging</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Company Limited</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Products Company</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continue"/>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88"/>
              </w:rPr>
              <w:t>25%</w:t>
            </w:r>
          </w:p>
        </w:tc>
        <w:tc>
          <w:tcPr>
            <w:tcW w:w="170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7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740" w:type="dxa"/>
            <w:vAlign w:val="bottom"/>
            <w:tcBorders>
              <w:left w:val="single" w:sz="8" w:color="auto"/>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700" w:type="dxa"/>
            <w:vAlign w:val="bottom"/>
            <w:tcBorders>
              <w:right w:val="single" w:sz="8" w:color="auto"/>
            </w:tcBorders>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Investment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France</w:t>
            </w:r>
          </w:p>
        </w:tc>
        <w:tc>
          <w:tcPr>
            <w:tcW w:w="1140" w:type="dxa"/>
            <w:vAlign w:val="bottom"/>
            <w:tcBorders>
              <w:right w:val="single" w:sz="8" w:color="auto"/>
            </w:tcBorders>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Kodak A/S</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Denmark</w:t>
            </w:r>
          </w:p>
        </w:tc>
        <w:tc>
          <w:tcPr>
            <w:tcW w:w="1140" w:type="dxa"/>
            <w:vAlign w:val="bottom"/>
            <w:tcBorders>
              <w:right w:val="single" w:sz="8" w:color="auto"/>
            </w:tcBorders>
          </w:tcPr>
          <w:p>
            <w:pPr>
              <w:spacing w:after="0"/>
              <w:rPr>
                <w:sz w:val="16"/>
                <w:szCs w:val="16"/>
                <w:color w:val="auto"/>
              </w:rPr>
            </w:pPr>
          </w:p>
        </w:tc>
        <w:tc>
          <w:tcPr>
            <w:tcW w:w="1600" w:type="dxa"/>
            <w:vAlign w:val="bottom"/>
          </w:tcPr>
          <w:p>
            <w:pPr>
              <w:jc w:val="right"/>
              <w:ind w:right="311"/>
              <w:spacing w:after="0" w:line="195" w:lineRule="exact"/>
              <w:rPr>
                <w:sz w:val="20"/>
                <w:szCs w:val="20"/>
                <w:color w:val="auto"/>
              </w:rPr>
            </w:pPr>
            <w:r>
              <w:rPr>
                <w:rFonts w:ascii="Arial" w:cs="Arial" w:eastAsia="Arial" w:hAnsi="Arial"/>
                <w:sz w:val="18"/>
                <w:szCs w:val="18"/>
                <w:color w:val="auto"/>
              </w:rPr>
              <w:t>1,000,000</w:t>
            </w: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1,000,000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Argentina</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Argentina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Capital stock</w:t>
            </w:r>
          </w:p>
        </w:tc>
        <w:tc>
          <w:tcPr>
            <w:tcW w:w="1600" w:type="dxa"/>
            <w:vAlign w:val="bottom"/>
          </w:tcPr>
          <w:p>
            <w:pPr>
              <w:jc w:val="right"/>
              <w:ind w:right="391"/>
              <w:spacing w:after="0" w:line="195" w:lineRule="exact"/>
              <w:rPr>
                <w:sz w:val="20"/>
                <w:szCs w:val="20"/>
                <w:color w:val="auto"/>
              </w:rPr>
            </w:pPr>
            <w:r>
              <w:rPr>
                <w:rFonts w:ascii="Arial" w:cs="Arial" w:eastAsia="Arial" w:hAnsi="Arial"/>
                <w:sz w:val="18"/>
                <w:szCs w:val="18"/>
                <w:color w:val="auto"/>
              </w:rPr>
              <w:t>989,437</w:t>
            </w: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527,668</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53.34%</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S.A.I.C.</w:t>
            </w: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461,769</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46.66%</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Holdings, B.V.</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Brasileira</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Brazil</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136,566,397</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99.9999987%</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Comercio de Produtos</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quotas</w:t>
            </w: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Holdings, B.V.</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Para Imagem e</w:t>
            </w:r>
          </w:p>
        </w:tc>
        <w:tc>
          <w:tcPr>
            <w:tcW w:w="11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right w:val="single" w:sz="8" w:color="auto"/>
            </w:tcBorders>
            <w:vMerge w:val="continue"/>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189 quotas</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.000001383%</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Kodak Americas, Ltd.</w:t>
            </w:r>
          </w:p>
        </w:tc>
        <w:tc>
          <w:tcPr>
            <w:tcW w:w="17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Serviços Ltda.</w:t>
            </w: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1700" w:type="dxa"/>
            <w:vAlign w:val="bottom"/>
            <w:tcBorders>
              <w:right w:val="single" w:sz="8" w:color="auto"/>
            </w:tcBorders>
            <w:vMerge w:val="continue"/>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40" w:type="dxa"/>
            <w:vAlign w:val="bottom"/>
            <w:tcBorders>
              <w:left w:val="single" w:sz="8" w:color="auto"/>
              <w:right w:val="single" w:sz="8" w:color="auto"/>
            </w:tcBorders>
            <w:vMerge w:val="continue"/>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Canada ULC</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Canada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1600" w:type="dxa"/>
            <w:vAlign w:val="bottom"/>
          </w:tcPr>
          <w:p>
            <w:pPr>
              <w:jc w:val="center"/>
              <w:ind w:left="11"/>
              <w:spacing w:after="0" w:line="195" w:lineRule="exact"/>
              <w:rPr>
                <w:sz w:val="20"/>
                <w:szCs w:val="20"/>
                <w:color w:val="auto"/>
              </w:rPr>
            </w:pPr>
            <w:r>
              <w:rPr>
                <w:rFonts w:ascii="Arial" w:cs="Arial" w:eastAsia="Arial" w:hAnsi="Arial"/>
                <w:sz w:val="18"/>
                <w:szCs w:val="18"/>
                <w:color w:val="auto"/>
                <w:w w:val="92"/>
              </w:rPr>
              <w:t>unlimited number of</w:t>
            </w: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334,000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99.999997%</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Graphic</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Common Shares and</w:t>
            </w: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Communications</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one (1) Preference</w:t>
            </w:r>
          </w:p>
        </w:tc>
        <w:tc>
          <w:tcPr>
            <w:tcW w:w="10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Canada Company</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Preference</w:t>
            </w: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79"/>
              </w:rPr>
              <w:t>share</w:t>
            </w:r>
          </w:p>
        </w:tc>
        <w:tc>
          <w:tcPr>
            <w:tcW w:w="1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1</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.000003%</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16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 Chilena S.A.F.</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Chile</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Capital stock</w:t>
            </w: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129,246,565</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99.9962%</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.0038%</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gridSpan w:val="2"/>
          </w:tcPr>
          <w:p>
            <w:pPr>
              <w:jc w:val="right"/>
              <w:ind w:right="1031"/>
              <w:spacing w:after="0"/>
              <w:rPr>
                <w:sz w:val="20"/>
                <w:szCs w:val="20"/>
                <w:color w:val="auto"/>
              </w:rPr>
            </w:pPr>
            <w:r>
              <w:rPr>
                <w:rFonts w:ascii="Arial" w:cs="Arial" w:eastAsia="Arial" w:hAnsi="Arial"/>
                <w:sz w:val="18"/>
                <w:szCs w:val="18"/>
                <w:color w:val="auto"/>
                <w:w w:val="99"/>
              </w:rPr>
              <w:t>4</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45" w:name="page246"/>
    <w:bookmarkEnd w:id="245"/>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Subsidiary</w:t>
            </w:r>
          </w:p>
        </w:tc>
        <w:tc>
          <w:tcPr>
            <w:tcW w:w="1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Jurisdiction</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Class of Equity</w:t>
            </w:r>
          </w:p>
        </w:tc>
        <w:tc>
          <w:tcPr>
            <w:tcW w:w="1560" w:type="dxa"/>
            <w:vAlign w:val="bottom"/>
            <w:tcBorders>
              <w:top w:val="single" w:sz="8" w:color="auto"/>
            </w:tcBorders>
            <w:shd w:val="clear" w:color="auto" w:fill="D9D9D9"/>
          </w:tcPr>
          <w:p>
            <w:pPr>
              <w:jc w:val="center"/>
              <w:ind w:left="31"/>
              <w:spacing w:after="0"/>
              <w:rPr>
                <w:sz w:val="20"/>
                <w:szCs w:val="20"/>
                <w:color w:val="auto"/>
              </w:rPr>
            </w:pPr>
            <w:r>
              <w:rPr>
                <w:rFonts w:ascii="Arial" w:cs="Arial" w:eastAsia="Arial" w:hAnsi="Arial"/>
                <w:sz w:val="18"/>
                <w:szCs w:val="18"/>
                <w:color w:val="auto"/>
                <w:w w:val="87"/>
              </w:rPr>
              <w:t>Number of Shares</w:t>
            </w:r>
          </w:p>
        </w:tc>
        <w:tc>
          <w:tcPr>
            <w:tcW w:w="140" w:type="dxa"/>
            <w:vAlign w:val="bottom"/>
            <w:tcBorders>
              <w:top w:val="single" w:sz="8" w:color="auto"/>
              <w:right w:val="single" w:sz="8" w:color="auto"/>
            </w:tcBorders>
            <w:shd w:val="clear" w:color="auto" w:fill="D9D9D9"/>
          </w:tcPr>
          <w:p>
            <w:pPr>
              <w:spacing w:after="0"/>
              <w:rPr>
                <w:sz w:val="18"/>
                <w:szCs w:val="18"/>
                <w:color w:val="auto"/>
              </w:rPr>
            </w:pP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Number of</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Percentage of</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Parent Entity</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Number of Shares</w:t>
            </w:r>
          </w:p>
        </w:tc>
        <w:tc>
          <w:tcPr>
            <w:tcW w:w="20" w:type="dxa"/>
            <w:vAlign w:val="bottom"/>
          </w:tcPr>
          <w:p>
            <w:pPr>
              <w:spacing w:after="0"/>
              <w:rPr>
                <w:sz w:val="18"/>
                <w:szCs w:val="18"/>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of</w:t>
            </w:r>
          </w:p>
        </w:tc>
        <w:tc>
          <w:tcPr>
            <w:tcW w:w="1140" w:type="dxa"/>
            <w:vAlign w:val="bottom"/>
            <w:tcBorders>
              <w:right w:val="single" w:sz="8" w:color="auto"/>
            </w:tcBorders>
            <w:shd w:val="clear" w:color="auto" w:fill="D9D9D9"/>
          </w:tcPr>
          <w:p>
            <w:pPr>
              <w:spacing w:after="0"/>
              <w:rPr>
                <w:sz w:val="18"/>
                <w:szCs w:val="18"/>
                <w:color w:val="auto"/>
              </w:rPr>
            </w:pPr>
          </w:p>
        </w:tc>
        <w:tc>
          <w:tcPr>
            <w:tcW w:w="1560" w:type="dxa"/>
            <w:vAlign w:val="bottom"/>
            <w:shd w:val="clear" w:color="auto" w:fill="D9D9D9"/>
          </w:tcPr>
          <w:p>
            <w:pPr>
              <w:jc w:val="center"/>
              <w:ind w:left="31"/>
              <w:spacing w:after="0"/>
              <w:rPr>
                <w:sz w:val="20"/>
                <w:szCs w:val="20"/>
                <w:color w:val="auto"/>
              </w:rPr>
            </w:pPr>
            <w:r>
              <w:rPr>
                <w:rFonts w:ascii="Arial" w:cs="Arial" w:eastAsia="Arial" w:hAnsi="Arial"/>
                <w:sz w:val="18"/>
                <w:szCs w:val="18"/>
                <w:color w:val="auto"/>
                <w:w w:val="92"/>
              </w:rPr>
              <w:t>Authorized</w:t>
            </w:r>
          </w:p>
        </w:tc>
        <w:tc>
          <w:tcPr>
            <w:tcW w:w="14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4"/>
              </w:rPr>
              <w:t>Shares</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Shares Owned</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Covered by all</w:t>
            </w:r>
          </w:p>
        </w:tc>
        <w:tc>
          <w:tcPr>
            <w:tcW w:w="20" w:type="dxa"/>
            <w:vAlign w:val="bottom"/>
          </w:tcPr>
          <w:p>
            <w:pPr>
              <w:spacing w:after="0"/>
              <w:rPr>
                <w:sz w:val="18"/>
                <w:szCs w:val="18"/>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Formation</w:t>
            </w:r>
          </w:p>
        </w:tc>
        <w:tc>
          <w:tcPr>
            <w:tcW w:w="1140" w:type="dxa"/>
            <w:vAlign w:val="bottom"/>
            <w:tcBorders>
              <w:right w:val="single" w:sz="8" w:color="auto"/>
            </w:tcBorders>
            <w:shd w:val="clear" w:color="auto" w:fill="D9D9D9"/>
          </w:tcPr>
          <w:p>
            <w:pPr>
              <w:spacing w:after="0"/>
              <w:rPr>
                <w:sz w:val="18"/>
                <w:szCs w:val="18"/>
                <w:color w:val="auto"/>
              </w:rPr>
            </w:pPr>
          </w:p>
        </w:tc>
        <w:tc>
          <w:tcPr>
            <w:tcW w:w="156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by Parent</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16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56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Entity</w:t>
            </w:r>
          </w:p>
        </w:tc>
        <w:tc>
          <w:tcPr>
            <w:tcW w:w="1700" w:type="dxa"/>
            <w:vAlign w:val="bottom"/>
            <w:tcBorders>
              <w:bottom w:val="single" w:sz="8" w:color="auto"/>
              <w:right w:val="single" w:sz="8" w:color="auto"/>
            </w:tcBorders>
            <w:shd w:val="clear" w:color="auto" w:fill="D9D9D9"/>
          </w:tcPr>
          <w:p>
            <w:pPr>
              <w:spacing w:after="0"/>
              <w:rPr>
                <w:sz w:val="19"/>
                <w:szCs w:val="19"/>
                <w:color w:val="auto"/>
              </w:rPr>
            </w:pP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Derivatives</w:t>
            </w: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 da Amazônia</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Brazil</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149,798,463</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99.9999987%</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Brasileira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Indústria e Comécio</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quotas</w:t>
            </w: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Comercio de Produtos</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Ltda.</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para Imagem e</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Serviços Ltda.</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 quotas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0.0000013%</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Kodak Americas, Ltd.</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62"/>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de Colombia,</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Colombia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Capital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8"/>
              </w:rPr>
              <w:t>5,000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704</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Mexicana S.A.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SAS</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de C.V.</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de Mexico S.A.</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Mexico</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Capital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7"/>
              </w:rPr>
              <w:t>179,341,945</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179,341,945</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99.99%</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de C.V.</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Kodak Americas, Ltd.</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76"/>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Electronic</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Products (Shanghai)</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Investment Co., Inc.</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Company Limited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GmbH</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Austria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GmbH</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Germany</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Graphic</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Communications</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GmbH</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Graphic</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Bulgaria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Graphic</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Communications EAD</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Communications</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GmbH</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Graphic</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Germany</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Holding GmbH</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Communications</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GmbH</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Graphic</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United</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8"/>
              </w:rPr>
              <w:t>52,000,002</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52,000,002</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Kodak Limited</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Communications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Kingdom</w:t>
            </w: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Kodak IL Ltd.</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Israel</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6"/>
              </w:rPr>
              <w:t>312,774</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294,774</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7%</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Holdings B.V.</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55"/>
        </w:trPr>
        <w:tc>
          <w:tcPr>
            <w:tcW w:w="1740" w:type="dxa"/>
            <w:vAlign w:val="bottom"/>
            <w:tcBorders>
              <w:left w:val="single" w:sz="8" w:color="auto"/>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93%</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Graphics Finance</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(Barbados) SRL</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 India Private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India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Equity and</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7"/>
              </w:rPr>
              <w:t>327,500,000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9,734,506</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99.99999979%</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Kodak Limited</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1740" w:type="dxa"/>
            <w:vAlign w:val="bottom"/>
            <w:tcBorders>
              <w:left w:val="single" w:sz="8" w:color="auto"/>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96"/>
              </w:rPr>
              <w:t>Limited</w:t>
            </w: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86"/>
              </w:rPr>
              <w:t>Preference</w:t>
            </w: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2</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.00000021%</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International</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Finance Limited</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International</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England</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28,061,408</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Kodak Limited</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Finance Limited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Kodak Japan Ltd.</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1"/>
              </w:rPr>
              <w:t>Japan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6"/>
              </w:rPr>
              <w:t>400,000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396,071</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77.097%</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Graphics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Ltd.</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8"/>
        </w:trPr>
        <w:tc>
          <w:tcPr>
            <w:tcW w:w="1740" w:type="dxa"/>
            <w:vAlign w:val="bottom"/>
            <w:tcBorders>
              <w:left w:val="single" w:sz="8" w:color="auto"/>
              <w:right w:val="single" w:sz="8" w:color="auto"/>
            </w:tcBorders>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12.674%</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Holdings B.V.</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174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10.229%</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Graphic</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Communications</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Canada Company</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8"/>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19"/>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gridSpan w:val="2"/>
          </w:tcPr>
          <w:p>
            <w:pPr>
              <w:jc w:val="right"/>
              <w:ind w:right="1031"/>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46" w:name="page247"/>
    <w:bookmarkEnd w:id="246"/>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Subsidiary</w:t>
            </w:r>
          </w:p>
        </w:tc>
        <w:tc>
          <w:tcPr>
            <w:tcW w:w="1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Jurisdiction</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Class of Equity</w:t>
            </w:r>
          </w:p>
        </w:tc>
        <w:tc>
          <w:tcPr>
            <w:tcW w:w="1560" w:type="dxa"/>
            <w:vAlign w:val="bottom"/>
            <w:tcBorders>
              <w:top w:val="single" w:sz="8" w:color="auto"/>
            </w:tcBorders>
            <w:shd w:val="clear" w:color="auto" w:fill="D9D9D9"/>
          </w:tcPr>
          <w:p>
            <w:pPr>
              <w:jc w:val="center"/>
              <w:ind w:left="31"/>
              <w:spacing w:after="0"/>
              <w:rPr>
                <w:sz w:val="20"/>
                <w:szCs w:val="20"/>
                <w:color w:val="auto"/>
              </w:rPr>
            </w:pPr>
            <w:r>
              <w:rPr>
                <w:rFonts w:ascii="Arial" w:cs="Arial" w:eastAsia="Arial" w:hAnsi="Arial"/>
                <w:sz w:val="18"/>
                <w:szCs w:val="18"/>
                <w:color w:val="auto"/>
                <w:w w:val="87"/>
              </w:rPr>
              <w:t>Number of Shares</w:t>
            </w:r>
          </w:p>
        </w:tc>
        <w:tc>
          <w:tcPr>
            <w:tcW w:w="140" w:type="dxa"/>
            <w:vAlign w:val="bottom"/>
            <w:tcBorders>
              <w:top w:val="single" w:sz="8" w:color="auto"/>
              <w:right w:val="single" w:sz="8" w:color="auto"/>
            </w:tcBorders>
            <w:shd w:val="clear" w:color="auto" w:fill="D9D9D9"/>
          </w:tcPr>
          <w:p>
            <w:pPr>
              <w:spacing w:after="0"/>
              <w:rPr>
                <w:sz w:val="18"/>
                <w:szCs w:val="18"/>
                <w:color w:val="auto"/>
              </w:rPr>
            </w:pP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Number of</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Percentage of</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Parent Entity</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Number of Shares</w:t>
            </w:r>
          </w:p>
        </w:tc>
        <w:tc>
          <w:tcPr>
            <w:tcW w:w="20" w:type="dxa"/>
            <w:vAlign w:val="bottom"/>
          </w:tcPr>
          <w:p>
            <w:pPr>
              <w:spacing w:after="0"/>
              <w:rPr>
                <w:sz w:val="18"/>
                <w:szCs w:val="18"/>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of</w:t>
            </w:r>
          </w:p>
        </w:tc>
        <w:tc>
          <w:tcPr>
            <w:tcW w:w="1140" w:type="dxa"/>
            <w:vAlign w:val="bottom"/>
            <w:tcBorders>
              <w:right w:val="single" w:sz="8" w:color="auto"/>
            </w:tcBorders>
            <w:shd w:val="clear" w:color="auto" w:fill="D9D9D9"/>
          </w:tcPr>
          <w:p>
            <w:pPr>
              <w:spacing w:after="0"/>
              <w:rPr>
                <w:sz w:val="18"/>
                <w:szCs w:val="18"/>
                <w:color w:val="auto"/>
              </w:rPr>
            </w:pPr>
          </w:p>
        </w:tc>
        <w:tc>
          <w:tcPr>
            <w:tcW w:w="1560" w:type="dxa"/>
            <w:vAlign w:val="bottom"/>
            <w:shd w:val="clear" w:color="auto" w:fill="D9D9D9"/>
          </w:tcPr>
          <w:p>
            <w:pPr>
              <w:jc w:val="center"/>
              <w:ind w:left="31"/>
              <w:spacing w:after="0"/>
              <w:rPr>
                <w:sz w:val="20"/>
                <w:szCs w:val="20"/>
                <w:color w:val="auto"/>
              </w:rPr>
            </w:pPr>
            <w:r>
              <w:rPr>
                <w:rFonts w:ascii="Arial" w:cs="Arial" w:eastAsia="Arial" w:hAnsi="Arial"/>
                <w:sz w:val="18"/>
                <w:szCs w:val="18"/>
                <w:color w:val="auto"/>
                <w:w w:val="92"/>
              </w:rPr>
              <w:t>Authorized</w:t>
            </w:r>
          </w:p>
        </w:tc>
        <w:tc>
          <w:tcPr>
            <w:tcW w:w="14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4"/>
              </w:rPr>
              <w:t>Shares</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Shares Owned</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Covered by all</w:t>
            </w:r>
          </w:p>
        </w:tc>
        <w:tc>
          <w:tcPr>
            <w:tcW w:w="20" w:type="dxa"/>
            <w:vAlign w:val="bottom"/>
          </w:tcPr>
          <w:p>
            <w:pPr>
              <w:spacing w:after="0"/>
              <w:rPr>
                <w:sz w:val="18"/>
                <w:szCs w:val="18"/>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Formation</w:t>
            </w:r>
          </w:p>
        </w:tc>
        <w:tc>
          <w:tcPr>
            <w:tcW w:w="1140" w:type="dxa"/>
            <w:vAlign w:val="bottom"/>
            <w:tcBorders>
              <w:right w:val="single" w:sz="8" w:color="auto"/>
            </w:tcBorders>
            <w:shd w:val="clear" w:color="auto" w:fill="D9D9D9"/>
          </w:tcPr>
          <w:p>
            <w:pPr>
              <w:spacing w:after="0"/>
              <w:rPr>
                <w:sz w:val="18"/>
                <w:szCs w:val="18"/>
                <w:color w:val="auto"/>
              </w:rPr>
            </w:pPr>
          </w:p>
        </w:tc>
        <w:tc>
          <w:tcPr>
            <w:tcW w:w="156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by Parent</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16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56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Entity</w:t>
            </w:r>
          </w:p>
        </w:tc>
        <w:tc>
          <w:tcPr>
            <w:tcW w:w="1700" w:type="dxa"/>
            <w:vAlign w:val="bottom"/>
            <w:tcBorders>
              <w:bottom w:val="single" w:sz="8" w:color="auto"/>
              <w:right w:val="single" w:sz="8" w:color="auto"/>
            </w:tcBorders>
            <w:shd w:val="clear" w:color="auto" w:fill="D9D9D9"/>
          </w:tcPr>
          <w:p>
            <w:pPr>
              <w:spacing w:after="0"/>
              <w:rPr>
                <w:sz w:val="19"/>
                <w:szCs w:val="19"/>
                <w:color w:val="auto"/>
              </w:rPr>
            </w:pP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Derivatives</w:t>
            </w: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Korea Ltd.</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South Korea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3,000,000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964,000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Mexicana S.A.</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Mexico</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Capital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7"/>
              </w:rPr>
              <w:t>262,870,350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262,875,350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99.99%</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de C.V.</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Kodak Americas, Ltd.</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62"/>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 Nederland B.V.</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Netherlands</w:t>
            </w: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80,000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Holdings B.V.</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 New Zealand</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New Zealand</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Ordinary shares</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1,000,000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1,000,000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Kodak Nordic AB</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Sweden</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6"/>
              </w:rPr>
              <w:t>270,000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270,000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OOO</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3"/>
              </w:rPr>
              <w:t>Russia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Oy</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Finland</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6"/>
              </w:rPr>
              <w:t>534,000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534,000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Kodak Polska Sp.zo.o</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Poland</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90"/>
              </w:rPr>
              <w:t>Share capital PLN</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25,287 (shares</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88"/>
              </w:rPr>
              <w:t>24,022,650</w:t>
            </w: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6"/>
              </w:rPr>
              <w:t>are</w:t>
            </w: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uncertificated)</w:t>
            </w: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Graphics China Co.</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Graphics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Ltd.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Ltd.</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Uruguay</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Capital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6"/>
              </w:rPr>
              <w:t>375,000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375,000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Graphics Cono Sur SA</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Graphics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Ltd.</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Uruguay</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Capital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8"/>
              </w:rPr>
              <w:t>5,000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Graphics Export SAFI</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Graphics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Ltd.</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Barbados</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6"/>
              </w:rPr>
              <w:t>2 quotas</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1 quota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Graphics Madeira</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Graphics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Servicos Ltd.</w:t>
            </w: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Ltd.</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 quota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Merrydown Limited</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76"/>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Kodak SA/NV</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Belgium</w:t>
            </w: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324,542</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35.0217%</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296,295</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31.9735%</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Holdings B.V.</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8"/>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287,231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30.9955%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Kodak Nederland BV</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36"/>
        </w:trPr>
        <w:tc>
          <w:tcPr>
            <w:tcW w:w="1740" w:type="dxa"/>
            <w:vAlign w:val="bottom"/>
            <w:tcBorders>
              <w:left w:val="single" w:sz="8" w:color="auto"/>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18,613</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2.0085%</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Graphic</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Communications</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Canada Company</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.0008%</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35"/>
        </w:trPr>
        <w:tc>
          <w:tcPr>
            <w:tcW w:w="1740" w:type="dxa"/>
            <w:vAlign w:val="bottom"/>
            <w:tcBorders>
              <w:left w:val="single" w:sz="8" w:color="auto"/>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419"/>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gridSpan w:val="2"/>
          </w:tcPr>
          <w:p>
            <w:pPr>
              <w:jc w:val="right"/>
              <w:ind w:right="1031"/>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47" w:name="page248"/>
    <w:bookmarkEnd w:id="247"/>
    <w:tbl>
      <w:tblPr>
        <w:tblLayout w:type="fixed"/>
        <w:tblInd w:w="10" w:type="dxa"/>
        <w:tblCellMar>
          <w:top w:w="0" w:type="dxa"/>
          <w:left w:w="0" w:type="dxa"/>
          <w:bottom w:w="0" w:type="dxa"/>
          <w:right w:w="0" w:type="dxa"/>
        </w:tblCellMar>
      </w:tblPr>
      <w:tr>
        <w:trPr>
          <w:trHeight w:val="214"/>
        </w:trPr>
        <w:tc>
          <w:tcPr>
            <w:tcW w:w="196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Subsidiary</w:t>
            </w:r>
          </w:p>
        </w:tc>
        <w:tc>
          <w:tcPr>
            <w:tcW w:w="11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Jurisdiction</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Class of</w:t>
            </w:r>
          </w:p>
        </w:tc>
        <w:tc>
          <w:tcPr>
            <w:tcW w:w="16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Number of Shares</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Number of</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Percentage of</w:t>
            </w:r>
          </w:p>
        </w:tc>
        <w:tc>
          <w:tcPr>
            <w:tcW w:w="1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Parent Entity</w:t>
            </w:r>
          </w:p>
        </w:tc>
        <w:tc>
          <w:tcPr>
            <w:tcW w:w="16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Number of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shd w:val="clear" w:color="auto" w:fill="D9D9D9"/>
          </w:tcPr>
          <w:p>
            <w:pPr>
              <w:spacing w:after="0"/>
              <w:rPr>
                <w:sz w:val="18"/>
                <w:szCs w:val="18"/>
                <w:color w:val="auto"/>
              </w:rPr>
            </w:pPr>
          </w:p>
        </w:tc>
        <w:tc>
          <w:tcPr>
            <w:tcW w:w="11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of</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Equity</w:t>
            </w: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Authorized</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0"/>
              </w:rPr>
              <w:t>Shares</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5"/>
              </w:rPr>
              <w:t>Shares Owned</w:t>
            </w:r>
          </w:p>
        </w:tc>
        <w:tc>
          <w:tcPr>
            <w:tcW w:w="1680" w:type="dxa"/>
            <w:vAlign w:val="bottom"/>
            <w:tcBorders>
              <w:right w:val="single" w:sz="8" w:color="auto"/>
            </w:tcBorders>
            <w:shd w:val="clear" w:color="auto" w:fill="D9D9D9"/>
          </w:tcPr>
          <w:p>
            <w:pPr>
              <w:spacing w:after="0"/>
              <w:rPr>
                <w:sz w:val="18"/>
                <w:szCs w:val="18"/>
                <w:color w:val="auto"/>
              </w:rPr>
            </w:pP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Covered by all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shd w:val="clear" w:color="auto" w:fill="D9D9D9"/>
          </w:tcPr>
          <w:p>
            <w:pPr>
              <w:spacing w:after="0"/>
              <w:rPr>
                <w:sz w:val="18"/>
                <w:szCs w:val="18"/>
                <w:color w:val="auto"/>
              </w:rPr>
            </w:pPr>
          </w:p>
        </w:tc>
        <w:tc>
          <w:tcPr>
            <w:tcW w:w="11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Formation</w:t>
            </w:r>
          </w:p>
        </w:tc>
        <w:tc>
          <w:tcPr>
            <w:tcW w:w="1120" w:type="dxa"/>
            <w:vAlign w:val="bottom"/>
            <w:tcBorders>
              <w:right w:val="single" w:sz="8" w:color="auto"/>
            </w:tcBorders>
            <w:shd w:val="clear" w:color="auto" w:fill="D9D9D9"/>
          </w:tcPr>
          <w:p>
            <w:pPr>
              <w:spacing w:after="0"/>
              <w:rPr>
                <w:sz w:val="18"/>
                <w:szCs w:val="18"/>
                <w:color w:val="auto"/>
              </w:rPr>
            </w:pPr>
          </w:p>
        </w:tc>
        <w:tc>
          <w:tcPr>
            <w:tcW w:w="166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Outstanding</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by Parent</w:t>
            </w:r>
          </w:p>
        </w:tc>
        <w:tc>
          <w:tcPr>
            <w:tcW w:w="1680" w:type="dxa"/>
            <w:vAlign w:val="bottom"/>
            <w:tcBorders>
              <w:right w:val="single" w:sz="8" w:color="auto"/>
            </w:tcBorders>
            <w:shd w:val="clear" w:color="auto" w:fill="D9D9D9"/>
          </w:tcPr>
          <w:p>
            <w:pPr>
              <w:spacing w:after="0"/>
              <w:rPr>
                <w:sz w:val="18"/>
                <w:szCs w:val="18"/>
                <w:color w:val="auto"/>
              </w:rPr>
            </w:pP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100" w:type="dxa"/>
            <w:vAlign w:val="bottom"/>
            <w:tcBorders>
              <w:bottom w:val="single" w:sz="8" w:color="auto"/>
              <w:right w:val="single" w:sz="8" w:color="auto"/>
            </w:tcBorders>
            <w:shd w:val="clear" w:color="auto" w:fill="D9D9D9"/>
          </w:tcPr>
          <w:p>
            <w:pPr>
              <w:spacing w:after="0"/>
              <w:rPr>
                <w:sz w:val="19"/>
                <w:szCs w:val="19"/>
                <w:color w:val="auto"/>
              </w:rPr>
            </w:pPr>
          </w:p>
        </w:tc>
        <w:tc>
          <w:tcPr>
            <w:tcW w:w="1120" w:type="dxa"/>
            <w:vAlign w:val="bottom"/>
            <w:tcBorders>
              <w:bottom w:val="single" w:sz="8" w:color="auto"/>
              <w:right w:val="single" w:sz="8" w:color="auto"/>
            </w:tcBorders>
            <w:shd w:val="clear" w:color="auto" w:fill="D9D9D9"/>
          </w:tcPr>
          <w:p>
            <w:pPr>
              <w:spacing w:after="0"/>
              <w:rPr>
                <w:sz w:val="19"/>
                <w:szCs w:val="19"/>
                <w:color w:val="auto"/>
              </w:rPr>
            </w:pPr>
          </w:p>
        </w:tc>
        <w:tc>
          <w:tcPr>
            <w:tcW w:w="1660" w:type="dxa"/>
            <w:vAlign w:val="bottom"/>
            <w:tcBorders>
              <w:bottom w:val="single" w:sz="8" w:color="auto"/>
              <w:right w:val="single" w:sz="8" w:color="auto"/>
            </w:tcBorders>
            <w:shd w:val="clear" w:color="auto" w:fill="D9D9D9"/>
          </w:tcPr>
          <w:p>
            <w:pPr>
              <w:spacing w:after="0"/>
              <w:rPr>
                <w:sz w:val="19"/>
                <w:szCs w:val="19"/>
                <w:color w:val="auto"/>
              </w:rPr>
            </w:pPr>
          </w:p>
        </w:tc>
        <w:tc>
          <w:tcPr>
            <w:tcW w:w="1120" w:type="dxa"/>
            <w:vAlign w:val="bottom"/>
            <w:tcBorders>
              <w:bottom w:val="single" w:sz="8" w:color="auto"/>
              <w:right w:val="single" w:sz="8" w:color="auto"/>
            </w:tcBorders>
            <w:shd w:val="clear" w:color="auto" w:fill="D9D9D9"/>
          </w:tcPr>
          <w:p>
            <w:pPr>
              <w:spacing w:after="0"/>
              <w:rPr>
                <w:sz w:val="19"/>
                <w:szCs w:val="19"/>
                <w:color w:val="auto"/>
              </w:rPr>
            </w:pP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Entity</w:t>
            </w:r>
          </w:p>
        </w:tc>
        <w:tc>
          <w:tcPr>
            <w:tcW w:w="1680" w:type="dxa"/>
            <w:vAlign w:val="bottom"/>
            <w:tcBorders>
              <w:bottom w:val="single" w:sz="8" w:color="auto"/>
              <w:right w:val="single" w:sz="8" w:color="auto"/>
            </w:tcBorders>
            <w:shd w:val="clear" w:color="auto" w:fill="D9D9D9"/>
          </w:tcPr>
          <w:p>
            <w:pPr>
              <w:spacing w:after="0"/>
              <w:rPr>
                <w:sz w:val="19"/>
                <w:szCs w:val="19"/>
                <w:color w:val="auto"/>
              </w:rPr>
            </w:pPr>
          </w:p>
        </w:tc>
        <w:tc>
          <w:tcPr>
            <w:tcW w:w="16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Derivatives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S.p.A.</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Italy</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73,000,000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99.998%</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960" w:type="dxa"/>
            <w:vAlign w:val="bottom"/>
            <w:tcBorders>
              <w:left w:val="single" w:sz="8" w:color="auto"/>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6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6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.002%</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6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Societe Anonyme</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Switzerland</w:t>
            </w:r>
          </w:p>
        </w:tc>
        <w:tc>
          <w:tcPr>
            <w:tcW w:w="11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89"/>
              </w:rPr>
              <w:t>28,000 shares to a par</w:t>
            </w: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value of 500 CHF each</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14,000,000 CHF – all</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owned by</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EKICC</w:t>
            </w: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Germany</w:t>
            </w:r>
          </w:p>
        </w:tc>
        <w:tc>
          <w:tcPr>
            <w:tcW w:w="11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Kodak Holding GmbH</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Unterstützungsgesellschaft</w:t>
            </w: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mbH</w:t>
            </w: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Kodak Venezuela, S.A.</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Venezuela</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Capital stock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16,830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16,830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S.A.</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Spain</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Ordinary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284,760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284,759</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99.99%</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960" w:type="dxa"/>
            <w:vAlign w:val="bottom"/>
            <w:tcBorders>
              <w:left w:val="single" w:sz="8" w:color="auto"/>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6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6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.01%</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6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International Capital</w:t>
            </w: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Inc.</w:t>
            </w: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KodakIT (Singapore) Pte.</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Singapore</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Ordinary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Ltd</w:t>
            </w: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Holdings B.V.</w:t>
            </w: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KP Services (Jersey)</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2"/>
              </w:rPr>
              <w:t>Jersey</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Limited Shares</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80%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Kodak Limited</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Co-owner has the right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 earn additional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4"/>
              </w:rPr>
              <w:t>20%</w:t>
            </w:r>
          </w:p>
        </w:tc>
        <w:tc>
          <w:tcPr>
            <w:tcW w:w="16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The Guiton Group</w:t>
            </w:r>
          </w:p>
        </w:tc>
        <w:tc>
          <w:tcPr>
            <w:tcW w:w="16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shares and an option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buy the shares 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by Kodak Limited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KPG Finance (Barbados)</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Barbados</w:t>
            </w:r>
          </w:p>
        </w:tc>
        <w:tc>
          <w:tcPr>
            <w:tcW w:w="11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Unlimited number of</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100,000 quotas</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Polychrome</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SRL</w:t>
            </w: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quotas</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Graphics Company</w:t>
            </w:r>
          </w:p>
        </w:tc>
        <w:tc>
          <w:tcPr>
            <w:tcW w:w="1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Ltd.</w:t>
            </w: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KPSJ P Co 1 Limited</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2"/>
              </w:rPr>
              <w:t>Jersey</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Limited Shares</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KP Services (Jersey)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KPSJ P Co 2 Limited</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2"/>
              </w:rPr>
              <w:t>Jersey</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Limited Shares</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KP Services (Jersey)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Laboratoires Kodak</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France</w:t>
            </w:r>
          </w:p>
        </w:tc>
        <w:tc>
          <w:tcPr>
            <w:tcW w:w="11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454,399</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S.A.S.</w:t>
            </w: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Miraclon Belgium</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Belgium</w:t>
            </w:r>
          </w:p>
        </w:tc>
        <w:tc>
          <w:tcPr>
            <w:tcW w:w="11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99%</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Miraclon Corporation</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Miraclon Europe</w:t>
            </w:r>
          </w:p>
        </w:tc>
        <w:tc>
          <w:tcPr>
            <w:tcW w:w="16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Miraclon Canada, Inc.</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Canada</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Miraclon Corporation</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Miraclon</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Mexico</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80,000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80,000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99%</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Miraclon Corporation</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Comercializadora, S.A. de</w:t>
            </w:r>
          </w:p>
        </w:tc>
        <w:tc>
          <w:tcPr>
            <w:tcW w:w="1100" w:type="dxa"/>
            <w:vAlign w:val="bottom"/>
            <w:tcBorders>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960" w:type="dxa"/>
            <w:vAlign w:val="bottom"/>
            <w:tcBorders>
              <w:left w:val="single" w:sz="8" w:color="auto"/>
              <w:right w:val="single" w:sz="8" w:color="auto"/>
            </w:tcBorders>
            <w:vMerge w:val="continue"/>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w w:val="97"/>
              </w:rPr>
              <w:t>1%</w:t>
            </w:r>
          </w:p>
        </w:tc>
        <w:tc>
          <w:tcPr>
            <w:tcW w:w="16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w w:val="99"/>
              </w:rPr>
              <w:t>Miraclon de Mexico,</w:t>
            </w:r>
          </w:p>
        </w:tc>
        <w:tc>
          <w:tcPr>
            <w:tcW w:w="16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C.V.</w:t>
            </w:r>
          </w:p>
        </w:tc>
        <w:tc>
          <w:tcPr>
            <w:tcW w:w="110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 de C.V.</w:t>
            </w:r>
          </w:p>
        </w:tc>
        <w:tc>
          <w:tcPr>
            <w:tcW w:w="166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Miraclon Corporation</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100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100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Eastman Kodak</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6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48" w:name="page249"/>
    <w:bookmarkEnd w:id="248"/>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Subsidiary</w:t>
            </w:r>
          </w:p>
        </w:tc>
        <w:tc>
          <w:tcPr>
            <w:tcW w:w="1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Jurisdiction</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Class of Equity</w:t>
            </w:r>
          </w:p>
        </w:tc>
        <w:tc>
          <w:tcPr>
            <w:tcW w:w="1560" w:type="dxa"/>
            <w:vAlign w:val="bottom"/>
            <w:tcBorders>
              <w:top w:val="single" w:sz="8" w:color="auto"/>
            </w:tcBorders>
            <w:shd w:val="clear" w:color="auto" w:fill="D9D9D9"/>
          </w:tcPr>
          <w:p>
            <w:pPr>
              <w:jc w:val="center"/>
              <w:ind w:left="31"/>
              <w:spacing w:after="0"/>
              <w:rPr>
                <w:sz w:val="20"/>
                <w:szCs w:val="20"/>
                <w:color w:val="auto"/>
              </w:rPr>
            </w:pPr>
            <w:r>
              <w:rPr>
                <w:rFonts w:ascii="Arial" w:cs="Arial" w:eastAsia="Arial" w:hAnsi="Arial"/>
                <w:sz w:val="18"/>
                <w:szCs w:val="18"/>
                <w:color w:val="auto"/>
                <w:w w:val="87"/>
              </w:rPr>
              <w:t>Number of Shares</w:t>
            </w:r>
          </w:p>
        </w:tc>
        <w:tc>
          <w:tcPr>
            <w:tcW w:w="140" w:type="dxa"/>
            <w:vAlign w:val="bottom"/>
            <w:tcBorders>
              <w:top w:val="single" w:sz="8" w:color="auto"/>
              <w:right w:val="single" w:sz="8" w:color="auto"/>
            </w:tcBorders>
            <w:shd w:val="clear" w:color="auto" w:fill="D9D9D9"/>
          </w:tcPr>
          <w:p>
            <w:pPr>
              <w:spacing w:after="0"/>
              <w:rPr>
                <w:sz w:val="18"/>
                <w:szCs w:val="18"/>
                <w:color w:val="auto"/>
              </w:rPr>
            </w:pP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Number of</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Percentage of</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Parent Entity</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Number of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of</w:t>
            </w:r>
          </w:p>
        </w:tc>
        <w:tc>
          <w:tcPr>
            <w:tcW w:w="1140" w:type="dxa"/>
            <w:vAlign w:val="bottom"/>
            <w:tcBorders>
              <w:right w:val="single" w:sz="8" w:color="auto"/>
            </w:tcBorders>
            <w:shd w:val="clear" w:color="auto" w:fill="D9D9D9"/>
          </w:tcPr>
          <w:p>
            <w:pPr>
              <w:spacing w:after="0"/>
              <w:rPr>
                <w:sz w:val="18"/>
                <w:szCs w:val="18"/>
                <w:color w:val="auto"/>
              </w:rPr>
            </w:pPr>
          </w:p>
        </w:tc>
        <w:tc>
          <w:tcPr>
            <w:tcW w:w="1560" w:type="dxa"/>
            <w:vAlign w:val="bottom"/>
            <w:shd w:val="clear" w:color="auto" w:fill="D9D9D9"/>
          </w:tcPr>
          <w:p>
            <w:pPr>
              <w:jc w:val="center"/>
              <w:ind w:left="31"/>
              <w:spacing w:after="0"/>
              <w:rPr>
                <w:sz w:val="20"/>
                <w:szCs w:val="20"/>
                <w:color w:val="auto"/>
              </w:rPr>
            </w:pPr>
            <w:r>
              <w:rPr>
                <w:rFonts w:ascii="Arial" w:cs="Arial" w:eastAsia="Arial" w:hAnsi="Arial"/>
                <w:sz w:val="18"/>
                <w:szCs w:val="18"/>
                <w:color w:val="auto"/>
                <w:w w:val="92"/>
              </w:rPr>
              <w:t>Authorized</w:t>
            </w:r>
          </w:p>
        </w:tc>
        <w:tc>
          <w:tcPr>
            <w:tcW w:w="14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4"/>
              </w:rPr>
              <w:t>Shares</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Shares Owned</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Covered by all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Formation</w:t>
            </w:r>
          </w:p>
        </w:tc>
        <w:tc>
          <w:tcPr>
            <w:tcW w:w="1140" w:type="dxa"/>
            <w:vAlign w:val="bottom"/>
            <w:tcBorders>
              <w:right w:val="single" w:sz="8" w:color="auto"/>
            </w:tcBorders>
            <w:shd w:val="clear" w:color="auto" w:fill="D9D9D9"/>
          </w:tcPr>
          <w:p>
            <w:pPr>
              <w:spacing w:after="0"/>
              <w:rPr>
                <w:sz w:val="18"/>
                <w:szCs w:val="18"/>
                <w:color w:val="auto"/>
              </w:rPr>
            </w:pPr>
          </w:p>
        </w:tc>
        <w:tc>
          <w:tcPr>
            <w:tcW w:w="156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by Parent</w:t>
            </w:r>
          </w:p>
        </w:tc>
        <w:tc>
          <w:tcPr>
            <w:tcW w:w="170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16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56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Entity</w:t>
            </w:r>
          </w:p>
        </w:tc>
        <w:tc>
          <w:tcPr>
            <w:tcW w:w="1700" w:type="dxa"/>
            <w:vAlign w:val="bottom"/>
            <w:tcBorders>
              <w:bottom w:val="single" w:sz="8" w:color="auto"/>
              <w:right w:val="single" w:sz="8" w:color="auto"/>
            </w:tcBorders>
            <w:shd w:val="clear" w:color="auto" w:fill="D9D9D9"/>
          </w:tcPr>
          <w:p>
            <w:pPr>
              <w:spacing w:after="0"/>
              <w:rPr>
                <w:sz w:val="19"/>
                <w:szCs w:val="19"/>
                <w:color w:val="auto"/>
              </w:rPr>
            </w:pP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Derivatives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Miraclon de Mexico,</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Mexico</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7"/>
              </w:rPr>
              <w:t>80,000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80,000</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99%</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Miraclon Corporation</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S.A. de</w:t>
            </w:r>
          </w:p>
        </w:tc>
        <w:tc>
          <w:tcPr>
            <w:tcW w:w="116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56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740" w:type="dxa"/>
            <w:vAlign w:val="bottom"/>
            <w:tcBorders>
              <w:left w:val="single" w:sz="8" w:color="auto"/>
              <w:right w:val="single" w:sz="8" w:color="auto"/>
            </w:tcBorders>
            <w:vMerge w:val="continue"/>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w w:val="97"/>
              </w:rPr>
              <w:t>1%</w:t>
            </w:r>
          </w:p>
        </w:tc>
        <w:tc>
          <w:tcPr>
            <w:tcW w:w="170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Miraclon</w:t>
            </w:r>
          </w:p>
        </w:tc>
        <w:tc>
          <w:tcPr>
            <w:tcW w:w="17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C.V.</w:t>
            </w:r>
          </w:p>
        </w:tc>
        <w:tc>
          <w:tcPr>
            <w:tcW w:w="11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Comercializadora, S.A.</w:t>
            </w:r>
          </w:p>
        </w:tc>
        <w:tc>
          <w:tcPr>
            <w:tcW w:w="17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de C.V.</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Miraclon Europe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England</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Ordinary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79"/>
              </w:rPr>
              <w:t>1</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1</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Miraclon Corporation</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Miraclon India Private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India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Equity shares</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8"/>
              </w:rPr>
              <w:t>9,999</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9,999</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Miraclon Corporation</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Miraclon Israel Ltd.</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Israel</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Ordinary stock</w:t>
            </w:r>
          </w:p>
        </w:tc>
        <w:tc>
          <w:tcPr>
            <w:tcW w:w="1560" w:type="dxa"/>
            <w:vAlign w:val="bottom"/>
            <w:tcBorders>
              <w:bottom w:val="single" w:sz="8" w:color="auto"/>
            </w:tcBorders>
          </w:tcPr>
          <w:p>
            <w:pPr>
              <w:jc w:val="center"/>
              <w:ind w:left="31"/>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Miraclon Corporation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Miraclon Singapore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Singapore</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Ordinary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79"/>
              </w:rPr>
              <w:t>2</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2</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Miraclon Corporation</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Pte. Ltd.</w:t>
            </w:r>
          </w:p>
        </w:tc>
        <w:tc>
          <w:tcPr>
            <w:tcW w:w="116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Kodak (Singapore) Pte.</w:t>
            </w:r>
          </w:p>
        </w:tc>
        <w:tc>
          <w:tcPr>
            <w:tcW w:w="17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Ltd.</w:t>
            </w: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RPB Marketing</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1"/>
              </w:rPr>
              <w:t>Japan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93"/>
              </w:rPr>
              <w:t>100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3</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Kodak Japan Ltd.</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Shanghai Da Hai</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140" w:type="dxa"/>
            <w:vAlign w:val="bottom"/>
            <w:tcBorders>
              <w:right w:val="single" w:sz="8" w:color="auto"/>
            </w:tcBorders>
          </w:tcPr>
          <w:p>
            <w:pPr>
              <w:spacing w:after="0"/>
              <w:rPr>
                <w:sz w:val="16"/>
                <w:szCs w:val="16"/>
                <w:color w:val="auto"/>
              </w:rPr>
            </w:pP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75%</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Kodak (China)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Camera Co., Ltd.</w:t>
            </w: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Investment Company</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7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Kodak (China) Limited</w:t>
            </w: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Yamanashi RPB</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1"/>
              </w:rPr>
              <w:t>Japan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w:t>
            </w:r>
          </w:p>
        </w:tc>
        <w:tc>
          <w:tcPr>
            <w:tcW w:w="156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7"/>
              </w:rPr>
              <w:t>32,000</w:t>
            </w:r>
          </w:p>
        </w:tc>
        <w:tc>
          <w:tcPr>
            <w:tcW w:w="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31,227</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Kodak Japan Ltd.</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Supply Company</w:t>
            </w: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3"/>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gridSpan w:val="2"/>
          </w:tcPr>
          <w:p>
            <w:pPr>
              <w:jc w:val="right"/>
              <w:ind w:right="1031"/>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49" w:name="page250"/>
    <w:bookmarkEnd w:id="249"/>
    <w:p>
      <w:pPr>
        <w:jc w:val="center"/>
        <w:ind w:right="-20"/>
        <w:spacing w:after="0"/>
        <w:rPr>
          <w:sz w:val="20"/>
          <w:szCs w:val="20"/>
          <w:color w:val="auto"/>
        </w:rPr>
      </w:pPr>
      <w:r>
        <w:rPr>
          <w:rFonts w:ascii="Arial" w:cs="Arial" w:eastAsia="Arial" w:hAnsi="Arial"/>
          <w:sz w:val="18"/>
          <w:szCs w:val="18"/>
          <w:color w:val="auto"/>
        </w:rPr>
        <w:t>SCHEDULE I</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INVESTMENT PROPERTY</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PART IV</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OTHER INVESTMENT PROPERTY</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50" w:name="page251"/>
    <w:bookmarkEnd w:id="250"/>
    <w:p>
      <w:pPr>
        <w:jc w:val="both"/>
        <w:ind w:left="40" w:right="40" w:hanging="7"/>
        <w:spacing w:after="0" w:line="285" w:lineRule="auto"/>
        <w:tabs>
          <w:tab w:leader="none" w:pos="35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has been omitted from public filing pursuant to a request for confidential treatment submitted to the U.S. Securities and Exchange Commission. The omitted information, which has been identified with the symbol “***,” has been filed separately with the</w:t>
      </w:r>
    </w:p>
    <w:p>
      <w:pPr>
        <w:ind w:left="1440"/>
        <w:spacing w:after="0"/>
        <w:rPr>
          <w:rFonts w:ascii="Arial" w:cs="Arial" w:eastAsia="Arial" w:hAnsi="Arial"/>
          <w:sz w:val="16"/>
          <w:szCs w:val="16"/>
          <w:color w:val="auto"/>
        </w:rPr>
      </w:pPr>
      <w:r>
        <w:rPr>
          <w:rFonts w:ascii="Arial" w:cs="Arial" w:eastAsia="Arial" w:hAnsi="Arial"/>
          <w:sz w:val="18"/>
          <w:szCs w:val="18"/>
          <w:color w:val="auto"/>
        </w:rPr>
        <w:t>U.S. Securities and Exchange Commission pursuant to Rule 24b-2 of the Securities Exchange Act of 1934, as amended.</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II</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DEPOSIT ACCOUNTS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30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Grantor</w:t>
            </w:r>
          </w:p>
        </w:tc>
        <w:tc>
          <w:tcPr>
            <w:tcW w:w="22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Name and Address</w:t>
            </w:r>
          </w:p>
        </w:tc>
        <w:tc>
          <w:tcPr>
            <w:tcW w:w="2280" w:type="dxa"/>
            <w:vAlign w:val="bottom"/>
            <w:tcBorders>
              <w:top w:val="single" w:sz="8" w:color="auto"/>
              <w:right w:val="single" w:sz="8" w:color="auto"/>
            </w:tcBorders>
            <w:shd w:val="clear" w:color="auto" w:fill="D9D9D9"/>
          </w:tcPr>
          <w:p>
            <w:pPr>
              <w:ind w:left="520"/>
              <w:spacing w:after="0"/>
              <w:rPr>
                <w:sz w:val="20"/>
                <w:szCs w:val="20"/>
                <w:color w:val="auto"/>
              </w:rPr>
            </w:pPr>
            <w:r>
              <w:rPr>
                <w:rFonts w:ascii="Arial" w:cs="Arial" w:eastAsia="Arial" w:hAnsi="Arial"/>
                <w:sz w:val="18"/>
                <w:szCs w:val="18"/>
                <w:color w:val="auto"/>
              </w:rPr>
              <w:t>Account Number</w:t>
            </w:r>
          </w:p>
        </w:tc>
        <w:tc>
          <w:tcPr>
            <w:tcW w:w="22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Contact</w:t>
            </w:r>
          </w:p>
        </w:tc>
        <w:tc>
          <w:tcPr>
            <w:tcW w:w="22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Contact</w:t>
            </w:r>
          </w:p>
        </w:tc>
        <w:tc>
          <w:tcPr>
            <w:tcW w:w="20" w:type="dxa"/>
            <w:vAlign w:val="bottom"/>
          </w:tcPr>
          <w:p>
            <w:pPr>
              <w:spacing w:after="0"/>
              <w:rPr>
                <w:sz w:val="18"/>
                <w:szCs w:val="18"/>
                <w:color w:val="auto"/>
              </w:rPr>
            </w:pPr>
          </w:p>
        </w:tc>
      </w:tr>
      <w:tr>
        <w:trPr>
          <w:trHeight w:val="225"/>
        </w:trPr>
        <w:tc>
          <w:tcPr>
            <w:tcW w:w="23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2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of Bank</w:t>
            </w:r>
          </w:p>
        </w:tc>
        <w:tc>
          <w:tcPr>
            <w:tcW w:w="2280" w:type="dxa"/>
            <w:vAlign w:val="bottom"/>
            <w:tcBorders>
              <w:bottom w:val="single" w:sz="8" w:color="auto"/>
              <w:right w:val="single" w:sz="8" w:color="auto"/>
            </w:tcBorders>
            <w:shd w:val="clear" w:color="auto" w:fill="D9D9D9"/>
          </w:tcPr>
          <w:p>
            <w:pPr>
              <w:spacing w:after="0"/>
              <w:rPr>
                <w:sz w:val="19"/>
                <w:szCs w:val="19"/>
                <w:color w:val="auto"/>
              </w:rPr>
            </w:pPr>
          </w:p>
        </w:tc>
        <w:tc>
          <w:tcPr>
            <w:tcW w:w="2280" w:type="dxa"/>
            <w:vAlign w:val="bottom"/>
            <w:tcBorders>
              <w:bottom w:val="single" w:sz="8" w:color="auto"/>
              <w:right w:val="single" w:sz="8" w:color="auto"/>
            </w:tcBorders>
            <w:shd w:val="clear" w:color="auto" w:fill="D9D9D9"/>
          </w:tcPr>
          <w:p>
            <w:pPr>
              <w:spacing w:after="0"/>
              <w:rPr>
                <w:sz w:val="19"/>
                <w:szCs w:val="19"/>
                <w:color w:val="auto"/>
              </w:rPr>
            </w:pPr>
          </w:p>
        </w:tc>
        <w:tc>
          <w:tcPr>
            <w:tcW w:w="2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Information</w:t>
            </w:r>
          </w:p>
        </w:tc>
        <w:tc>
          <w:tcPr>
            <w:tcW w:w="20" w:type="dxa"/>
            <w:vAlign w:val="bottom"/>
          </w:tcPr>
          <w:p>
            <w:pPr>
              <w:spacing w:after="0"/>
              <w:rPr>
                <w:sz w:val="19"/>
                <w:szCs w:val="19"/>
                <w:color w:val="auto"/>
              </w:rPr>
            </w:pPr>
          </w:p>
        </w:tc>
      </w:tr>
      <w:tr>
        <w:trPr>
          <w:trHeight w:val="207"/>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Company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7"/>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Company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7"/>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Company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7"/>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Company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7"/>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Company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7"/>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Company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632"/>
        </w:trPr>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51" w:name="page252"/>
    <w:bookmarkEnd w:id="251"/>
    <w:p>
      <w:pPr>
        <w:jc w:val="both"/>
        <w:ind w:left="40" w:right="40" w:hanging="7"/>
        <w:spacing w:after="0" w:line="285" w:lineRule="auto"/>
        <w:tabs>
          <w:tab w:leader="none" w:pos="35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Certain confidential information contained in this document has been omitted from public filing pursuant to a request for confidential treatment submitted to the U.S. Securities and Exchange Commission. The omitted information, which has been identified with the symbol “***,” has been filed separately with the</w:t>
      </w:r>
    </w:p>
    <w:p>
      <w:pPr>
        <w:ind w:left="1440"/>
        <w:spacing w:after="0"/>
        <w:rPr>
          <w:rFonts w:ascii="Arial" w:cs="Arial" w:eastAsia="Arial" w:hAnsi="Arial"/>
          <w:sz w:val="16"/>
          <w:szCs w:val="16"/>
          <w:color w:val="auto"/>
        </w:rPr>
      </w:pPr>
      <w:r>
        <w:rPr>
          <w:rFonts w:ascii="Arial" w:cs="Arial" w:eastAsia="Arial" w:hAnsi="Arial"/>
          <w:sz w:val="18"/>
          <w:szCs w:val="18"/>
          <w:color w:val="auto"/>
        </w:rPr>
        <w:t>U.S. Securities and Exchange Commission pursuant to Rule 24b-2 of the Securities Exchange Act of 1934, as amended.</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FOREIGN DEPOSIT ACCOUNTS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70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Account Holder</w:t>
            </w:r>
          </w:p>
        </w:tc>
        <w:tc>
          <w:tcPr>
            <w:tcW w:w="36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Account Number</w:t>
            </w:r>
          </w:p>
        </w:tc>
        <w:tc>
          <w:tcPr>
            <w:tcW w:w="28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Branch Name</w:t>
            </w:r>
          </w:p>
        </w:tc>
        <w:tc>
          <w:tcPr>
            <w:tcW w:w="260" w:type="dxa"/>
            <w:vAlign w:val="bottom"/>
          </w:tcPr>
          <w:p>
            <w:pPr>
              <w:spacing w:after="0"/>
              <w:rPr>
                <w:sz w:val="19"/>
                <w:szCs w:val="19"/>
                <w:color w:val="auto"/>
              </w:rPr>
            </w:pPr>
          </w:p>
        </w:tc>
      </w:tr>
      <w:tr>
        <w:trPr>
          <w:trHeight w:val="227"/>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Kodak (Near East), Inc.</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r>
      <w:tr>
        <w:trPr>
          <w:trHeight w:val="233"/>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Kodak (Near East), Inc.</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r>
      <w:tr>
        <w:trPr>
          <w:trHeight w:val="233"/>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Kodak (Near East), Inc.</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r>
      <w:tr>
        <w:trPr>
          <w:trHeight w:val="233"/>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Kodak Polychrome Graphics Company LTD</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r>
      <w:tr>
        <w:trPr>
          <w:trHeight w:val="233"/>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Kodak Polychrome Graphics Finance Barbados SRL</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r>
      <w:tr>
        <w:trPr>
          <w:trHeight w:val="639"/>
        </w:trPr>
        <w:tc>
          <w:tcPr>
            <w:tcW w:w="4700" w:type="dxa"/>
            <w:vAlign w:val="bottom"/>
          </w:tcPr>
          <w:p>
            <w:pPr>
              <w:spacing w:after="0"/>
              <w:rPr>
                <w:sz w:val="24"/>
                <w:szCs w:val="24"/>
                <w:color w:val="auto"/>
              </w:rPr>
            </w:pPr>
          </w:p>
        </w:tc>
        <w:tc>
          <w:tcPr>
            <w:tcW w:w="3660" w:type="dxa"/>
            <w:vAlign w:val="bottom"/>
          </w:tcPr>
          <w:p>
            <w:pPr>
              <w:jc w:val="right"/>
              <w:ind w:right="2471"/>
              <w:spacing w:after="0"/>
              <w:rPr>
                <w:sz w:val="20"/>
                <w:szCs w:val="20"/>
                <w:color w:val="auto"/>
              </w:rPr>
            </w:pPr>
            <w:r>
              <w:rPr>
                <w:rFonts w:ascii="Arial" w:cs="Arial" w:eastAsia="Arial" w:hAnsi="Arial"/>
                <w:sz w:val="18"/>
                <w:szCs w:val="18"/>
                <w:color w:val="auto"/>
              </w:rPr>
              <w:t>11</w:t>
            </w: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color w:val="auto"/>
        </w:rPr>
        <w:t>SCHEDULE III</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RECEIVABLES AND AGREEMENT COLLATERAL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24"/>
        </w:trPr>
        <w:tc>
          <w:tcPr>
            <w:tcW w:w="2420" w:type="dxa"/>
            <w:vAlign w:val="bottom"/>
          </w:tcPr>
          <w:p>
            <w:pPr>
              <w:spacing w:after="0"/>
              <w:rPr>
                <w:sz w:val="19"/>
                <w:szCs w:val="19"/>
                <w:color w:val="auto"/>
              </w:rPr>
            </w:pPr>
          </w:p>
        </w:tc>
        <w:tc>
          <w:tcPr>
            <w:tcW w:w="9020" w:type="dxa"/>
            <w:vAlign w:val="bottom"/>
          </w:tcPr>
          <w:p>
            <w:pPr>
              <w:jc w:val="center"/>
              <w:ind w:right="2331"/>
              <w:spacing w:after="0"/>
              <w:rPr>
                <w:sz w:val="20"/>
                <w:szCs w:val="20"/>
                <w:color w:val="auto"/>
              </w:rPr>
            </w:pPr>
            <w:r>
              <w:rPr>
                <w:rFonts w:ascii="Arial" w:cs="Arial" w:eastAsia="Arial" w:hAnsi="Arial"/>
                <w:sz w:val="18"/>
                <w:szCs w:val="18"/>
                <w:color w:val="auto"/>
                <w:w w:val="96"/>
              </w:rPr>
              <w:t>SCHEDULE IV</w:t>
            </w:r>
          </w:p>
        </w:tc>
      </w:tr>
      <w:tr>
        <w:trPr>
          <w:trHeight w:val="320"/>
        </w:trPr>
        <w:tc>
          <w:tcPr>
            <w:tcW w:w="2420" w:type="dxa"/>
            <w:vAlign w:val="bottom"/>
          </w:tcPr>
          <w:p>
            <w:pPr>
              <w:spacing w:after="0"/>
              <w:rPr>
                <w:sz w:val="24"/>
                <w:szCs w:val="24"/>
                <w:color w:val="auto"/>
              </w:rPr>
            </w:pPr>
          </w:p>
        </w:tc>
        <w:tc>
          <w:tcPr>
            <w:tcW w:w="9020" w:type="dxa"/>
            <w:vAlign w:val="bottom"/>
          </w:tcPr>
          <w:p>
            <w:pPr>
              <w:jc w:val="center"/>
              <w:ind w:right="2351"/>
              <w:spacing w:after="0"/>
              <w:rPr>
                <w:sz w:val="20"/>
                <w:szCs w:val="20"/>
                <w:color w:val="auto"/>
              </w:rPr>
            </w:pPr>
            <w:r>
              <w:rPr>
                <w:rFonts w:ascii="Arial" w:cs="Arial" w:eastAsia="Arial" w:hAnsi="Arial"/>
                <w:sz w:val="18"/>
                <w:szCs w:val="18"/>
                <w:color w:val="auto"/>
                <w:w w:val="95"/>
              </w:rPr>
              <w:t>INTELLECTUAL PROPERTY</w:t>
            </w:r>
          </w:p>
        </w:tc>
      </w:tr>
      <w:tr>
        <w:trPr>
          <w:trHeight w:val="427"/>
        </w:trPr>
        <w:tc>
          <w:tcPr>
            <w:tcW w:w="2420" w:type="dxa"/>
            <w:vAlign w:val="bottom"/>
          </w:tcPr>
          <w:p>
            <w:pPr>
              <w:spacing w:after="0"/>
              <w:rPr>
                <w:sz w:val="24"/>
                <w:szCs w:val="24"/>
                <w:color w:val="auto"/>
              </w:rPr>
            </w:pPr>
          </w:p>
        </w:tc>
        <w:tc>
          <w:tcPr>
            <w:tcW w:w="9020" w:type="dxa"/>
            <w:vAlign w:val="bottom"/>
          </w:tcPr>
          <w:p>
            <w:pPr>
              <w:jc w:val="center"/>
              <w:ind w:right="2351"/>
              <w:spacing w:after="0"/>
              <w:rPr>
                <w:sz w:val="20"/>
                <w:szCs w:val="20"/>
                <w:color w:val="auto"/>
              </w:rPr>
            </w:pPr>
            <w:r>
              <w:rPr>
                <w:rFonts w:ascii="Arial" w:cs="Arial" w:eastAsia="Arial" w:hAnsi="Arial"/>
                <w:sz w:val="18"/>
                <w:szCs w:val="18"/>
                <w:color w:val="auto"/>
                <w:w w:val="92"/>
              </w:rPr>
              <w:t>PART I</w:t>
            </w:r>
          </w:p>
        </w:tc>
      </w:tr>
      <w:tr>
        <w:trPr>
          <w:trHeight w:val="320"/>
        </w:trPr>
        <w:tc>
          <w:tcPr>
            <w:tcW w:w="2420" w:type="dxa"/>
            <w:vAlign w:val="bottom"/>
          </w:tcPr>
          <w:p>
            <w:pPr>
              <w:spacing w:after="0"/>
              <w:rPr>
                <w:sz w:val="24"/>
                <w:szCs w:val="24"/>
                <w:color w:val="auto"/>
              </w:rPr>
            </w:pPr>
          </w:p>
        </w:tc>
        <w:tc>
          <w:tcPr>
            <w:tcW w:w="9020" w:type="dxa"/>
            <w:vAlign w:val="bottom"/>
          </w:tcPr>
          <w:p>
            <w:pPr>
              <w:jc w:val="center"/>
              <w:ind w:right="2331"/>
              <w:spacing w:after="0"/>
              <w:rPr>
                <w:sz w:val="20"/>
                <w:szCs w:val="20"/>
                <w:color w:val="auto"/>
              </w:rPr>
            </w:pPr>
            <w:r>
              <w:rPr>
                <w:rFonts w:ascii="Arial" w:cs="Arial" w:eastAsia="Arial" w:hAnsi="Arial"/>
                <w:sz w:val="18"/>
                <w:szCs w:val="18"/>
                <w:color w:val="auto"/>
                <w:w w:val="85"/>
              </w:rPr>
              <w:t>Patents</w:t>
            </w:r>
          </w:p>
        </w:tc>
      </w:tr>
      <w:tr>
        <w:trPr>
          <w:trHeight w:val="320"/>
        </w:trPr>
        <w:tc>
          <w:tcPr>
            <w:tcW w:w="2420" w:type="dxa"/>
            <w:vAlign w:val="bottom"/>
          </w:tcPr>
          <w:p>
            <w:pPr>
              <w:jc w:val="right"/>
              <w:ind w:right="2071"/>
              <w:spacing w:after="0"/>
              <w:rPr>
                <w:sz w:val="20"/>
                <w:szCs w:val="20"/>
                <w:color w:val="auto"/>
              </w:rPr>
            </w:pPr>
            <w:r>
              <w:rPr>
                <w:rFonts w:ascii="Arial" w:cs="Arial" w:eastAsia="Arial" w:hAnsi="Arial"/>
                <w:sz w:val="18"/>
                <w:szCs w:val="18"/>
                <w:color w:val="auto"/>
              </w:rPr>
              <w:t>1.</w:t>
            </w:r>
          </w:p>
        </w:tc>
        <w:tc>
          <w:tcPr>
            <w:tcW w:w="9020" w:type="dxa"/>
            <w:vAlign w:val="bottom"/>
          </w:tcPr>
          <w:p>
            <w:pPr>
              <w:ind w:left="2940"/>
              <w:spacing w:after="0"/>
              <w:rPr>
                <w:sz w:val="20"/>
                <w:szCs w:val="20"/>
                <w:color w:val="auto"/>
              </w:rPr>
            </w:pPr>
            <w:r>
              <w:rPr>
                <w:rFonts w:ascii="Arial" w:cs="Arial" w:eastAsia="Arial" w:hAnsi="Arial"/>
                <w:sz w:val="18"/>
                <w:szCs w:val="18"/>
                <w:color w:val="auto"/>
              </w:rPr>
              <w:t>See Annex 4.1.</w:t>
            </w:r>
          </w:p>
        </w:tc>
      </w:tr>
      <w:tr>
        <w:trPr>
          <w:trHeight w:val="427"/>
        </w:trPr>
        <w:tc>
          <w:tcPr>
            <w:tcW w:w="2420" w:type="dxa"/>
            <w:vAlign w:val="bottom"/>
          </w:tcPr>
          <w:p>
            <w:pPr>
              <w:spacing w:after="0"/>
              <w:rPr>
                <w:sz w:val="24"/>
                <w:szCs w:val="24"/>
                <w:color w:val="auto"/>
              </w:rPr>
            </w:pPr>
          </w:p>
        </w:tc>
        <w:tc>
          <w:tcPr>
            <w:tcW w:w="9020" w:type="dxa"/>
            <w:vAlign w:val="bottom"/>
          </w:tcPr>
          <w:p>
            <w:pPr>
              <w:jc w:val="center"/>
              <w:ind w:right="2351"/>
              <w:spacing w:after="0"/>
              <w:rPr>
                <w:sz w:val="20"/>
                <w:szCs w:val="20"/>
                <w:color w:val="auto"/>
              </w:rPr>
            </w:pPr>
            <w:r>
              <w:rPr>
                <w:rFonts w:ascii="Arial" w:cs="Arial" w:eastAsia="Arial" w:hAnsi="Arial"/>
                <w:sz w:val="18"/>
                <w:szCs w:val="18"/>
                <w:color w:val="auto"/>
                <w:w w:val="89"/>
              </w:rPr>
              <w:t>13</w:t>
            </w:r>
          </w:p>
        </w:tc>
      </w:tr>
      <w:tr>
        <w:trPr>
          <w:trHeight w:val="115"/>
        </w:trPr>
        <w:tc>
          <w:tcPr>
            <w:tcW w:w="2420" w:type="dxa"/>
            <w:vAlign w:val="bottom"/>
            <w:tcBorders>
              <w:bottom w:val="single" w:sz="8" w:color="9A9A9A"/>
            </w:tcBorders>
          </w:tcPr>
          <w:p>
            <w:pPr>
              <w:spacing w:after="0"/>
              <w:rPr>
                <w:sz w:val="9"/>
                <w:szCs w:val="9"/>
                <w:color w:val="auto"/>
              </w:rPr>
            </w:pPr>
          </w:p>
        </w:tc>
        <w:tc>
          <w:tcPr>
            <w:tcW w:w="9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54" w:name="page255"/>
    <w:bookmarkEnd w:id="254"/>
    <w:p>
      <w:pPr>
        <w:ind w:left="5180"/>
        <w:spacing w:after="0"/>
        <w:rPr>
          <w:sz w:val="20"/>
          <w:szCs w:val="20"/>
          <w:color w:val="auto"/>
        </w:rPr>
      </w:pPr>
      <w:r>
        <w:rPr>
          <w:rFonts w:ascii="Arial" w:cs="Arial" w:eastAsia="Arial" w:hAnsi="Arial"/>
          <w:sz w:val="18"/>
          <w:szCs w:val="18"/>
          <w:color w:val="auto"/>
        </w:rPr>
        <w:t>Trademarks</w:t>
      </w:r>
    </w:p>
    <w:p>
      <w:pPr>
        <w:spacing w:after="0" w:line="113" w:lineRule="exact"/>
        <w:rPr>
          <w:sz w:val="20"/>
          <w:szCs w:val="20"/>
          <w:color w:val="auto"/>
        </w:rPr>
      </w:pPr>
    </w:p>
    <w:p>
      <w:pPr>
        <w:spacing w:after="0"/>
        <w:tabs>
          <w:tab w:leader="none" w:pos="52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See Annex 4.2.</w:t>
      </w:r>
    </w:p>
    <w:p>
      <w:pPr>
        <w:spacing w:after="0" w:line="2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66675</wp:posOffset>
            </wp:positionV>
            <wp:extent cx="729043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55" w:name="page256"/>
    <w:bookmarkEnd w:id="255"/>
    <w:p>
      <w:pPr>
        <w:jc w:val="center"/>
        <w:ind w:right="-100"/>
        <w:spacing w:after="0"/>
        <w:rPr>
          <w:sz w:val="20"/>
          <w:szCs w:val="20"/>
          <w:color w:val="auto"/>
        </w:rPr>
      </w:pPr>
      <w:r>
        <w:rPr>
          <w:rFonts w:ascii="Arial" w:cs="Arial" w:eastAsia="Arial" w:hAnsi="Arial"/>
          <w:sz w:val="18"/>
          <w:szCs w:val="18"/>
          <w:color w:val="auto"/>
        </w:rPr>
        <w:t>Domain Names*</w:t>
      </w:r>
    </w:p>
    <w:p>
      <w:pPr>
        <w:spacing w:after="0" w:line="11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*As of May 20, 2016</w:t>
      </w:r>
    </w:p>
    <w:p>
      <w:pPr>
        <w:spacing w:after="0" w:line="243"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adventprinter.com</w:t>
      </w:r>
    </w:p>
    <w:p>
      <w:pPr>
        <w:spacing w:after="0" w:line="17"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analogcloud.com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analoguecloud.com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creo.com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creoservers.com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d2ls.com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design2launch.com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4"/>
          <w:szCs w:val="14"/>
          <w:color w:val="auto"/>
        </w:rPr>
        <w:t>eastmanbusinesspark.com</w:t>
      </w:r>
    </w:p>
    <w:p>
      <w:pPr>
        <w:spacing w:after="0" w:line="52"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encad.com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filmworthy.co</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gallery.com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getnoticed.com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imsibiz.com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kildistributor.com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kodachrome.com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kodak.ac</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kodak.ag</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kodak.am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kodak.as</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kodak.asia</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kodak.at</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kodak.be</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kodak.bi</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kodak.ca</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kodak.cd</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kodak.cg</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kodak.ch</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kodak.cl</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kodak.co.ae</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kodak.co.at</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kodak.co.ck</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kodak.co.gg</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kodak.co.id</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kodak.co.im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kodak.co.in</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kodak.co.je</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kodak.co.jp</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kodak.co.ke</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kodak.co.kr</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kodak.co.ma</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kodak.co.nz</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kodak.co.th</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kodak.co.tt</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kodak.co.uk</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kodak.co.ve</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kodak.co.vi</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kodak.co.za</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kodak.com.ag</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kodak.com.ar</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kodak.com.au</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kodak.com.az</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kodak.com.br</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kodak.com.co</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kodak.com.dm</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kodak.com.do</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kodak.com.ec</w:t>
      </w:r>
    </w:p>
    <w:p>
      <w:pPr>
        <w:spacing w:after="0" w:line="6" w:lineRule="exact"/>
        <w:rPr>
          <w:sz w:val="20"/>
          <w:szCs w:val="20"/>
          <w:color w:val="auto"/>
        </w:rPr>
      </w:pPr>
    </w:p>
    <w:p>
      <w:pPr>
        <w:jc w:val="center"/>
        <w:ind w:right="7239"/>
        <w:spacing w:after="0"/>
        <w:rPr>
          <w:sz w:val="20"/>
          <w:szCs w:val="20"/>
          <w:color w:val="auto"/>
        </w:rPr>
      </w:pPr>
      <w:r>
        <w:rPr>
          <w:rFonts w:ascii="Arial" w:cs="Arial" w:eastAsia="Arial" w:hAnsi="Arial"/>
          <w:sz w:val="18"/>
          <w:szCs w:val="18"/>
          <w:color w:val="auto"/>
        </w:rPr>
        <w:t>kodak.com.fj</w:t>
      </w:r>
    </w:p>
    <w:p>
      <w:pPr>
        <w:sectPr>
          <w:pgSz w:w="11900" w:h="16838" w:orient="portrait"/>
          <w:cols w:equalWidth="0" w:num="1">
            <w:col w:w="9099"/>
          </w:cols>
          <w:pgMar w:left="1360" w:top="127" w:right="1440" w:bottom="1440" w:gutter="0" w:footer="0" w:header="0"/>
        </w:sect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81280</wp:posOffset>
            </wp:positionV>
            <wp:extent cx="729043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99"/>
          </w:cols>
          <w:pgMar w:left="1360" w:top="127" w:right="1440" w:bottom="1440" w:gutter="0" w:footer="0" w:header="0"/>
          <w:type w:val="continuous"/>
        </w:sectPr>
      </w:pPr>
    </w:p>
    <w:bookmarkStart w:id="256" w:name="page257"/>
    <w:bookmarkEnd w:id="256"/>
    <w:p>
      <w:pPr>
        <w:jc w:val="center"/>
        <w:ind w:right="7299"/>
        <w:spacing w:after="0"/>
        <w:rPr>
          <w:sz w:val="20"/>
          <w:szCs w:val="20"/>
          <w:color w:val="auto"/>
        </w:rPr>
      </w:pPr>
      <w:r>
        <w:rPr>
          <w:rFonts w:ascii="Arial" w:cs="Arial" w:eastAsia="Arial" w:hAnsi="Arial"/>
          <w:sz w:val="18"/>
          <w:szCs w:val="18"/>
          <w:color w:val="auto"/>
        </w:rPr>
        <w:t>kodak.com.gi</w:t>
      </w:r>
    </w:p>
    <w:p>
      <w:pPr>
        <w:spacing w:after="0" w:line="17"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kodak.com.gr</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kodak.com.gt</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kodak.com.gy</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kodak.com.hk</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kodak.com.jm</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kodak.com.kn</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kodak.com.lc</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kodak.com.lv</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kodak.com.mt</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kodak.com.mx</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kodak.com.my</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kodak.com.nf</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kodak.com.ni</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kodak.com.pa</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kodak.com.pe</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kodak.com.ph</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kodak.com.pl</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kodak.com.pr</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kodak.com.pt</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kodak.com.ru</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kodak.com.sc</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kodak.com.sg</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kodak.com.sv</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kodak.com.tr</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kodak.com.tw</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kodak.com.ua</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kodak.com.uy</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kodak.com.vc</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kodak.com.ve</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kodak.com.vn</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kodak.cx</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kodak.cz</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kodak.de</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kodak.dk</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kodak.dm</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6"/>
          <w:szCs w:val="16"/>
          <w:color w:val="auto"/>
        </w:rPr>
        <w:t>kodak.dpmlblock</w:t>
      </w:r>
    </w:p>
    <w:p>
      <w:pPr>
        <w:spacing w:after="0" w:line="29"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kodak.ee</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kodak.es</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kodak.eu</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kodak.fi</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kodak.fm</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kodak.fr</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kodak.gd</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kodak.gl</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kodak.gm</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kodak.gr</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kodak.gs</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kodak.gy</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kodak.hm</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kodak.ie</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kodak.in</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kodak.info</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kodak.io</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kodak.is</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kodak.it</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kodak.jp</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kodak.kg</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kodak.kn</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kodak.ky</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kodak.kz</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kodak.la</w:t>
      </w:r>
    </w:p>
    <w:p>
      <w:pPr>
        <w:spacing w:after="0" w:line="6" w:lineRule="exact"/>
        <w:rPr>
          <w:sz w:val="20"/>
          <w:szCs w:val="20"/>
          <w:color w:val="auto"/>
        </w:rPr>
      </w:pPr>
    </w:p>
    <w:p>
      <w:pPr>
        <w:jc w:val="center"/>
        <w:ind w:right="7299"/>
        <w:spacing w:after="0"/>
        <w:rPr>
          <w:sz w:val="20"/>
          <w:szCs w:val="20"/>
          <w:color w:val="auto"/>
        </w:rPr>
      </w:pPr>
      <w:r>
        <w:rPr>
          <w:rFonts w:ascii="Arial" w:cs="Arial" w:eastAsia="Arial" w:hAnsi="Arial"/>
          <w:sz w:val="18"/>
          <w:szCs w:val="18"/>
          <w:color w:val="auto"/>
        </w:rPr>
        <w:t>kodak.li</w:t>
      </w:r>
    </w:p>
    <w:p>
      <w:pPr>
        <w:sectPr>
          <w:pgSz w:w="11900" w:h="16838" w:orient="portrait"/>
          <w:cols w:equalWidth="0" w:num="1">
            <w:col w:w="9019"/>
          </w:cols>
          <w:pgMar w:left="1440" w:top="127" w:right="1440"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81280</wp:posOffset>
            </wp:positionV>
            <wp:extent cx="729043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257" w:name="page258"/>
    <w:bookmarkEnd w:id="257"/>
    <w:p>
      <w:pPr>
        <w:jc w:val="center"/>
        <w:ind w:right="7319"/>
        <w:spacing w:after="0"/>
        <w:rPr>
          <w:sz w:val="20"/>
          <w:szCs w:val="20"/>
          <w:color w:val="auto"/>
        </w:rPr>
      </w:pPr>
      <w:r>
        <w:rPr>
          <w:rFonts w:ascii="Arial" w:cs="Arial" w:eastAsia="Arial" w:hAnsi="Arial"/>
          <w:sz w:val="18"/>
          <w:szCs w:val="18"/>
          <w:color w:val="auto"/>
        </w:rPr>
        <w:t>kodak.lk</w:t>
      </w:r>
    </w:p>
    <w:p>
      <w:pPr>
        <w:spacing w:after="0" w:line="17"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kodak.lt</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kodak.lu</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kodak.lv</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kodak.ly</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kodak.mn</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kodak.mobi</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kodak.ms</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kodak.mw</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kodak.net</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kodak.net.cn</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kodak.nl</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kodak.no</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kodak.nu</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kodak.off.ai</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kodak.org</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kodak.org.cn</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kodak.ph</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kodak.pl</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kodak.pt</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kodak.ru</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kodak.rw</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kodak.sa.com</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kodak.se</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kodak.sh</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kodak.sn</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kodak.st</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kodak.tc</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kodak.tm</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kodak.to</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kodak.tv</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kodak.us</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kodak.vc</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kodak.vg</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kodak.vu</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kodak.ws</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kodak.xxx</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kodakcenter.com</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kodakdeveloper.com</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kodak-dpt.com</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kodakeprint.com</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kodakexpress.asia</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kodakexpress.be</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kodakexpress.biz.pk</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kodakexpress.ch</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kodakexpress.cl</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kodakexpress.cn</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kodakexpress.co</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kodakexpress.co.in</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kodakexpress.co.ke</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kodakexpress.co.kr</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kodakexpress.co.nz</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kodakexpress.co.th</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kodakexpress.co.uk</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kodakexpress.co.ve</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kodakexpress.co.za</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kodakexpress.com</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kodakexpress.com.ar</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4"/>
          <w:szCs w:val="14"/>
          <w:color w:val="auto"/>
        </w:rPr>
        <w:t>kodakexpress.com.au</w:t>
      </w:r>
    </w:p>
    <w:p>
      <w:pPr>
        <w:spacing w:after="0" w:line="52"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kodakexpress.com.br</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4"/>
          <w:szCs w:val="14"/>
          <w:color w:val="auto"/>
        </w:rPr>
        <w:t>kodakexpress.com.cn</w:t>
      </w:r>
    </w:p>
    <w:p>
      <w:pPr>
        <w:spacing w:after="0" w:line="52" w:lineRule="exact"/>
        <w:rPr>
          <w:sz w:val="20"/>
          <w:szCs w:val="20"/>
          <w:color w:val="auto"/>
        </w:rPr>
      </w:pPr>
    </w:p>
    <w:p>
      <w:pPr>
        <w:jc w:val="center"/>
        <w:ind w:right="7319"/>
        <w:spacing w:after="0"/>
        <w:rPr>
          <w:sz w:val="20"/>
          <w:szCs w:val="20"/>
          <w:color w:val="auto"/>
        </w:rPr>
      </w:pPr>
      <w:r>
        <w:rPr>
          <w:rFonts w:ascii="Arial" w:cs="Arial" w:eastAsia="Arial" w:hAnsi="Arial"/>
          <w:sz w:val="14"/>
          <w:szCs w:val="14"/>
          <w:color w:val="auto"/>
        </w:rPr>
        <w:t>kodakexpress.com.do</w:t>
      </w:r>
    </w:p>
    <w:p>
      <w:pPr>
        <w:spacing w:after="0" w:line="52" w:lineRule="exact"/>
        <w:rPr>
          <w:sz w:val="20"/>
          <w:szCs w:val="20"/>
          <w:color w:val="auto"/>
        </w:rPr>
      </w:pPr>
    </w:p>
    <w:p>
      <w:pPr>
        <w:jc w:val="center"/>
        <w:ind w:right="7319"/>
        <w:spacing w:after="0"/>
        <w:rPr>
          <w:sz w:val="20"/>
          <w:szCs w:val="20"/>
          <w:color w:val="auto"/>
        </w:rPr>
      </w:pPr>
      <w:r>
        <w:rPr>
          <w:rFonts w:ascii="Arial" w:cs="Arial" w:eastAsia="Arial" w:hAnsi="Arial"/>
          <w:sz w:val="14"/>
          <w:szCs w:val="14"/>
          <w:color w:val="auto"/>
        </w:rPr>
        <w:t>kodakexpress.com.es</w:t>
      </w:r>
    </w:p>
    <w:p>
      <w:pPr>
        <w:sectPr>
          <w:pgSz w:w="11900" w:h="16838" w:orient="portrait"/>
          <w:cols w:equalWidth="0" w:num="1">
            <w:col w:w="9019"/>
          </w:cols>
          <w:pgMar w:left="1440" w:top="127" w:right="1440"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81280</wp:posOffset>
            </wp:positionV>
            <wp:extent cx="729043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258" w:name="page259"/>
    <w:bookmarkEnd w:id="258"/>
    <w:p>
      <w:pPr>
        <w:jc w:val="center"/>
        <w:ind w:right="7319"/>
        <w:spacing w:after="0"/>
        <w:rPr>
          <w:sz w:val="20"/>
          <w:szCs w:val="20"/>
          <w:color w:val="auto"/>
        </w:rPr>
      </w:pPr>
      <w:r>
        <w:rPr>
          <w:rFonts w:ascii="Arial" w:cs="Arial" w:eastAsia="Arial" w:hAnsi="Arial"/>
          <w:sz w:val="16"/>
          <w:szCs w:val="16"/>
          <w:color w:val="auto"/>
        </w:rPr>
        <w:t>kodakexpress.com.gt</w:t>
      </w:r>
    </w:p>
    <w:p>
      <w:pPr>
        <w:spacing w:after="0" w:line="40"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kodakexpress.com.hk</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kodakexpress.com.lv</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4"/>
          <w:szCs w:val="14"/>
          <w:color w:val="auto"/>
        </w:rPr>
        <w:t>kodakexpress.com.mx</w:t>
      </w:r>
    </w:p>
    <w:p>
      <w:pPr>
        <w:spacing w:after="0" w:line="52" w:lineRule="exact"/>
        <w:rPr>
          <w:sz w:val="20"/>
          <w:szCs w:val="20"/>
          <w:color w:val="auto"/>
        </w:rPr>
      </w:pPr>
    </w:p>
    <w:p>
      <w:pPr>
        <w:jc w:val="center"/>
        <w:ind w:right="7319"/>
        <w:spacing w:after="0"/>
        <w:rPr>
          <w:sz w:val="20"/>
          <w:szCs w:val="20"/>
          <w:color w:val="auto"/>
        </w:rPr>
      </w:pPr>
      <w:r>
        <w:rPr>
          <w:rFonts w:ascii="Arial" w:cs="Arial" w:eastAsia="Arial" w:hAnsi="Arial"/>
          <w:sz w:val="14"/>
          <w:szCs w:val="14"/>
          <w:color w:val="auto"/>
        </w:rPr>
        <w:t>kodakexpress.com.my</w:t>
      </w:r>
    </w:p>
    <w:p>
      <w:pPr>
        <w:spacing w:after="0" w:line="52"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kodakexpress.com.pa</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kodakexpress.com.pe</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kodakexpress.com.ph</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kodakexpress.com.pk</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kodakexpress.com.pr</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kodakexpress.com.sg</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kodakexpress.com.tr</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kodakexpress.com.uy</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kodakexpress.com.ve</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kodakexpress.cz</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kodakexpress.de</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kodak-express.de</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kodakexpress.dk</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kodakexpress.es</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kodakexpress.eu</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kodakexpress.fi</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kodakexpress.fr</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kodakexpress.gr</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kodakexpress.in</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kodakexpress.info</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kodakexpress.it</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kodakexpress.la</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kodakexpress.lv</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kodakexpress.md</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kodakexpress.net</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kodakexpress.nl</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kodak-express.nl</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kodakexpress.org</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kodakexpress.ph</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kodakexpress.pt</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kodakexpress.tm</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kodakexpress.xxx</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kodakgalerie.fr</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kodakgallery.at</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Kodakgallery.ca</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kodakgallery.cl</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kodakgallery.co</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kodakgallery.co.in</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kodakgallery.co.kr</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kodakgallery.co.nz</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kodakgallery.com</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kodakgallery.com.au</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kodakgallery.com.es</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kodakgallery.com.hk</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kodakgallery.com.mx</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6"/>
          <w:szCs w:val="16"/>
          <w:color w:val="auto"/>
        </w:rPr>
        <w:t>kodakgallery.com.my</w:t>
      </w:r>
    </w:p>
    <w:p>
      <w:pPr>
        <w:spacing w:after="0" w:line="29"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kodakgallery.com.ph</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kodakgallery.com.sg</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7"/>
          <w:szCs w:val="17"/>
          <w:color w:val="auto"/>
        </w:rPr>
        <w:t>kodakgallery.com.tw</w:t>
      </w:r>
    </w:p>
    <w:p>
      <w:pPr>
        <w:spacing w:after="0" w:line="18"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kodakgallery.cz</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kodakgallery.de</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kodakgallery.es</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kodakgallery.eu</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kodakgallery.info</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kodakgallery.it</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kodakgallery.org</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kodakgallery.se</w:t>
      </w:r>
    </w:p>
    <w:p>
      <w:pPr>
        <w:spacing w:after="0" w:line="6" w:lineRule="exact"/>
        <w:rPr>
          <w:sz w:val="20"/>
          <w:szCs w:val="20"/>
          <w:color w:val="auto"/>
        </w:rPr>
      </w:pPr>
    </w:p>
    <w:p>
      <w:pPr>
        <w:jc w:val="center"/>
        <w:ind w:right="7319"/>
        <w:spacing w:after="0"/>
        <w:rPr>
          <w:sz w:val="20"/>
          <w:szCs w:val="20"/>
          <w:color w:val="auto"/>
        </w:rPr>
      </w:pPr>
      <w:r>
        <w:rPr>
          <w:rFonts w:ascii="Arial" w:cs="Arial" w:eastAsia="Arial" w:hAnsi="Arial"/>
          <w:sz w:val="18"/>
          <w:szCs w:val="18"/>
          <w:color w:val="auto"/>
        </w:rPr>
        <w:t>kodakgallery.xxx</w:t>
      </w:r>
    </w:p>
    <w:p>
      <w:pPr>
        <w:sectPr>
          <w:pgSz w:w="11900" w:h="16838" w:orient="portrait"/>
          <w:cols w:equalWidth="0" w:num="1">
            <w:col w:w="9019"/>
          </w:cols>
          <w:pgMar w:left="1440" w:top="127" w:right="1440"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81280</wp:posOffset>
            </wp:positionV>
            <wp:extent cx="729043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259" w:name="page260"/>
    <w:bookmarkEnd w:id="259"/>
    <w:p>
      <w:pPr>
        <w:jc w:val="center"/>
        <w:ind w:right="7279"/>
        <w:spacing w:after="0"/>
        <w:rPr>
          <w:sz w:val="20"/>
          <w:szCs w:val="20"/>
          <w:color w:val="auto"/>
        </w:rPr>
      </w:pPr>
      <w:r>
        <w:rPr>
          <w:rFonts w:ascii="Arial" w:cs="Arial" w:eastAsia="Arial" w:hAnsi="Arial"/>
          <w:sz w:val="18"/>
          <w:szCs w:val="18"/>
          <w:color w:val="auto"/>
        </w:rPr>
        <w:t>kodakit.com</w:t>
      </w:r>
    </w:p>
    <w:p>
      <w:pPr>
        <w:spacing w:after="0" w:line="17"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kodakit.info</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kodakit.net</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kodakit.org</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kodakmcs.com</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kodakminute.com</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kodakmms.com</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kodakmobile.com</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kodakmobile.com.ph</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kodakmoment.ca</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kodakmoment.cn</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kodakmoment.co.nz</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kodak-moment.co.uk</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kodakmoment.com</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kodakmoment.com.au</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kodakmoment.com.br</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kodakmoment.com.cn</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7"/>
          <w:szCs w:val="17"/>
          <w:color w:val="auto"/>
        </w:rPr>
        <w:t>kodakmoment.com.mx</w:t>
      </w:r>
    </w:p>
    <w:p>
      <w:pPr>
        <w:spacing w:after="0" w:line="18"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kodakmoment.de</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kodakmoment.es</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kodakmoment.eu</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kodakmoment.fr</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kodakmoment.it</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kodakmoment.kr</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kodakmoment.ru</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6"/>
          <w:szCs w:val="16"/>
          <w:color w:val="auto"/>
        </w:rPr>
        <w:t>kodakmomentapp.co.uk</w:t>
      </w:r>
    </w:p>
    <w:p>
      <w:pPr>
        <w:spacing w:after="0" w:line="29" w:lineRule="exact"/>
        <w:rPr>
          <w:sz w:val="20"/>
          <w:szCs w:val="20"/>
          <w:color w:val="auto"/>
        </w:rPr>
      </w:pPr>
    </w:p>
    <w:p>
      <w:pPr>
        <w:jc w:val="center"/>
        <w:ind w:right="7279"/>
        <w:spacing w:after="0"/>
        <w:rPr>
          <w:sz w:val="20"/>
          <w:szCs w:val="20"/>
          <w:color w:val="auto"/>
        </w:rPr>
      </w:pPr>
      <w:r>
        <w:rPr>
          <w:rFonts w:ascii="Arial" w:cs="Arial" w:eastAsia="Arial" w:hAnsi="Arial"/>
          <w:sz w:val="17"/>
          <w:szCs w:val="17"/>
          <w:color w:val="auto"/>
        </w:rPr>
        <w:t>kodakmomentapp.com</w:t>
      </w:r>
    </w:p>
    <w:p>
      <w:pPr>
        <w:spacing w:after="0" w:line="18"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kodakmomentapp.de</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kodakmomentapp.eu</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kodakmomentapp.fr</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kodakmoments.ca</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kodakmoments.cn</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kodakmoments.co.nz</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kodak-moments.co.uk</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kodakmoments.com</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7"/>
          <w:szCs w:val="17"/>
          <w:color w:val="auto"/>
        </w:rPr>
        <w:t>kodakmoments.com.ar</w:t>
      </w:r>
    </w:p>
    <w:p>
      <w:pPr>
        <w:spacing w:after="0" w:line="18" w:lineRule="exact"/>
        <w:rPr>
          <w:sz w:val="20"/>
          <w:szCs w:val="20"/>
          <w:color w:val="auto"/>
        </w:rPr>
      </w:pPr>
    </w:p>
    <w:p>
      <w:pPr>
        <w:jc w:val="center"/>
        <w:ind w:right="7279"/>
        <w:spacing w:after="0"/>
        <w:rPr>
          <w:sz w:val="20"/>
          <w:szCs w:val="20"/>
          <w:color w:val="auto"/>
        </w:rPr>
      </w:pPr>
      <w:r>
        <w:rPr>
          <w:rFonts w:ascii="Arial" w:cs="Arial" w:eastAsia="Arial" w:hAnsi="Arial"/>
          <w:sz w:val="17"/>
          <w:szCs w:val="17"/>
          <w:color w:val="auto"/>
        </w:rPr>
        <w:t>kodakmoments.com.au</w:t>
      </w:r>
    </w:p>
    <w:p>
      <w:pPr>
        <w:spacing w:after="0" w:line="18" w:lineRule="exact"/>
        <w:rPr>
          <w:sz w:val="20"/>
          <w:szCs w:val="20"/>
          <w:color w:val="auto"/>
        </w:rPr>
      </w:pPr>
    </w:p>
    <w:p>
      <w:pPr>
        <w:jc w:val="center"/>
        <w:ind w:right="7279"/>
        <w:spacing w:after="0"/>
        <w:rPr>
          <w:sz w:val="20"/>
          <w:szCs w:val="20"/>
          <w:color w:val="auto"/>
        </w:rPr>
      </w:pPr>
      <w:r>
        <w:rPr>
          <w:rFonts w:ascii="Arial" w:cs="Arial" w:eastAsia="Arial" w:hAnsi="Arial"/>
          <w:sz w:val="17"/>
          <w:szCs w:val="17"/>
          <w:color w:val="auto"/>
        </w:rPr>
        <w:t>kodakmoments.com.br</w:t>
      </w:r>
    </w:p>
    <w:p>
      <w:pPr>
        <w:spacing w:after="0" w:line="18" w:lineRule="exact"/>
        <w:rPr>
          <w:sz w:val="20"/>
          <w:szCs w:val="20"/>
          <w:color w:val="auto"/>
        </w:rPr>
      </w:pPr>
    </w:p>
    <w:p>
      <w:pPr>
        <w:jc w:val="center"/>
        <w:ind w:right="7279"/>
        <w:spacing w:after="0"/>
        <w:rPr>
          <w:sz w:val="20"/>
          <w:szCs w:val="20"/>
          <w:color w:val="auto"/>
        </w:rPr>
      </w:pPr>
      <w:r>
        <w:rPr>
          <w:rFonts w:ascii="Arial" w:cs="Arial" w:eastAsia="Arial" w:hAnsi="Arial"/>
          <w:sz w:val="17"/>
          <w:szCs w:val="17"/>
          <w:color w:val="auto"/>
        </w:rPr>
        <w:t>kodakmoments.com.cn</w:t>
      </w:r>
    </w:p>
    <w:p>
      <w:pPr>
        <w:spacing w:after="0" w:line="18" w:lineRule="exact"/>
        <w:rPr>
          <w:sz w:val="20"/>
          <w:szCs w:val="20"/>
          <w:color w:val="auto"/>
        </w:rPr>
      </w:pPr>
    </w:p>
    <w:p>
      <w:pPr>
        <w:jc w:val="center"/>
        <w:ind w:right="7279"/>
        <w:spacing w:after="0"/>
        <w:rPr>
          <w:sz w:val="20"/>
          <w:szCs w:val="20"/>
          <w:color w:val="auto"/>
        </w:rPr>
      </w:pPr>
      <w:r>
        <w:rPr>
          <w:rFonts w:ascii="Arial" w:cs="Arial" w:eastAsia="Arial" w:hAnsi="Arial"/>
          <w:sz w:val="16"/>
          <w:szCs w:val="16"/>
          <w:color w:val="auto"/>
        </w:rPr>
        <w:t>kodakmoments.com.mx</w:t>
      </w:r>
    </w:p>
    <w:p>
      <w:pPr>
        <w:spacing w:after="0" w:line="29"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kodakmoments.de</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kodakmoments.es</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kodakmoments.eu</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kodakmoments.fr</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kodakmoments.it</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kodakmoments.kr</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kodakmoments.ru</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6"/>
          <w:szCs w:val="16"/>
          <w:color w:val="auto"/>
        </w:rPr>
        <w:t>kodakmomentsapp.co.uk</w:t>
      </w:r>
    </w:p>
    <w:p>
      <w:pPr>
        <w:spacing w:after="0" w:line="29" w:lineRule="exact"/>
        <w:rPr>
          <w:sz w:val="20"/>
          <w:szCs w:val="20"/>
          <w:color w:val="auto"/>
        </w:rPr>
      </w:pPr>
    </w:p>
    <w:p>
      <w:pPr>
        <w:jc w:val="center"/>
        <w:ind w:right="7279"/>
        <w:spacing w:after="0"/>
        <w:rPr>
          <w:sz w:val="20"/>
          <w:szCs w:val="20"/>
          <w:color w:val="auto"/>
        </w:rPr>
      </w:pPr>
      <w:r>
        <w:rPr>
          <w:rFonts w:ascii="Arial" w:cs="Arial" w:eastAsia="Arial" w:hAnsi="Arial"/>
          <w:sz w:val="16"/>
          <w:szCs w:val="16"/>
          <w:color w:val="auto"/>
        </w:rPr>
        <w:t>kodakmomentsapp.com</w:t>
      </w:r>
    </w:p>
    <w:p>
      <w:pPr>
        <w:spacing w:after="0" w:line="29"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kodakmomentsapp.de</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kodakmomentsapp.eu</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kodakmomentsapp.fr</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kodakonline.co.kr</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kodakonline.com.br</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kodakphones.com</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kodakprintplace.co.nz</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kodakprintplace.com</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6"/>
          <w:szCs w:val="16"/>
          <w:color w:val="auto"/>
        </w:rPr>
        <w:t>kodakprintplace.com.au</w:t>
      </w:r>
    </w:p>
    <w:p>
      <w:pPr>
        <w:spacing w:after="0" w:line="29" w:lineRule="exact"/>
        <w:rPr>
          <w:sz w:val="20"/>
          <w:szCs w:val="20"/>
          <w:color w:val="auto"/>
        </w:rPr>
      </w:pPr>
    </w:p>
    <w:p>
      <w:pPr>
        <w:jc w:val="center"/>
        <w:ind w:right="7279"/>
        <w:spacing w:after="0"/>
        <w:rPr>
          <w:sz w:val="20"/>
          <w:szCs w:val="20"/>
          <w:color w:val="auto"/>
        </w:rPr>
      </w:pPr>
      <w:r>
        <w:rPr>
          <w:rFonts w:ascii="Arial" w:cs="Arial" w:eastAsia="Arial" w:hAnsi="Arial"/>
          <w:sz w:val="17"/>
          <w:szCs w:val="17"/>
          <w:color w:val="auto"/>
        </w:rPr>
        <w:t>kodakprintplace.net.au</w:t>
      </w:r>
    </w:p>
    <w:p>
      <w:pPr>
        <w:spacing w:after="0" w:line="18" w:lineRule="exact"/>
        <w:rPr>
          <w:sz w:val="20"/>
          <w:szCs w:val="20"/>
          <w:color w:val="auto"/>
        </w:rPr>
      </w:pPr>
    </w:p>
    <w:p>
      <w:pPr>
        <w:jc w:val="center"/>
        <w:ind w:right="7279"/>
        <w:spacing w:after="0"/>
        <w:rPr>
          <w:sz w:val="20"/>
          <w:szCs w:val="20"/>
          <w:color w:val="auto"/>
        </w:rPr>
      </w:pPr>
      <w:r>
        <w:rPr>
          <w:rFonts w:ascii="Arial" w:cs="Arial" w:eastAsia="Arial" w:hAnsi="Arial"/>
          <w:sz w:val="17"/>
          <w:szCs w:val="17"/>
          <w:color w:val="auto"/>
        </w:rPr>
        <w:t>kodakprintplace.net.nz</w:t>
      </w:r>
    </w:p>
    <w:p>
      <w:pPr>
        <w:spacing w:after="0" w:line="18"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kodakpulse.com</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kodakromania.com.ro</w:t>
      </w:r>
    </w:p>
    <w:p>
      <w:pPr>
        <w:spacing w:after="0" w:line="6" w:lineRule="exact"/>
        <w:rPr>
          <w:sz w:val="20"/>
          <w:szCs w:val="20"/>
          <w:color w:val="auto"/>
        </w:rPr>
      </w:pPr>
    </w:p>
    <w:p>
      <w:pPr>
        <w:jc w:val="center"/>
        <w:ind w:right="7279"/>
        <w:spacing w:after="0"/>
        <w:rPr>
          <w:sz w:val="20"/>
          <w:szCs w:val="20"/>
          <w:color w:val="auto"/>
        </w:rPr>
      </w:pPr>
      <w:r>
        <w:rPr>
          <w:rFonts w:ascii="Arial" w:cs="Arial" w:eastAsia="Arial" w:hAnsi="Arial"/>
          <w:sz w:val="18"/>
          <w:szCs w:val="18"/>
          <w:color w:val="auto"/>
        </w:rPr>
        <w:t>kodakromania.ro</w:t>
      </w:r>
    </w:p>
    <w:p>
      <w:pPr>
        <w:sectPr>
          <w:pgSz w:w="11900" w:h="16838" w:orient="portrait"/>
          <w:cols w:equalWidth="0" w:num="1">
            <w:col w:w="9059"/>
          </w:cols>
          <w:pgMar w:left="1400" w:top="127" w:right="1440" w:bottom="1440" w:gutter="0" w:footer="0" w:header="0"/>
        </w:sect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81280</wp:posOffset>
            </wp:positionV>
            <wp:extent cx="729043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59"/>
          </w:cols>
          <w:pgMar w:left="1400" w:top="127" w:right="1440" w:bottom="1440" w:gutter="0" w:footer="0" w:header="0"/>
          <w:type w:val="continuous"/>
        </w:sectPr>
      </w:pPr>
    </w:p>
    <w:bookmarkStart w:id="260" w:name="page261"/>
    <w:bookmarkEnd w:id="260"/>
    <w:p>
      <w:pPr>
        <w:jc w:val="center"/>
        <w:ind w:right="7139"/>
        <w:spacing w:after="0"/>
        <w:rPr>
          <w:sz w:val="20"/>
          <w:szCs w:val="20"/>
          <w:color w:val="auto"/>
        </w:rPr>
      </w:pPr>
      <w:r>
        <w:rPr>
          <w:rFonts w:ascii="Arial" w:cs="Arial" w:eastAsia="Arial" w:hAnsi="Arial"/>
          <w:sz w:val="18"/>
          <w:szCs w:val="18"/>
          <w:color w:val="auto"/>
        </w:rPr>
        <w:t>kodaksilverscreen.com</w:t>
      </w:r>
    </w:p>
    <w:p>
      <w:pPr>
        <w:spacing w:after="0" w:line="17"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kodakversamark.com</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kodalink.net</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kodapak.com</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kpgraphics.com</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leblogkodak.fr</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miraclon.be</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miraclon.ca</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miraclon.ch</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miraclon.cn</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miraclon.co.il</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miraclon.com.ar</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miraclon.de</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miraclon.eu</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miraclon.in</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miraclon.jp</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miraclon.mx</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miraclon.net.br</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miraclon.sg</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miraclon.uk</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mycarestream.be</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mycarestreamhealth.be</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mygua.org</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6"/>
          <w:szCs w:val="16"/>
          <w:color w:val="auto"/>
        </w:rPr>
        <w:t>mykodakmomentsapp.co.uk</w:t>
      </w:r>
    </w:p>
    <w:p>
      <w:pPr>
        <w:spacing w:after="0" w:line="29" w:lineRule="exact"/>
        <w:rPr>
          <w:sz w:val="20"/>
          <w:szCs w:val="20"/>
          <w:color w:val="auto"/>
        </w:rPr>
      </w:pPr>
    </w:p>
    <w:p>
      <w:pPr>
        <w:jc w:val="center"/>
        <w:ind w:right="7139"/>
        <w:spacing w:after="0"/>
        <w:rPr>
          <w:sz w:val="20"/>
          <w:szCs w:val="20"/>
          <w:color w:val="auto"/>
        </w:rPr>
      </w:pPr>
      <w:r>
        <w:rPr>
          <w:rFonts w:ascii="Arial" w:cs="Arial" w:eastAsia="Arial" w:hAnsi="Arial"/>
          <w:sz w:val="17"/>
          <w:szCs w:val="17"/>
          <w:color w:val="auto"/>
        </w:rPr>
        <w:t>mykodakmomentsapp.com</w:t>
      </w:r>
    </w:p>
    <w:p>
      <w:pPr>
        <w:spacing w:after="0" w:line="18"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mykodakmomentsapp.de</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mykodakmomentsapp.eu</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mykodakmomentsapp.fr</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nexpress.com</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ofoto.com</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photonet.com</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photonet.org</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photopostage.cn</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photostamps.cn</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picturestamps.cn</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pod-wf.com</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prinergy.com</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printkodak.com</w:t>
      </w:r>
    </w:p>
    <w:p>
      <w:pPr>
        <w:spacing w:after="0" w:line="6" w:lineRule="exact"/>
        <w:rPr>
          <w:sz w:val="20"/>
          <w:szCs w:val="20"/>
          <w:color w:val="auto"/>
        </w:rPr>
      </w:pPr>
    </w:p>
    <w:p>
      <w:pPr>
        <w:jc w:val="center"/>
        <w:ind w:right="7139"/>
        <w:spacing w:after="0"/>
        <w:rPr>
          <w:sz w:val="20"/>
          <w:szCs w:val="20"/>
          <w:color w:val="auto"/>
        </w:rPr>
      </w:pPr>
      <w:r>
        <w:rPr>
          <w:rFonts w:ascii="Arial" w:cs="Arial" w:eastAsia="Arial" w:hAnsi="Arial"/>
          <w:sz w:val="16"/>
          <w:szCs w:val="16"/>
          <w:color w:val="auto"/>
        </w:rPr>
        <w:t>printondemandsolutions.com</w:t>
      </w:r>
    </w:p>
    <w:p>
      <w:pPr>
        <w:spacing w:after="0" w:line="29" w:lineRule="exact"/>
        <w:rPr>
          <w:sz w:val="20"/>
          <w:szCs w:val="20"/>
          <w:color w:val="auto"/>
        </w:rPr>
      </w:pPr>
    </w:p>
    <w:p>
      <w:pPr>
        <w:jc w:val="center"/>
        <w:ind w:right="7139"/>
        <w:spacing w:after="0"/>
        <w:rPr>
          <w:sz w:val="20"/>
          <w:szCs w:val="20"/>
          <w:color w:val="auto"/>
        </w:rPr>
      </w:pPr>
      <w:r>
        <w:rPr>
          <w:rFonts w:ascii="Arial" w:cs="Arial" w:eastAsia="Arial" w:hAnsi="Arial"/>
          <w:sz w:val="18"/>
          <w:szCs w:val="18"/>
          <w:color w:val="auto"/>
        </w:rPr>
        <w:t>thekodakery.com</w:t>
      </w:r>
    </w:p>
    <w:p>
      <w:pPr>
        <w:spacing w:after="0" w:line="200" w:lineRule="exact"/>
        <w:rPr>
          <w:sz w:val="20"/>
          <w:szCs w:val="20"/>
          <w:color w:val="auto"/>
        </w:rPr>
      </w:pP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81280</wp:posOffset>
            </wp:positionV>
            <wp:extent cx="729043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199"/>
          </w:cols>
          <w:pgMar w:left="1260" w:top="127" w:right="1440" w:bottom="1440" w:gutter="0" w:footer="0" w:header="0"/>
        </w:sectPr>
      </w:pPr>
    </w:p>
    <w:bookmarkStart w:id="261" w:name="page262"/>
    <w:bookmarkEnd w:id="261"/>
    <w:p>
      <w:pPr>
        <w:ind w:left="5200"/>
        <w:spacing w:after="0"/>
        <w:rPr>
          <w:sz w:val="20"/>
          <w:szCs w:val="20"/>
          <w:color w:val="auto"/>
        </w:rPr>
      </w:pPr>
      <w:r>
        <w:rPr>
          <w:rFonts w:ascii="Arial" w:cs="Arial" w:eastAsia="Arial" w:hAnsi="Arial"/>
          <w:sz w:val="18"/>
          <w:szCs w:val="18"/>
          <w:color w:val="auto"/>
        </w:rPr>
        <w:t>Copyrights</w:t>
      </w:r>
    </w:p>
    <w:p>
      <w:pPr>
        <w:spacing w:after="0" w:line="113" w:lineRule="exact"/>
        <w:rPr>
          <w:sz w:val="20"/>
          <w:szCs w:val="20"/>
          <w:color w:val="auto"/>
        </w:rPr>
      </w:pPr>
    </w:p>
    <w:p>
      <w:pPr>
        <w:spacing w:after="0"/>
        <w:tabs>
          <w:tab w:leader="none" w:pos="52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See Annex 4.3.</w:t>
      </w:r>
    </w:p>
    <w:p>
      <w:pPr>
        <w:spacing w:after="0" w:line="2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66675</wp:posOffset>
            </wp:positionV>
            <wp:extent cx="729043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62" w:name="page263"/>
    <w:bookmarkEnd w:id="262"/>
    <w:p>
      <w:pPr>
        <w:jc w:val="center"/>
        <w:spacing w:after="0"/>
        <w:rPr>
          <w:sz w:val="20"/>
          <w:szCs w:val="20"/>
          <w:color w:val="auto"/>
        </w:rPr>
      </w:pPr>
      <w:r>
        <w:rPr>
          <w:rFonts w:ascii="Arial" w:cs="Arial" w:eastAsia="Arial" w:hAnsi="Arial"/>
          <w:sz w:val="16"/>
          <w:szCs w:val="16"/>
          <w:color w:val="auto"/>
        </w:rPr>
        <w:t>PART II IP AGREEMENTS</w:t>
      </w:r>
    </w:p>
    <w:p>
      <w:pPr>
        <w:sectPr>
          <w:pgSz w:w="11900" w:h="16838" w:orient="portrait"/>
          <w:cols w:equalWidth="0" w:num="1">
            <w:col w:w="9019"/>
          </w:cols>
          <w:pgMar w:left="1440" w:top="127"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263" w:name="page264"/>
    <w:bookmarkEnd w:id="263"/>
    <w:p>
      <w:pPr>
        <w:ind w:left="5160"/>
        <w:spacing w:after="0"/>
        <w:rPr>
          <w:sz w:val="20"/>
          <w:szCs w:val="20"/>
          <w:color w:val="auto"/>
        </w:rPr>
      </w:pPr>
      <w:r>
        <w:rPr>
          <w:rFonts w:ascii="Arial" w:cs="Arial" w:eastAsia="Arial" w:hAnsi="Arial"/>
          <w:sz w:val="18"/>
          <w:szCs w:val="18"/>
          <w:color w:val="auto"/>
        </w:rPr>
        <w:t>SCHEDULE V</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LOCATION, CHIEF EXECUTIVE OFFICE, TYPE OF ORGANIZATION, JURISDICTION OF ORGANIZATION AND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ORGANIZATIONAL IDENTIFICATION NUMBER</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3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Grantor</w:t>
            </w:r>
          </w:p>
        </w:tc>
        <w:tc>
          <w:tcPr>
            <w:tcW w:w="23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Trade Name(s)</w:t>
            </w:r>
          </w:p>
        </w:tc>
        <w:tc>
          <w:tcPr>
            <w:tcW w:w="22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Chief Executive Office</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Type of</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Jurisdiction of</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Organizational</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Federal</w:t>
            </w:r>
          </w:p>
        </w:tc>
        <w:tc>
          <w:tcPr>
            <w:tcW w:w="20" w:type="dxa"/>
            <w:vAlign w:val="bottom"/>
          </w:tcPr>
          <w:p>
            <w:pPr>
              <w:spacing w:after="0"/>
              <w:rPr>
                <w:sz w:val="18"/>
                <w:szCs w:val="18"/>
                <w:color w:val="auto"/>
              </w:rPr>
            </w:pPr>
          </w:p>
        </w:tc>
      </w:tr>
      <w:tr>
        <w:trPr>
          <w:trHeight w:val="213"/>
        </w:trPr>
        <w:tc>
          <w:tcPr>
            <w:tcW w:w="2320" w:type="dxa"/>
            <w:vAlign w:val="bottom"/>
            <w:tcBorders>
              <w:left w:val="single" w:sz="8" w:color="auto"/>
              <w:right w:val="single" w:sz="8" w:color="auto"/>
            </w:tcBorders>
            <w:shd w:val="clear" w:color="auto" w:fill="D9D9D9"/>
          </w:tcPr>
          <w:p>
            <w:pPr>
              <w:spacing w:after="0"/>
              <w:rPr>
                <w:sz w:val="18"/>
                <w:szCs w:val="18"/>
                <w:color w:val="auto"/>
              </w:rPr>
            </w:pPr>
          </w:p>
        </w:tc>
        <w:tc>
          <w:tcPr>
            <w:tcW w:w="2300" w:type="dxa"/>
            <w:vAlign w:val="bottom"/>
            <w:tcBorders>
              <w:right w:val="single" w:sz="8" w:color="auto"/>
            </w:tcBorders>
            <w:shd w:val="clear" w:color="auto" w:fill="D9D9D9"/>
          </w:tcPr>
          <w:p>
            <w:pPr>
              <w:spacing w:after="0"/>
              <w:rPr>
                <w:sz w:val="18"/>
                <w:szCs w:val="18"/>
                <w:color w:val="auto"/>
              </w:rPr>
            </w:pPr>
          </w:p>
        </w:tc>
        <w:tc>
          <w:tcPr>
            <w:tcW w:w="228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Organization</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Organization</w:t>
            </w:r>
          </w:p>
        </w:tc>
        <w:tc>
          <w:tcPr>
            <w:tcW w:w="11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ID Number</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Employer ID</w:t>
            </w:r>
          </w:p>
        </w:tc>
        <w:tc>
          <w:tcPr>
            <w:tcW w:w="20" w:type="dxa"/>
            <w:vAlign w:val="bottom"/>
          </w:tcPr>
          <w:p>
            <w:pPr>
              <w:spacing w:after="0"/>
              <w:rPr>
                <w:sz w:val="18"/>
                <w:szCs w:val="18"/>
                <w:color w:val="auto"/>
              </w:rPr>
            </w:pPr>
          </w:p>
        </w:tc>
      </w:tr>
      <w:tr>
        <w:trPr>
          <w:trHeight w:val="225"/>
        </w:trPr>
        <w:tc>
          <w:tcPr>
            <w:tcW w:w="232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2300" w:type="dxa"/>
            <w:vAlign w:val="bottom"/>
            <w:tcBorders>
              <w:bottom w:val="single" w:sz="8" w:color="auto"/>
              <w:right w:val="single" w:sz="8" w:color="auto"/>
            </w:tcBorders>
            <w:shd w:val="clear" w:color="auto" w:fill="D9D9D9"/>
          </w:tcPr>
          <w:p>
            <w:pPr>
              <w:spacing w:after="0"/>
              <w:rPr>
                <w:sz w:val="19"/>
                <w:szCs w:val="19"/>
                <w:color w:val="auto"/>
              </w:rPr>
            </w:pPr>
          </w:p>
        </w:tc>
        <w:tc>
          <w:tcPr>
            <w:tcW w:w="2280" w:type="dxa"/>
            <w:vAlign w:val="bottom"/>
            <w:tcBorders>
              <w:bottom w:val="single" w:sz="8" w:color="auto"/>
              <w:right w:val="single" w:sz="8" w:color="auto"/>
            </w:tcBorders>
            <w:shd w:val="clear" w:color="auto" w:fill="D9D9D9"/>
          </w:tcPr>
          <w:p>
            <w:pPr>
              <w:spacing w:after="0"/>
              <w:rPr>
                <w:sz w:val="19"/>
                <w:szCs w:val="19"/>
                <w:color w:val="auto"/>
              </w:rPr>
            </w:pPr>
          </w:p>
        </w:tc>
        <w:tc>
          <w:tcPr>
            <w:tcW w:w="112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140" w:type="dxa"/>
            <w:vAlign w:val="bottom"/>
            <w:tcBorders>
              <w:bottom w:val="single" w:sz="8" w:color="auto"/>
              <w:right w:val="single" w:sz="8" w:color="auto"/>
            </w:tcBorders>
            <w:shd w:val="clear" w:color="auto" w:fill="D9D9D9"/>
          </w:tcPr>
          <w:p>
            <w:pPr>
              <w:spacing w:after="0"/>
              <w:rPr>
                <w:sz w:val="19"/>
                <w:szCs w:val="19"/>
                <w:color w:val="auto"/>
              </w:rPr>
            </w:pP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Number</w:t>
            </w:r>
          </w:p>
        </w:tc>
        <w:tc>
          <w:tcPr>
            <w:tcW w:w="20" w:type="dxa"/>
            <w:vAlign w:val="bottom"/>
          </w:tcPr>
          <w:p>
            <w:pPr>
              <w:spacing w:after="0"/>
              <w:rPr>
                <w:sz w:val="19"/>
                <w:szCs w:val="19"/>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Eastman Kodak Company</w:t>
            </w:r>
          </w:p>
        </w:tc>
        <w:tc>
          <w:tcPr>
            <w:tcW w:w="23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New Jersey</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3590801000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16-0417150</w:t>
            </w:r>
          </w:p>
        </w:tc>
        <w:tc>
          <w:tcPr>
            <w:tcW w:w="20" w:type="dxa"/>
            <w:vAlign w:val="bottom"/>
          </w:tcPr>
          <w:p>
            <w:pPr>
              <w:spacing w:after="0"/>
              <w:rPr>
                <w:sz w:val="16"/>
                <w:szCs w:val="16"/>
                <w:color w:val="auto"/>
              </w:rPr>
            </w:pPr>
          </w:p>
        </w:tc>
      </w:tr>
      <w:tr>
        <w:trPr>
          <w:trHeight w:val="213"/>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Rochester, New York</w:t>
            </w: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14650</w:t>
            </w: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Far East Development Ltd.</w:t>
            </w:r>
          </w:p>
        </w:tc>
        <w:tc>
          <w:tcPr>
            <w:tcW w:w="23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0899514</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16-1152300</w:t>
            </w:r>
          </w:p>
        </w:tc>
        <w:tc>
          <w:tcPr>
            <w:tcW w:w="20" w:type="dxa"/>
            <w:vAlign w:val="bottom"/>
          </w:tcPr>
          <w:p>
            <w:pPr>
              <w:spacing w:after="0"/>
              <w:rPr>
                <w:sz w:val="16"/>
                <w:szCs w:val="16"/>
                <w:color w:val="auto"/>
              </w:rPr>
            </w:pPr>
          </w:p>
        </w:tc>
      </w:tr>
      <w:tr>
        <w:trPr>
          <w:trHeight w:val="225"/>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Rochester, NY  14650</w:t>
            </w: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FPC Inc.</w:t>
            </w:r>
          </w:p>
        </w:tc>
        <w:tc>
          <w:tcPr>
            <w:tcW w:w="2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Pro-Tek</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California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C0957735</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95-3519183</w:t>
            </w:r>
          </w:p>
        </w:tc>
        <w:tc>
          <w:tcPr>
            <w:tcW w:w="20" w:type="dxa"/>
            <w:vAlign w:val="bottom"/>
          </w:tcPr>
          <w:p>
            <w:pPr>
              <w:spacing w:after="0"/>
              <w:rPr>
                <w:sz w:val="16"/>
                <w:szCs w:val="16"/>
                <w:color w:val="auto"/>
              </w:rPr>
            </w:pPr>
          </w:p>
        </w:tc>
      </w:tr>
      <w:tr>
        <w:trPr>
          <w:trHeight w:val="225"/>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Rochester, NY 14650</w:t>
            </w: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Kodak (Near East), Inc.</w:t>
            </w:r>
          </w:p>
        </w:tc>
        <w:tc>
          <w:tcPr>
            <w:tcW w:w="23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New York</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81040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16-6027936</w:t>
            </w:r>
          </w:p>
        </w:tc>
        <w:tc>
          <w:tcPr>
            <w:tcW w:w="20" w:type="dxa"/>
            <w:vAlign w:val="bottom"/>
          </w:tcPr>
          <w:p>
            <w:pPr>
              <w:spacing w:after="0"/>
              <w:rPr>
                <w:sz w:val="16"/>
                <w:szCs w:val="16"/>
                <w:color w:val="auto"/>
              </w:rPr>
            </w:pPr>
          </w:p>
        </w:tc>
      </w:tr>
      <w:tr>
        <w:trPr>
          <w:trHeight w:val="225"/>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Rochester, NY  14650</w:t>
            </w: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Americas, Ltd.</w:t>
            </w:r>
          </w:p>
        </w:tc>
        <w:tc>
          <w:tcPr>
            <w:tcW w:w="23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New York</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109088</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66-0216256</w:t>
            </w:r>
          </w:p>
        </w:tc>
        <w:tc>
          <w:tcPr>
            <w:tcW w:w="20" w:type="dxa"/>
            <w:vAlign w:val="bottom"/>
          </w:tcPr>
          <w:p>
            <w:pPr>
              <w:spacing w:after="0"/>
              <w:rPr>
                <w:sz w:val="16"/>
                <w:szCs w:val="16"/>
                <w:color w:val="auto"/>
              </w:rPr>
            </w:pPr>
          </w:p>
        </w:tc>
      </w:tr>
      <w:tr>
        <w:trPr>
          <w:trHeight w:val="225"/>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Rochester, NY 14650</w:t>
            </w: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Kodak Philippines, Ltd.</w:t>
            </w:r>
          </w:p>
        </w:tc>
        <w:tc>
          <w:tcPr>
            <w:tcW w:w="23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New York</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24429</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16-0747862</w:t>
            </w:r>
          </w:p>
        </w:tc>
        <w:tc>
          <w:tcPr>
            <w:tcW w:w="20" w:type="dxa"/>
            <w:vAlign w:val="bottom"/>
          </w:tcPr>
          <w:p>
            <w:pPr>
              <w:spacing w:after="0"/>
              <w:rPr>
                <w:sz w:val="16"/>
                <w:szCs w:val="16"/>
                <w:color w:val="auto"/>
              </w:rPr>
            </w:pPr>
          </w:p>
        </w:tc>
      </w:tr>
      <w:tr>
        <w:trPr>
          <w:trHeight w:val="225"/>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Rochester, NY 14650</w:t>
            </w: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Kodak Realty, Inc.</w:t>
            </w:r>
          </w:p>
        </w:tc>
        <w:tc>
          <w:tcPr>
            <w:tcW w:w="23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New York</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2133251</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16-0912045</w:t>
            </w:r>
          </w:p>
        </w:tc>
        <w:tc>
          <w:tcPr>
            <w:tcW w:w="20" w:type="dxa"/>
            <w:vAlign w:val="bottom"/>
          </w:tcPr>
          <w:p>
            <w:pPr>
              <w:spacing w:after="0"/>
              <w:rPr>
                <w:sz w:val="16"/>
                <w:szCs w:val="16"/>
                <w:color w:val="auto"/>
              </w:rPr>
            </w:pPr>
          </w:p>
        </w:tc>
      </w:tr>
      <w:tr>
        <w:trPr>
          <w:trHeight w:val="225"/>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Rochester, NY 14650</w:t>
            </w: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Laser-Pacific Media</w:t>
            </w:r>
          </w:p>
        </w:tc>
        <w:tc>
          <w:tcPr>
            <w:tcW w:w="2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Laser Edit, Inc. Pacific</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2236415</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95-3824617</w:t>
            </w:r>
          </w:p>
        </w:tc>
        <w:tc>
          <w:tcPr>
            <w:tcW w:w="20" w:type="dxa"/>
            <w:vAlign w:val="bottom"/>
          </w:tcPr>
          <w:p>
            <w:pPr>
              <w:spacing w:after="0"/>
              <w:rPr>
                <w:sz w:val="16"/>
                <w:szCs w:val="16"/>
                <w:color w:val="auto"/>
              </w:rPr>
            </w:pPr>
          </w:p>
        </w:tc>
      </w:tr>
      <w:tr>
        <w:trPr>
          <w:trHeight w:val="252"/>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Corporation</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Video, Inc.</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Rochester, NY 14650</w:t>
            </w:r>
          </w:p>
        </w:tc>
        <w:tc>
          <w:tcPr>
            <w:tcW w:w="1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NPEC Inc.</w:t>
            </w:r>
          </w:p>
        </w:tc>
        <w:tc>
          <w:tcPr>
            <w:tcW w:w="23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California</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C1513754</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16-1375677</w:t>
            </w:r>
          </w:p>
        </w:tc>
        <w:tc>
          <w:tcPr>
            <w:tcW w:w="20" w:type="dxa"/>
            <w:vAlign w:val="bottom"/>
          </w:tcPr>
          <w:p>
            <w:pPr>
              <w:spacing w:after="0"/>
              <w:rPr>
                <w:sz w:val="16"/>
                <w:szCs w:val="16"/>
                <w:color w:val="auto"/>
              </w:rPr>
            </w:pPr>
          </w:p>
        </w:tc>
      </w:tr>
      <w:tr>
        <w:trPr>
          <w:trHeight w:val="225"/>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Rochester, NY 14650</w:t>
            </w: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Qualex Inc.</w:t>
            </w:r>
          </w:p>
        </w:tc>
        <w:tc>
          <w:tcPr>
            <w:tcW w:w="2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QLX Photoprocessing</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343 State Street</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2133251</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16-1306019</w:t>
            </w:r>
          </w:p>
        </w:tc>
        <w:tc>
          <w:tcPr>
            <w:tcW w:w="20" w:type="dxa"/>
            <w:vAlign w:val="bottom"/>
          </w:tcPr>
          <w:p>
            <w:pPr>
              <w:spacing w:after="0"/>
              <w:rPr>
                <w:sz w:val="16"/>
                <w:szCs w:val="16"/>
                <w:color w:val="auto"/>
              </w:rPr>
            </w:pPr>
          </w:p>
        </w:tc>
      </w:tr>
      <w:tr>
        <w:trPr>
          <w:trHeight w:val="213"/>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QLX Photoprocessing,</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Rochester, NY 14650</w:t>
            </w: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Inc. QLX Imaging</w:t>
            </w:r>
          </w:p>
        </w:tc>
        <w:tc>
          <w:tcPr>
            <w:tcW w:w="2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Kodalux Processing</w:t>
            </w:r>
          </w:p>
        </w:tc>
        <w:tc>
          <w:tcPr>
            <w:tcW w:w="2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Services Event Imaging</w:t>
            </w:r>
          </w:p>
        </w:tc>
        <w:tc>
          <w:tcPr>
            <w:tcW w:w="2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Solutions</w:t>
            </w:r>
          </w:p>
        </w:tc>
        <w:tc>
          <w:tcPr>
            <w:tcW w:w="2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846"/>
        </w:trPr>
        <w:tc>
          <w:tcPr>
            <w:tcW w:w="2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tcPr>
          <w:p>
            <w:pPr>
              <w:jc w:val="right"/>
              <w:ind w:right="1011"/>
              <w:spacing w:after="0"/>
              <w:rPr>
                <w:sz w:val="20"/>
                <w:szCs w:val="20"/>
                <w:color w:val="auto"/>
              </w:rPr>
            </w:pPr>
            <w:r>
              <w:rPr>
                <w:rFonts w:ascii="Arial" w:cs="Arial" w:eastAsia="Arial" w:hAnsi="Arial"/>
                <w:sz w:val="18"/>
                <w:szCs w:val="18"/>
                <w:color w:val="auto"/>
              </w:rPr>
              <w:t>23</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3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64" w:name="page265"/>
    <w:bookmarkEnd w:id="264"/>
    <w:p>
      <w:pPr>
        <w:ind w:left="5140"/>
        <w:spacing w:after="0"/>
        <w:rPr>
          <w:sz w:val="20"/>
          <w:szCs w:val="20"/>
          <w:color w:val="auto"/>
        </w:rPr>
      </w:pPr>
      <w:r>
        <w:rPr>
          <w:rFonts w:ascii="Arial" w:cs="Arial" w:eastAsia="Arial" w:hAnsi="Arial"/>
          <w:sz w:val="18"/>
          <w:szCs w:val="18"/>
          <w:color w:val="auto"/>
        </w:rPr>
        <w:t>SCHEDULE VI</w:t>
      </w:r>
    </w:p>
    <w:p>
      <w:pPr>
        <w:spacing w:after="0" w:line="11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CHANGES IN NAME, LOCATION, ETC. WITHIN FIVE YEARS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PRIOR TO THE DATE OF THE AGREEMENT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Grantor</w:t>
            </w:r>
          </w:p>
        </w:tc>
        <w:tc>
          <w:tcPr>
            <w:tcW w:w="34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Previous Chief Executive Office</w:t>
            </w:r>
          </w:p>
        </w:tc>
        <w:tc>
          <w:tcPr>
            <w:tcW w:w="17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Type of Organization</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Jurisdiction of</w:t>
            </w:r>
          </w:p>
        </w:tc>
        <w:tc>
          <w:tcPr>
            <w:tcW w:w="1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Organizational ID</w:t>
            </w:r>
          </w:p>
        </w:tc>
        <w:tc>
          <w:tcPr>
            <w:tcW w:w="20" w:type="dxa"/>
            <w:vAlign w:val="bottom"/>
          </w:tcPr>
          <w:p>
            <w:pPr>
              <w:spacing w:after="0"/>
              <w:rPr>
                <w:sz w:val="18"/>
                <w:szCs w:val="18"/>
                <w:color w:val="auto"/>
              </w:rPr>
            </w:pPr>
          </w:p>
        </w:tc>
      </w:tr>
      <w:tr>
        <w:trPr>
          <w:trHeight w:val="225"/>
        </w:trPr>
        <w:tc>
          <w:tcPr>
            <w:tcW w:w="28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3420" w:type="dxa"/>
            <w:vAlign w:val="bottom"/>
            <w:tcBorders>
              <w:bottom w:val="single" w:sz="8" w:color="auto"/>
              <w:right w:val="single" w:sz="8" w:color="auto"/>
            </w:tcBorders>
            <w:shd w:val="clear" w:color="auto" w:fill="D9D9D9"/>
          </w:tcPr>
          <w:p>
            <w:pPr>
              <w:spacing w:after="0"/>
              <w:rPr>
                <w:sz w:val="19"/>
                <w:szCs w:val="19"/>
                <w:color w:val="auto"/>
              </w:rPr>
            </w:pPr>
          </w:p>
        </w:tc>
        <w:tc>
          <w:tcPr>
            <w:tcW w:w="1720" w:type="dxa"/>
            <w:vAlign w:val="bottom"/>
            <w:tcBorders>
              <w:bottom w:val="single" w:sz="8" w:color="auto"/>
              <w:right w:val="single" w:sz="8" w:color="auto"/>
            </w:tcBorders>
            <w:shd w:val="clear" w:color="auto" w:fill="D9D9D9"/>
          </w:tcPr>
          <w:p>
            <w:pPr>
              <w:spacing w:after="0"/>
              <w:rPr>
                <w:sz w:val="19"/>
                <w:szCs w:val="19"/>
                <w:color w:val="auto"/>
              </w:rPr>
            </w:pP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Organization</w:t>
            </w: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Number</w:t>
            </w:r>
          </w:p>
        </w:tc>
        <w:tc>
          <w:tcPr>
            <w:tcW w:w="20" w:type="dxa"/>
            <w:vAlign w:val="bottom"/>
          </w:tcPr>
          <w:p>
            <w:pPr>
              <w:spacing w:after="0"/>
              <w:rPr>
                <w:sz w:val="19"/>
                <w:szCs w:val="19"/>
                <w:color w:val="auto"/>
              </w:rPr>
            </w:pPr>
          </w:p>
        </w:tc>
      </w:tr>
      <w:tr>
        <w:trPr>
          <w:trHeight w:val="195"/>
        </w:trPr>
        <w:tc>
          <w:tcPr>
            <w:tcW w:w="28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FPC Inc.</w:t>
            </w:r>
          </w:p>
        </w:tc>
        <w:tc>
          <w:tcPr>
            <w:tcW w:w="34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6721 Romaine Street</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California</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C0957735</w:t>
            </w:r>
          </w:p>
        </w:tc>
        <w:tc>
          <w:tcPr>
            <w:tcW w:w="20" w:type="dxa"/>
            <w:vAlign w:val="bottom"/>
          </w:tcPr>
          <w:p>
            <w:pPr>
              <w:spacing w:after="0"/>
              <w:rPr>
                <w:sz w:val="16"/>
                <w:szCs w:val="16"/>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Los Angeles, CA 90038</w:t>
            </w:r>
          </w:p>
        </w:tc>
        <w:tc>
          <w:tcPr>
            <w:tcW w:w="17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8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Laser-Pacific Media Corporation</w:t>
            </w:r>
          </w:p>
        </w:tc>
        <w:tc>
          <w:tcPr>
            <w:tcW w:w="34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809 N. Cahuenga Blvd.</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2236415</w:t>
            </w:r>
          </w:p>
        </w:tc>
        <w:tc>
          <w:tcPr>
            <w:tcW w:w="20" w:type="dxa"/>
            <w:vAlign w:val="bottom"/>
          </w:tcPr>
          <w:p>
            <w:pPr>
              <w:spacing w:after="0"/>
              <w:rPr>
                <w:sz w:val="16"/>
                <w:szCs w:val="16"/>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Los Angeles, CA 90038</w:t>
            </w:r>
          </w:p>
        </w:tc>
        <w:tc>
          <w:tcPr>
            <w:tcW w:w="17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8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Qualex Inc.</w:t>
            </w:r>
          </w:p>
        </w:tc>
        <w:tc>
          <w:tcPr>
            <w:tcW w:w="34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4020 Stirrup Creek Drive</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Corporation</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2133251</w:t>
            </w:r>
          </w:p>
        </w:tc>
        <w:tc>
          <w:tcPr>
            <w:tcW w:w="20" w:type="dxa"/>
            <w:vAlign w:val="bottom"/>
          </w:tcPr>
          <w:p>
            <w:pPr>
              <w:spacing w:after="0"/>
              <w:rPr>
                <w:sz w:val="16"/>
                <w:szCs w:val="16"/>
                <w:color w:val="auto"/>
              </w:rPr>
            </w:pPr>
          </w:p>
        </w:tc>
      </w:tr>
      <w:tr>
        <w:trPr>
          <w:trHeight w:val="213"/>
        </w:trPr>
        <w:tc>
          <w:tcPr>
            <w:tcW w:w="2880" w:type="dxa"/>
            <w:vAlign w:val="bottom"/>
            <w:tcBorders>
              <w:left w:val="single" w:sz="8" w:color="auto"/>
              <w:right w:val="single" w:sz="8" w:color="auto"/>
            </w:tcBorders>
          </w:tcPr>
          <w:p>
            <w:pPr>
              <w:spacing w:after="0"/>
              <w:rPr>
                <w:sz w:val="18"/>
                <w:szCs w:val="18"/>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Suite 100</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Durham, NC 27703</w:t>
            </w:r>
          </w:p>
        </w:tc>
        <w:tc>
          <w:tcPr>
            <w:tcW w:w="17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846"/>
        </w:trPr>
        <w:tc>
          <w:tcPr>
            <w:tcW w:w="2880" w:type="dxa"/>
            <w:vAlign w:val="bottom"/>
          </w:tcPr>
          <w:p>
            <w:pPr>
              <w:spacing w:after="0"/>
              <w:rPr>
                <w:sz w:val="24"/>
                <w:szCs w:val="24"/>
                <w:color w:val="auto"/>
              </w:rPr>
            </w:pPr>
          </w:p>
        </w:tc>
        <w:tc>
          <w:tcPr>
            <w:tcW w:w="3420" w:type="dxa"/>
            <w:vAlign w:val="bottom"/>
          </w:tcPr>
          <w:p>
            <w:pPr>
              <w:jc w:val="right"/>
              <w:ind w:right="411"/>
              <w:spacing w:after="0"/>
              <w:rPr>
                <w:sz w:val="20"/>
                <w:szCs w:val="20"/>
                <w:color w:val="auto"/>
              </w:rPr>
            </w:pPr>
            <w:r>
              <w:rPr>
                <w:rFonts w:ascii="Arial" w:cs="Arial" w:eastAsia="Arial" w:hAnsi="Arial"/>
                <w:sz w:val="18"/>
                <w:szCs w:val="18"/>
                <w:color w:val="auto"/>
              </w:rPr>
              <w:t>24</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8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65" w:name="page266"/>
    <w:bookmarkEnd w:id="265"/>
    <w:p>
      <w:pPr>
        <w:jc w:val="center"/>
        <w:ind w:right="-20"/>
        <w:spacing w:after="0"/>
        <w:rPr>
          <w:sz w:val="20"/>
          <w:szCs w:val="20"/>
          <w:color w:val="auto"/>
        </w:rPr>
      </w:pPr>
      <w:r>
        <w:rPr>
          <w:rFonts w:ascii="Arial" w:cs="Arial" w:eastAsia="Arial" w:hAnsi="Arial"/>
          <w:sz w:val="18"/>
          <w:szCs w:val="18"/>
          <w:color w:val="auto"/>
        </w:rPr>
        <w:t>SCHEDULE VII</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LETTERS OF CREDIT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66" w:name="page267"/>
    <w:bookmarkEnd w:id="266"/>
    <w:p>
      <w:pPr>
        <w:jc w:val="center"/>
        <w:ind w:right="20"/>
        <w:spacing w:after="0"/>
        <w:rPr>
          <w:sz w:val="20"/>
          <w:szCs w:val="20"/>
          <w:color w:val="auto"/>
        </w:rPr>
      </w:pPr>
      <w:r>
        <w:rPr>
          <w:rFonts w:ascii="Arial" w:cs="Arial" w:eastAsia="Arial" w:hAnsi="Arial"/>
          <w:sz w:val="18"/>
          <w:szCs w:val="18"/>
          <w:color w:val="auto"/>
        </w:rPr>
        <w:t>SCHEDULE VIII</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EQUIPMENT LOCATIONS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46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Grantor</w:t>
            </w:r>
          </w:p>
        </w:tc>
        <w:tc>
          <w:tcPr>
            <w:tcW w:w="39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Location</w:t>
            </w:r>
          </w:p>
        </w:tc>
        <w:tc>
          <w:tcPr>
            <w:tcW w:w="39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Owned/Leased/Operated by Third-Parties</w:t>
            </w:r>
          </w:p>
        </w:tc>
        <w:tc>
          <w:tcPr>
            <w:tcW w:w="20" w:type="dxa"/>
            <w:vAlign w:val="bottom"/>
          </w:tcPr>
          <w:p>
            <w:pPr>
              <w:spacing w:after="0"/>
              <w:rPr>
                <w:sz w:val="19"/>
                <w:szCs w:val="19"/>
                <w:color w:val="auto"/>
              </w:rPr>
            </w:pPr>
          </w:p>
        </w:tc>
      </w:tr>
      <w:tr>
        <w:trPr>
          <w:trHeight w:val="194"/>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Eastman Business Park</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1964 &amp; 1991 Lake Avenue</w:t>
            </w:r>
          </w:p>
        </w:tc>
        <w:tc>
          <w:tcPr>
            <w:tcW w:w="39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Rochester, NY 14652</w:t>
            </w:r>
          </w:p>
        </w:tc>
        <w:tc>
          <w:tcPr>
            <w:tcW w:w="39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Kodak Office</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343 State Street</w:t>
            </w:r>
          </w:p>
        </w:tc>
        <w:tc>
          <w:tcPr>
            <w:tcW w:w="39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Rochester, NY 14650</w:t>
            </w:r>
          </w:p>
        </w:tc>
        <w:tc>
          <w:tcPr>
            <w:tcW w:w="39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One Polychrome Park</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6"/>
                <w:szCs w:val="16"/>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Columbus, GA 31907-2934</w:t>
            </w:r>
          </w:p>
        </w:tc>
        <w:tc>
          <w:tcPr>
            <w:tcW w:w="39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3000 Research Blvd</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Leased from:</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Dayton, OH 45420</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Fifteenth Dayton, LLC</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 Lewiston Investment Company</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67 Lewiston Road</w:t>
            </w: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Grosse Pointe Farms, MI 48236</w:t>
            </w: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2600 Manitou Road</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Leased from:</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Rochester, NY 14624</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Tech Park Owner LLC</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190 North Street, Suite 306</w:t>
            </w: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Brooklyn NY 11211</w:t>
            </w: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4585 Cargo Drive</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Lease from:</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Columbus, GA 31907</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Columbus Economic Development</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Corporation, 1200 Sixth Ave., Columbus,</w:t>
            </w:r>
          </w:p>
        </w:tc>
        <w:tc>
          <w:tcPr>
            <w:tcW w:w="20" w:type="dxa"/>
            <w:vAlign w:val="bottom"/>
          </w:tcPr>
          <w:p>
            <w:pPr>
              <w:spacing w:after="0"/>
              <w:rPr>
                <w:sz w:val="18"/>
                <w:szCs w:val="18"/>
                <w:color w:val="auto"/>
              </w:rPr>
            </w:pPr>
          </w:p>
        </w:tc>
      </w:tr>
      <w:tr>
        <w:trPr>
          <w:trHeight w:val="224"/>
        </w:trPr>
        <w:tc>
          <w:tcPr>
            <w:tcW w:w="3460" w:type="dxa"/>
            <w:vAlign w:val="bottom"/>
            <w:tcBorders>
              <w:left w:val="single" w:sz="8" w:color="auto"/>
              <w:right w:val="single" w:sz="8" w:color="auto"/>
            </w:tcBorders>
          </w:tcPr>
          <w:p>
            <w:pPr>
              <w:spacing w:after="0"/>
              <w:rPr>
                <w:sz w:val="19"/>
                <w:szCs w:val="19"/>
                <w:color w:val="auto"/>
              </w:rPr>
            </w:pPr>
          </w:p>
        </w:tc>
        <w:tc>
          <w:tcPr>
            <w:tcW w:w="3980" w:type="dxa"/>
            <w:vAlign w:val="bottom"/>
            <w:tcBorders>
              <w:right w:val="single" w:sz="8" w:color="auto"/>
            </w:tcBorders>
          </w:tcPr>
          <w:p>
            <w:pPr>
              <w:spacing w:after="0"/>
              <w:rPr>
                <w:sz w:val="19"/>
                <w:szCs w:val="19"/>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GA 31901</w:t>
            </w:r>
          </w:p>
        </w:tc>
        <w:tc>
          <w:tcPr>
            <w:tcW w:w="20" w:type="dxa"/>
            <w:vAlign w:val="bottom"/>
          </w:tcPr>
          <w:p>
            <w:pPr>
              <w:spacing w:after="0"/>
              <w:rPr>
                <w:sz w:val="19"/>
                <w:szCs w:val="19"/>
                <w:color w:val="auto"/>
              </w:rPr>
            </w:pPr>
          </w:p>
        </w:tc>
      </w:tr>
      <w:tr>
        <w:trPr>
          <w:trHeight w:val="416"/>
        </w:trPr>
        <w:tc>
          <w:tcPr>
            <w:tcW w:w="3460" w:type="dxa"/>
            <w:vAlign w:val="bottom"/>
            <w:tcBorders>
              <w:left w:val="single" w:sz="8" w:color="auto"/>
              <w:right w:val="single" w:sz="8" w:color="auto"/>
            </w:tcBorders>
          </w:tcPr>
          <w:p>
            <w:pPr>
              <w:spacing w:after="0"/>
              <w:rPr>
                <w:sz w:val="24"/>
                <w:szCs w:val="24"/>
                <w:color w:val="auto"/>
              </w:rPr>
            </w:pPr>
          </w:p>
        </w:tc>
        <w:tc>
          <w:tcPr>
            <w:tcW w:w="3980" w:type="dxa"/>
            <w:vAlign w:val="bottom"/>
            <w:tcBorders>
              <w:right w:val="single" w:sz="8" w:color="auto"/>
            </w:tcBorders>
          </w:tcPr>
          <w:p>
            <w:pPr>
              <w:spacing w:after="0"/>
              <w:rPr>
                <w:sz w:val="24"/>
                <w:szCs w:val="24"/>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Operated by:</w:t>
            </w:r>
          </w:p>
        </w:tc>
        <w:tc>
          <w:tcPr>
            <w:tcW w:w="20" w:type="dxa"/>
            <w:vAlign w:val="bottom"/>
          </w:tcPr>
          <w:p>
            <w:pPr>
              <w:spacing w:after="0"/>
              <w:rPr>
                <w:sz w:val="24"/>
                <w:szCs w:val="24"/>
                <w:color w:val="auto"/>
              </w:rPr>
            </w:pPr>
          </w:p>
        </w:tc>
      </w:tr>
      <w:tr>
        <w:trPr>
          <w:trHeight w:val="212"/>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Ryder Integrated Logistics, Inc.</w:t>
            </w:r>
          </w:p>
        </w:tc>
        <w:tc>
          <w:tcPr>
            <w:tcW w:w="20" w:type="dxa"/>
            <w:vAlign w:val="bottom"/>
          </w:tcPr>
          <w:p>
            <w:pPr>
              <w:spacing w:after="0"/>
              <w:rPr>
                <w:sz w:val="18"/>
                <w:szCs w:val="18"/>
                <w:color w:val="auto"/>
              </w:rPr>
            </w:pPr>
          </w:p>
        </w:tc>
      </w:tr>
      <w:tr>
        <w:trPr>
          <w:trHeight w:val="214"/>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11690 NW 105</w:t>
            </w:r>
            <w:r>
              <w:rPr>
                <w:rFonts w:ascii="Arial" w:cs="Arial" w:eastAsia="Arial" w:hAnsi="Arial"/>
                <w:sz w:val="15"/>
                <w:szCs w:val="15"/>
                <w:color w:val="auto"/>
                <w:w w:val="90"/>
              </w:rPr>
              <w:t>th</w:t>
            </w:r>
            <w:r>
              <w:rPr>
                <w:rFonts w:ascii="Arial" w:cs="Arial" w:eastAsia="Arial" w:hAnsi="Arial"/>
                <w:sz w:val="18"/>
                <w:szCs w:val="18"/>
                <w:color w:val="auto"/>
                <w:w w:val="90"/>
              </w:rPr>
              <w:t xml:space="preserve"> Street</w:t>
            </w: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Miami, FL 33178</w:t>
            </w:r>
          </w:p>
        </w:tc>
        <w:tc>
          <w:tcPr>
            <w:tcW w:w="20" w:type="dxa"/>
            <w:vAlign w:val="bottom"/>
          </w:tcPr>
          <w:p>
            <w:pPr>
              <w:spacing w:after="0"/>
              <w:rPr>
                <w:sz w:val="19"/>
                <w:szCs w:val="19"/>
                <w:color w:val="auto"/>
              </w:rPr>
            </w:pPr>
          </w:p>
        </w:tc>
      </w:tr>
      <w:tr>
        <w:trPr>
          <w:trHeight w:val="846"/>
        </w:trPr>
        <w:tc>
          <w:tcPr>
            <w:tcW w:w="3460" w:type="dxa"/>
            <w:vAlign w:val="bottom"/>
          </w:tcPr>
          <w:p>
            <w:pPr>
              <w:spacing w:after="0"/>
              <w:rPr>
                <w:sz w:val="24"/>
                <w:szCs w:val="24"/>
                <w:color w:val="auto"/>
              </w:rPr>
            </w:pPr>
          </w:p>
        </w:tc>
        <w:tc>
          <w:tcPr>
            <w:tcW w:w="3980" w:type="dxa"/>
            <w:vAlign w:val="bottom"/>
          </w:tcPr>
          <w:p>
            <w:pPr>
              <w:jc w:val="right"/>
              <w:ind w:right="1551"/>
              <w:spacing w:after="0"/>
              <w:rPr>
                <w:sz w:val="20"/>
                <w:szCs w:val="20"/>
                <w:color w:val="auto"/>
              </w:rPr>
            </w:pPr>
            <w:r>
              <w:rPr>
                <w:rFonts w:ascii="Arial" w:cs="Arial" w:eastAsia="Arial" w:hAnsi="Arial"/>
                <w:sz w:val="18"/>
                <w:szCs w:val="18"/>
                <w:color w:val="auto"/>
              </w:rPr>
              <w:t>26</w:t>
            </w: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67" w:name="page268"/>
    <w:bookmarkEnd w:id="267"/>
    <w:p>
      <w:pPr>
        <w:jc w:val="center"/>
        <w:ind w:right="20"/>
        <w:spacing w:after="0"/>
        <w:rPr>
          <w:sz w:val="20"/>
          <w:szCs w:val="20"/>
          <w:color w:val="auto"/>
        </w:rPr>
      </w:pPr>
      <w:r>
        <w:rPr>
          <w:rFonts w:ascii="Arial" w:cs="Arial" w:eastAsia="Arial" w:hAnsi="Arial"/>
          <w:sz w:val="18"/>
          <w:szCs w:val="18"/>
          <w:color w:val="auto"/>
        </w:rPr>
        <w:t>SCHEDULE IX</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INVENTORY LOCATIONS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46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Grantor</w:t>
            </w:r>
          </w:p>
        </w:tc>
        <w:tc>
          <w:tcPr>
            <w:tcW w:w="39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Location</w:t>
            </w:r>
          </w:p>
        </w:tc>
        <w:tc>
          <w:tcPr>
            <w:tcW w:w="39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Owned/Leased/Operated by Third-Parties</w:t>
            </w:r>
          </w:p>
        </w:tc>
        <w:tc>
          <w:tcPr>
            <w:tcW w:w="20" w:type="dxa"/>
            <w:vAlign w:val="bottom"/>
          </w:tcPr>
          <w:p>
            <w:pPr>
              <w:spacing w:after="0"/>
              <w:rPr>
                <w:sz w:val="19"/>
                <w:szCs w:val="19"/>
                <w:color w:val="auto"/>
              </w:rPr>
            </w:pPr>
          </w:p>
        </w:tc>
      </w:tr>
      <w:tr>
        <w:trPr>
          <w:trHeight w:val="194"/>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Eastman Business Park</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6"/>
                <w:szCs w:val="16"/>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Rochester, NY 14652</w:t>
            </w:r>
          </w:p>
        </w:tc>
        <w:tc>
          <w:tcPr>
            <w:tcW w:w="39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2600 Manitou Road</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Leased from:</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Rochester, NY 14624</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Tech Park Owner LLC</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190 North Street</w:t>
            </w: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Brooklyn NY 11211</w:t>
            </w: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4585 Cargo Drive</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Leased from:</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Columbus, GA 31907</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Columbus Economic Development</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Corporation, 1200 Sixth Ave., Columbus,</w:t>
            </w:r>
          </w:p>
        </w:tc>
        <w:tc>
          <w:tcPr>
            <w:tcW w:w="20" w:type="dxa"/>
            <w:vAlign w:val="bottom"/>
          </w:tcPr>
          <w:p>
            <w:pPr>
              <w:spacing w:after="0"/>
              <w:rPr>
                <w:sz w:val="18"/>
                <w:szCs w:val="18"/>
                <w:color w:val="auto"/>
              </w:rPr>
            </w:pPr>
          </w:p>
        </w:tc>
      </w:tr>
      <w:tr>
        <w:trPr>
          <w:trHeight w:val="224"/>
        </w:trPr>
        <w:tc>
          <w:tcPr>
            <w:tcW w:w="3460" w:type="dxa"/>
            <w:vAlign w:val="bottom"/>
            <w:tcBorders>
              <w:left w:val="single" w:sz="8" w:color="auto"/>
              <w:right w:val="single" w:sz="8" w:color="auto"/>
            </w:tcBorders>
          </w:tcPr>
          <w:p>
            <w:pPr>
              <w:spacing w:after="0"/>
              <w:rPr>
                <w:sz w:val="19"/>
                <w:szCs w:val="19"/>
                <w:color w:val="auto"/>
              </w:rPr>
            </w:pPr>
          </w:p>
        </w:tc>
        <w:tc>
          <w:tcPr>
            <w:tcW w:w="3980" w:type="dxa"/>
            <w:vAlign w:val="bottom"/>
            <w:tcBorders>
              <w:right w:val="single" w:sz="8" w:color="auto"/>
            </w:tcBorders>
          </w:tcPr>
          <w:p>
            <w:pPr>
              <w:spacing w:after="0"/>
              <w:rPr>
                <w:sz w:val="19"/>
                <w:szCs w:val="19"/>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GA 31901</w:t>
            </w:r>
          </w:p>
        </w:tc>
        <w:tc>
          <w:tcPr>
            <w:tcW w:w="20" w:type="dxa"/>
            <w:vAlign w:val="bottom"/>
          </w:tcPr>
          <w:p>
            <w:pPr>
              <w:spacing w:after="0"/>
              <w:rPr>
                <w:sz w:val="19"/>
                <w:szCs w:val="19"/>
                <w:color w:val="auto"/>
              </w:rPr>
            </w:pPr>
          </w:p>
        </w:tc>
      </w:tr>
      <w:tr>
        <w:trPr>
          <w:trHeight w:val="416"/>
        </w:trPr>
        <w:tc>
          <w:tcPr>
            <w:tcW w:w="3460" w:type="dxa"/>
            <w:vAlign w:val="bottom"/>
            <w:tcBorders>
              <w:left w:val="single" w:sz="8" w:color="auto"/>
              <w:right w:val="single" w:sz="8" w:color="auto"/>
            </w:tcBorders>
          </w:tcPr>
          <w:p>
            <w:pPr>
              <w:spacing w:after="0"/>
              <w:rPr>
                <w:sz w:val="24"/>
                <w:szCs w:val="24"/>
                <w:color w:val="auto"/>
              </w:rPr>
            </w:pPr>
          </w:p>
        </w:tc>
        <w:tc>
          <w:tcPr>
            <w:tcW w:w="3980" w:type="dxa"/>
            <w:vAlign w:val="bottom"/>
            <w:tcBorders>
              <w:right w:val="single" w:sz="8" w:color="auto"/>
            </w:tcBorders>
          </w:tcPr>
          <w:p>
            <w:pPr>
              <w:spacing w:after="0"/>
              <w:rPr>
                <w:sz w:val="24"/>
                <w:szCs w:val="24"/>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Operated by:</w:t>
            </w:r>
          </w:p>
        </w:tc>
        <w:tc>
          <w:tcPr>
            <w:tcW w:w="20" w:type="dxa"/>
            <w:vAlign w:val="bottom"/>
          </w:tcPr>
          <w:p>
            <w:pPr>
              <w:spacing w:after="0"/>
              <w:rPr>
                <w:sz w:val="24"/>
                <w:szCs w:val="24"/>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Ryder Integrated Logistics, Inc.</w:t>
            </w: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11690 NW 105th Street, Miami FL 33178</w:t>
            </w: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3000 Research Blvd</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Leased from:</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Dayton, OH 45420</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Fifteenth Dayton, LLC</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 Lewiston Investment Company</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67 Lewiston Road</w:t>
            </w: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Grosse Pointe Farms, MI 48236</w:t>
            </w: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1025 Sandhill Road</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Leased from:</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Reno, NV 89521</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Sandhill, LLC, c/o Panattoni Development</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Company, Inc., 730 Sandhill Road, Suite 110,</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Reno, NV 89521</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Operated by:</w:t>
            </w:r>
          </w:p>
        </w:tc>
        <w:tc>
          <w:tcPr>
            <w:tcW w:w="20" w:type="dxa"/>
            <w:vAlign w:val="bottom"/>
          </w:tcPr>
          <w:p>
            <w:pPr>
              <w:spacing w:after="0"/>
              <w:rPr>
                <w:sz w:val="18"/>
                <w:szCs w:val="18"/>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Ryder Integrated Logistics, Inc.</w:t>
            </w: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11690 NW 105th Street, Miami FL 33178</w:t>
            </w: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One Polychrome Park</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6"/>
                <w:szCs w:val="16"/>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Columbus, GA 31907-2934</w:t>
            </w:r>
          </w:p>
        </w:tc>
        <w:tc>
          <w:tcPr>
            <w:tcW w:w="39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Eastman Kodak Company</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2720 Frontage Road, Weatherford, OK, 73096</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8"/>
                <w:szCs w:val="18"/>
                <w:color w:val="auto"/>
              </w:rPr>
            </w:pPr>
          </w:p>
        </w:tc>
      </w:tr>
      <w:tr>
        <w:trPr>
          <w:trHeight w:val="194"/>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EI RDC</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6"/>
                <w:szCs w:val="16"/>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 Latona Road, Building 326, Rochester, NY 14652</w:t>
            </w:r>
          </w:p>
        </w:tc>
        <w:tc>
          <w:tcPr>
            <w:tcW w:w="398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34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1669 Lake Avenue</w:t>
            </w:r>
          </w:p>
        </w:tc>
        <w:tc>
          <w:tcPr>
            <w:tcW w:w="3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Operated by: Rochester Silver Works, LLC</w:t>
            </w:r>
          </w:p>
        </w:tc>
        <w:tc>
          <w:tcPr>
            <w:tcW w:w="20" w:type="dxa"/>
            <w:vAlign w:val="bottom"/>
          </w:tcPr>
          <w:p>
            <w:pPr>
              <w:spacing w:after="0"/>
              <w:rPr>
                <w:sz w:val="16"/>
                <w:szCs w:val="16"/>
                <w:color w:val="auto"/>
              </w:rPr>
            </w:pPr>
          </w:p>
        </w:tc>
      </w:tr>
      <w:tr>
        <w:trPr>
          <w:trHeight w:val="213"/>
        </w:trPr>
        <w:tc>
          <w:tcPr>
            <w:tcW w:w="34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Rochester, NY 14650</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PO Box 15397</w:t>
            </w:r>
          </w:p>
        </w:tc>
        <w:tc>
          <w:tcPr>
            <w:tcW w:w="20" w:type="dxa"/>
            <w:vAlign w:val="bottom"/>
          </w:tcPr>
          <w:p>
            <w:pPr>
              <w:spacing w:after="0"/>
              <w:rPr>
                <w:sz w:val="18"/>
                <w:szCs w:val="18"/>
                <w:color w:val="auto"/>
              </w:rPr>
            </w:pPr>
          </w:p>
        </w:tc>
      </w:tr>
      <w:tr>
        <w:trPr>
          <w:trHeight w:val="225"/>
        </w:trPr>
        <w:tc>
          <w:tcPr>
            <w:tcW w:w="34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Rochester, NY 14615-5397</w:t>
            </w:r>
          </w:p>
        </w:tc>
        <w:tc>
          <w:tcPr>
            <w:tcW w:w="20" w:type="dxa"/>
            <w:vAlign w:val="bottom"/>
          </w:tcPr>
          <w:p>
            <w:pPr>
              <w:spacing w:after="0"/>
              <w:rPr>
                <w:sz w:val="19"/>
                <w:szCs w:val="19"/>
                <w:color w:val="auto"/>
              </w:rPr>
            </w:pPr>
          </w:p>
        </w:tc>
      </w:tr>
      <w:tr>
        <w:trPr>
          <w:trHeight w:val="846"/>
        </w:trPr>
        <w:tc>
          <w:tcPr>
            <w:tcW w:w="3460" w:type="dxa"/>
            <w:vAlign w:val="bottom"/>
          </w:tcPr>
          <w:p>
            <w:pPr>
              <w:spacing w:after="0"/>
              <w:rPr>
                <w:sz w:val="24"/>
                <w:szCs w:val="24"/>
                <w:color w:val="auto"/>
              </w:rPr>
            </w:pPr>
          </w:p>
        </w:tc>
        <w:tc>
          <w:tcPr>
            <w:tcW w:w="3980" w:type="dxa"/>
            <w:vAlign w:val="bottom"/>
          </w:tcPr>
          <w:p>
            <w:pPr>
              <w:jc w:val="right"/>
              <w:ind w:right="1551"/>
              <w:spacing w:after="0"/>
              <w:rPr>
                <w:sz w:val="20"/>
                <w:szCs w:val="20"/>
                <w:color w:val="auto"/>
              </w:rPr>
            </w:pPr>
            <w:r>
              <w:rPr>
                <w:rFonts w:ascii="Arial" w:cs="Arial" w:eastAsia="Arial" w:hAnsi="Arial"/>
                <w:sz w:val="18"/>
                <w:szCs w:val="18"/>
                <w:color w:val="auto"/>
              </w:rPr>
              <w:t>27</w:t>
            </w: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68" w:name="page269"/>
    <w:bookmarkEnd w:id="268"/>
    <w:p>
      <w:pPr>
        <w:jc w:val="center"/>
        <w:ind w:right="20"/>
        <w:spacing w:after="0"/>
        <w:rPr>
          <w:sz w:val="20"/>
          <w:szCs w:val="20"/>
          <w:color w:val="auto"/>
        </w:rPr>
      </w:pPr>
      <w:r>
        <w:rPr>
          <w:rFonts w:ascii="Arial" w:cs="Arial" w:eastAsia="Arial" w:hAnsi="Arial"/>
          <w:sz w:val="18"/>
          <w:szCs w:val="18"/>
          <w:color w:val="auto"/>
        </w:rPr>
        <w:t>SCHEDULE X</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COMMERCIAL TORT CLAIMS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48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5"/>
              </w:rPr>
              <w:t>Case No.</w:t>
            </w:r>
          </w:p>
        </w:tc>
        <w:tc>
          <w:tcPr>
            <w:tcW w:w="516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5"/>
              </w:rPr>
              <w:t>Parties</w:t>
            </w:r>
          </w:p>
        </w:tc>
        <w:tc>
          <w:tcPr>
            <w:tcW w:w="378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4"/>
              </w:rPr>
              <w:t>Venue</w:t>
            </w:r>
          </w:p>
        </w:tc>
        <w:tc>
          <w:tcPr>
            <w:tcW w:w="20" w:type="dxa"/>
            <w:vAlign w:val="bottom"/>
          </w:tcPr>
          <w:p>
            <w:pPr>
              <w:spacing w:after="0"/>
              <w:rPr>
                <w:sz w:val="23"/>
                <w:szCs w:val="23"/>
                <w:color w:val="auto"/>
              </w:rPr>
            </w:pPr>
          </w:p>
        </w:tc>
      </w:tr>
      <w:tr>
        <w:trPr>
          <w:trHeight w:val="194"/>
        </w:trPr>
        <w:tc>
          <w:tcPr>
            <w:tcW w:w="2480" w:type="dxa"/>
            <w:vAlign w:val="bottom"/>
            <w:tcBorders>
              <w:top w:val="single" w:sz="8" w:color="auto"/>
              <w:left w:val="single" w:sz="8" w:color="auto"/>
              <w:right w:val="single" w:sz="8" w:color="auto"/>
            </w:tcBorders>
          </w:tcPr>
          <w:p>
            <w:pPr>
              <w:spacing w:after="0"/>
              <w:rPr>
                <w:sz w:val="16"/>
                <w:szCs w:val="16"/>
                <w:color w:val="auto"/>
              </w:rPr>
            </w:pPr>
          </w:p>
        </w:tc>
        <w:tc>
          <w:tcPr>
            <w:tcW w:w="51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Eastman Kodak Company vs. The Goldman Sachs Group,</w:t>
            </w:r>
          </w:p>
        </w:tc>
        <w:tc>
          <w:tcPr>
            <w:tcW w:w="37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United States District Court for the Western</w:t>
            </w:r>
          </w:p>
        </w:tc>
        <w:tc>
          <w:tcPr>
            <w:tcW w:w="20" w:type="dxa"/>
            <w:vAlign w:val="bottom"/>
          </w:tcPr>
          <w:p>
            <w:pPr>
              <w:spacing w:after="0"/>
              <w:rPr>
                <w:sz w:val="16"/>
                <w:szCs w:val="16"/>
                <w:color w:val="auto"/>
              </w:rPr>
            </w:pPr>
          </w:p>
        </w:tc>
      </w:tr>
      <w:tr>
        <w:trPr>
          <w:trHeight w:val="213"/>
        </w:trPr>
        <w:tc>
          <w:tcPr>
            <w:tcW w:w="248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 Metro International Trade Services LLC, JP Morgan</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District of New York</w:t>
            </w:r>
          </w:p>
        </w:tc>
        <w:tc>
          <w:tcPr>
            <w:tcW w:w="20" w:type="dxa"/>
            <w:vAlign w:val="bottom"/>
          </w:tcPr>
          <w:p>
            <w:pPr>
              <w:spacing w:after="0"/>
              <w:rPr>
                <w:sz w:val="18"/>
                <w:szCs w:val="18"/>
                <w:color w:val="auto"/>
              </w:rPr>
            </w:pPr>
          </w:p>
        </w:tc>
      </w:tr>
      <w:tr>
        <w:trPr>
          <w:trHeight w:val="213"/>
        </w:trPr>
        <w:tc>
          <w:tcPr>
            <w:tcW w:w="2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6:14-CV-06429</w:t>
            </w:r>
          </w:p>
        </w:tc>
        <w:tc>
          <w:tcPr>
            <w:tcW w:w="5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Chase &amp; Company, Henry Bath LLC, Glencore Xstrata,</w:t>
            </w:r>
          </w:p>
        </w:tc>
        <w:tc>
          <w:tcPr>
            <w:tcW w:w="37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480" w:type="dxa"/>
            <w:vAlign w:val="bottom"/>
            <w:tcBorders>
              <w:left w:val="single" w:sz="8" w:color="auto"/>
              <w:right w:val="single" w:sz="8" w:color="auto"/>
            </w:tcBorders>
          </w:tcPr>
          <w:p>
            <w:pPr>
              <w:spacing w:after="0"/>
              <w:rPr>
                <w:sz w:val="18"/>
                <w:szCs w:val="18"/>
                <w:color w:val="auto"/>
              </w:rPr>
            </w:pPr>
          </w:p>
        </w:tc>
        <w:tc>
          <w:tcPr>
            <w:tcW w:w="5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PLC, Glencore Ltd., Pacorini Metals USA LLC, Pacorini</w:t>
            </w:r>
          </w:p>
        </w:tc>
        <w:tc>
          <w:tcPr>
            <w:tcW w:w="37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480" w:type="dxa"/>
            <w:vAlign w:val="bottom"/>
            <w:tcBorders>
              <w:left w:val="single" w:sz="8" w:color="auto"/>
              <w:right w:val="single" w:sz="8" w:color="auto"/>
            </w:tcBorders>
          </w:tcPr>
          <w:p>
            <w:pPr>
              <w:spacing w:after="0"/>
              <w:rPr>
                <w:sz w:val="19"/>
                <w:szCs w:val="19"/>
                <w:color w:val="auto"/>
              </w:rPr>
            </w:pPr>
          </w:p>
        </w:tc>
        <w:tc>
          <w:tcPr>
            <w:tcW w:w="5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Metals Vlissingen BV, and London Metal Exchange, Ltd.</w:t>
            </w:r>
          </w:p>
        </w:tc>
        <w:tc>
          <w:tcPr>
            <w:tcW w:w="37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1"/>
        </w:trPr>
        <w:tc>
          <w:tcPr>
            <w:tcW w:w="2480" w:type="dxa"/>
            <w:vAlign w:val="bottom"/>
            <w:tcBorders>
              <w:left w:val="single" w:sz="8" w:color="auto"/>
              <w:bottom w:val="single" w:sz="8" w:color="auto"/>
              <w:right w:val="single" w:sz="8" w:color="auto"/>
            </w:tcBorders>
          </w:tcPr>
          <w:p>
            <w:pPr>
              <w:spacing w:after="0"/>
              <w:rPr>
                <w:sz w:val="10"/>
                <w:szCs w:val="10"/>
                <w:color w:val="auto"/>
              </w:rPr>
            </w:pPr>
          </w:p>
        </w:tc>
        <w:tc>
          <w:tcPr>
            <w:tcW w:w="5160" w:type="dxa"/>
            <w:vAlign w:val="bottom"/>
            <w:tcBorders>
              <w:bottom w:val="single" w:sz="8" w:color="auto"/>
              <w:right w:val="single" w:sz="8" w:color="auto"/>
            </w:tcBorders>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632"/>
        </w:trPr>
        <w:tc>
          <w:tcPr>
            <w:tcW w:w="2480" w:type="dxa"/>
            <w:vAlign w:val="bottom"/>
          </w:tcPr>
          <w:p>
            <w:pPr>
              <w:spacing w:after="0"/>
              <w:rPr>
                <w:sz w:val="24"/>
                <w:szCs w:val="24"/>
                <w:color w:val="auto"/>
              </w:rPr>
            </w:pPr>
          </w:p>
        </w:tc>
        <w:tc>
          <w:tcPr>
            <w:tcW w:w="5160" w:type="dxa"/>
            <w:vAlign w:val="bottom"/>
          </w:tcPr>
          <w:p>
            <w:pPr>
              <w:jc w:val="right"/>
              <w:ind w:right="1751"/>
              <w:spacing w:after="0"/>
              <w:rPr>
                <w:sz w:val="20"/>
                <w:szCs w:val="20"/>
                <w:color w:val="auto"/>
              </w:rPr>
            </w:pPr>
            <w:r>
              <w:rPr>
                <w:rFonts w:ascii="Arial" w:cs="Arial" w:eastAsia="Arial" w:hAnsi="Arial"/>
                <w:sz w:val="18"/>
                <w:szCs w:val="18"/>
                <w:color w:val="auto"/>
              </w:rPr>
              <w:t>28</w:t>
            </w: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80" w:type="dxa"/>
            <w:vAlign w:val="bottom"/>
            <w:tcBorders>
              <w:bottom w:val="single" w:sz="8" w:color="9A9A9A"/>
            </w:tcBorders>
          </w:tcPr>
          <w:p>
            <w:pPr>
              <w:spacing w:after="0"/>
              <w:rPr>
                <w:sz w:val="9"/>
                <w:szCs w:val="9"/>
                <w:color w:val="auto"/>
              </w:rPr>
            </w:pPr>
          </w:p>
        </w:tc>
        <w:tc>
          <w:tcPr>
            <w:tcW w:w="516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69" w:name="page270"/>
    <w:bookmarkEnd w:id="269"/>
    <w:p>
      <w:pPr>
        <w:jc w:val="center"/>
        <w:ind w:right="-20"/>
        <w:spacing w:after="0"/>
        <w:rPr>
          <w:sz w:val="20"/>
          <w:szCs w:val="20"/>
          <w:color w:val="auto"/>
        </w:rPr>
      </w:pPr>
      <w:r>
        <w:rPr>
          <w:rFonts w:ascii="Arial" w:cs="Arial" w:eastAsia="Arial" w:hAnsi="Arial"/>
          <w:sz w:val="18"/>
          <w:szCs w:val="18"/>
          <w:color w:val="auto"/>
        </w:rPr>
        <w:t>SCHEDULE XI</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MERGERS AND ACQUISITIONS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70" w:name="page271"/>
    <w:bookmarkEnd w:id="270"/>
    <w:p>
      <w:pPr>
        <w:jc w:val="center"/>
        <w:ind w:right="20"/>
        <w:spacing w:after="0"/>
        <w:rPr>
          <w:sz w:val="20"/>
          <w:szCs w:val="20"/>
          <w:color w:val="auto"/>
        </w:rPr>
      </w:pPr>
      <w:r>
        <w:rPr>
          <w:rFonts w:ascii="Arial" w:cs="Arial" w:eastAsia="Arial" w:hAnsi="Arial"/>
          <w:sz w:val="18"/>
          <w:szCs w:val="18"/>
          <w:color w:val="auto"/>
        </w:rPr>
        <w:t>SCHEDULE XII</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LOCATIONS OF BOOKS AND RECORDS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840" w:type="dxa"/>
            <w:vAlign w:val="bottom"/>
            <w:tcBorders>
              <w:top w:val="single" w:sz="8" w:color="auto"/>
              <w:left w:val="single" w:sz="8" w:color="auto"/>
              <w:bottom w:val="single" w:sz="8" w:color="auto"/>
            </w:tcBorders>
            <w:shd w:val="clear" w:color="auto" w:fill="D9D9D9"/>
          </w:tcPr>
          <w:p>
            <w:pPr>
              <w:jc w:val="center"/>
              <w:ind w:left="811"/>
              <w:spacing w:after="0"/>
              <w:rPr>
                <w:sz w:val="20"/>
                <w:szCs w:val="20"/>
                <w:color w:val="auto"/>
              </w:rPr>
            </w:pPr>
            <w:r>
              <w:rPr>
                <w:rFonts w:ascii="Arial" w:cs="Arial" w:eastAsia="Arial" w:hAnsi="Arial"/>
                <w:sz w:val="18"/>
                <w:szCs w:val="18"/>
                <w:color w:val="auto"/>
                <w:w w:val="88"/>
              </w:rPr>
              <w:t>Grantor</w:t>
            </w:r>
          </w:p>
        </w:tc>
        <w:tc>
          <w:tcPr>
            <w:tcW w:w="90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5680" w:type="dxa"/>
            <w:vAlign w:val="bottom"/>
            <w:tcBorders>
              <w:top w:val="single" w:sz="8" w:color="auto"/>
              <w:bottom w:val="single" w:sz="8" w:color="auto"/>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color w:val="auto"/>
                <w:w w:val="89"/>
              </w:rPr>
              <w:t>Locations of Books and Records</w:t>
            </w:r>
          </w:p>
        </w:tc>
        <w:tc>
          <w:tcPr>
            <w:tcW w:w="20" w:type="dxa"/>
            <w:vAlign w:val="bottom"/>
          </w:tcPr>
          <w:p>
            <w:pPr>
              <w:spacing w:after="0"/>
              <w:rPr>
                <w:sz w:val="19"/>
                <w:szCs w:val="19"/>
                <w:color w:val="auto"/>
              </w:rPr>
            </w:pPr>
          </w:p>
        </w:tc>
      </w:tr>
      <w:tr>
        <w:trPr>
          <w:trHeight w:val="194"/>
        </w:trPr>
        <w:tc>
          <w:tcPr>
            <w:tcW w:w="4840" w:type="dxa"/>
            <w:vAlign w:val="bottom"/>
            <w:tcBorders>
              <w:left w:val="single" w:sz="8" w:color="auto"/>
            </w:tcBorders>
          </w:tcPr>
          <w:p>
            <w:pPr>
              <w:jc w:val="center"/>
              <w:ind w:left="811"/>
              <w:spacing w:after="0" w:line="195" w:lineRule="exact"/>
              <w:rPr>
                <w:sz w:val="20"/>
                <w:szCs w:val="20"/>
                <w:color w:val="auto"/>
              </w:rPr>
            </w:pPr>
            <w:r>
              <w:rPr>
                <w:rFonts w:ascii="Arial" w:cs="Arial" w:eastAsia="Arial" w:hAnsi="Arial"/>
                <w:sz w:val="18"/>
                <w:szCs w:val="18"/>
                <w:b w:val="1"/>
                <w:bCs w:val="1"/>
                <w:color w:val="auto"/>
                <w:w w:val="90"/>
              </w:rPr>
              <w:t>· Eastman Kodak Company</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5"/>
        </w:trPr>
        <w:tc>
          <w:tcPr>
            <w:tcW w:w="484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Rochester, New York 14650</w:t>
            </w:r>
          </w:p>
        </w:tc>
        <w:tc>
          <w:tcPr>
            <w:tcW w:w="20" w:type="dxa"/>
            <w:vAlign w:val="bottom"/>
          </w:tcPr>
          <w:p>
            <w:pPr>
              <w:spacing w:after="0"/>
              <w:rPr>
                <w:sz w:val="19"/>
                <w:szCs w:val="19"/>
                <w:color w:val="auto"/>
              </w:rPr>
            </w:pPr>
          </w:p>
        </w:tc>
      </w:tr>
      <w:tr>
        <w:trPr>
          <w:trHeight w:val="195"/>
        </w:trPr>
        <w:tc>
          <w:tcPr>
            <w:tcW w:w="4840" w:type="dxa"/>
            <w:vAlign w:val="bottom"/>
            <w:tcBorders>
              <w:left w:val="single" w:sz="8" w:color="auto"/>
            </w:tcBorders>
          </w:tcPr>
          <w:p>
            <w:pPr>
              <w:jc w:val="center"/>
              <w:ind w:left="791"/>
              <w:spacing w:after="0" w:line="195" w:lineRule="exact"/>
              <w:rPr>
                <w:sz w:val="20"/>
                <w:szCs w:val="20"/>
                <w:color w:val="auto"/>
              </w:rPr>
            </w:pPr>
            <w:r>
              <w:rPr>
                <w:rFonts w:ascii="Arial" w:cs="Arial" w:eastAsia="Arial" w:hAnsi="Arial"/>
                <w:sz w:val="18"/>
                <w:szCs w:val="18"/>
                <w:color w:val="auto"/>
                <w:w w:val="89"/>
              </w:rPr>
              <w:t>Far East Development Ltd.</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4"/>
        </w:trPr>
        <w:tc>
          <w:tcPr>
            <w:tcW w:w="4840" w:type="dxa"/>
            <w:vAlign w:val="bottom"/>
            <w:tcBorders>
              <w:lef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140" w:type="dxa"/>
            <w:vAlign w:val="bottom"/>
          </w:tcPr>
          <w:p>
            <w:pPr>
              <w:ind w:left="2020"/>
              <w:spacing w:after="0"/>
              <w:rPr>
                <w:sz w:val="20"/>
                <w:szCs w:val="20"/>
                <w:color w:val="auto"/>
              </w:rPr>
            </w:pPr>
            <w:r>
              <w:rPr>
                <w:rFonts w:ascii="Arial" w:cs="Arial" w:eastAsia="Arial" w:hAnsi="Arial"/>
                <w:sz w:val="18"/>
                <w:szCs w:val="18"/>
                <w:color w:val="auto"/>
                <w:w w:val="93"/>
              </w:rPr>
              <w:t>Rochester, NY</w:t>
            </w:r>
          </w:p>
        </w:tc>
        <w:tc>
          <w:tcPr>
            <w:tcW w:w="2540" w:type="dxa"/>
            <w:vAlign w:val="bottom"/>
            <w:tcBorders>
              <w:right w:val="single" w:sz="8" w:color="auto"/>
            </w:tcBorders>
          </w:tcPr>
          <w:p>
            <w:pPr>
              <w:jc w:val="right"/>
              <w:ind w:right="1951"/>
              <w:spacing w:after="0"/>
              <w:rPr>
                <w:sz w:val="20"/>
                <w:szCs w:val="20"/>
                <w:color w:val="auto"/>
              </w:rPr>
            </w:pPr>
            <w:r>
              <w:rPr>
                <w:rFonts w:ascii="Arial" w:cs="Arial" w:eastAsia="Arial" w:hAnsi="Arial"/>
                <w:sz w:val="18"/>
                <w:szCs w:val="18"/>
                <w:color w:val="auto"/>
                <w:w w:val="95"/>
              </w:rPr>
              <w:t>14650</w:t>
            </w:r>
          </w:p>
        </w:tc>
        <w:tc>
          <w:tcPr>
            <w:tcW w:w="20" w:type="dxa"/>
            <w:vAlign w:val="bottom"/>
          </w:tcPr>
          <w:p>
            <w:pPr>
              <w:spacing w:after="0"/>
              <w:rPr>
                <w:sz w:val="19"/>
                <w:szCs w:val="19"/>
                <w:color w:val="auto"/>
              </w:rPr>
            </w:pPr>
          </w:p>
        </w:tc>
      </w:tr>
      <w:tr>
        <w:trPr>
          <w:trHeight w:val="28"/>
        </w:trPr>
        <w:tc>
          <w:tcPr>
            <w:tcW w:w="48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840" w:type="dxa"/>
            <w:vAlign w:val="bottom"/>
            <w:tcBorders>
              <w:left w:val="single" w:sz="8" w:color="auto"/>
            </w:tcBorders>
          </w:tcPr>
          <w:p>
            <w:pPr>
              <w:jc w:val="center"/>
              <w:ind w:left="811"/>
              <w:spacing w:after="0" w:line="195" w:lineRule="exact"/>
              <w:rPr>
                <w:sz w:val="20"/>
                <w:szCs w:val="20"/>
                <w:color w:val="auto"/>
              </w:rPr>
            </w:pPr>
            <w:r>
              <w:rPr>
                <w:rFonts w:ascii="Arial" w:cs="Arial" w:eastAsia="Arial" w:hAnsi="Arial"/>
                <w:sz w:val="18"/>
                <w:szCs w:val="18"/>
                <w:color w:val="auto"/>
                <w:w w:val="88"/>
              </w:rPr>
              <w:t>FPC Inc.</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4"/>
        </w:trPr>
        <w:tc>
          <w:tcPr>
            <w:tcW w:w="4840" w:type="dxa"/>
            <w:vAlign w:val="bottom"/>
            <w:tcBorders>
              <w:lef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140" w:type="dxa"/>
            <w:vAlign w:val="bottom"/>
          </w:tcPr>
          <w:p>
            <w:pPr>
              <w:ind w:left="2020"/>
              <w:spacing w:after="0"/>
              <w:rPr>
                <w:sz w:val="20"/>
                <w:szCs w:val="20"/>
                <w:color w:val="auto"/>
              </w:rPr>
            </w:pPr>
            <w:r>
              <w:rPr>
                <w:rFonts w:ascii="Arial" w:cs="Arial" w:eastAsia="Arial" w:hAnsi="Arial"/>
                <w:sz w:val="18"/>
                <w:szCs w:val="18"/>
                <w:color w:val="auto"/>
                <w:w w:val="93"/>
              </w:rPr>
              <w:t>Rochester, NY</w:t>
            </w:r>
          </w:p>
        </w:tc>
        <w:tc>
          <w:tcPr>
            <w:tcW w:w="2540" w:type="dxa"/>
            <w:vAlign w:val="bottom"/>
            <w:tcBorders>
              <w:right w:val="single" w:sz="8" w:color="auto"/>
            </w:tcBorders>
          </w:tcPr>
          <w:p>
            <w:pPr>
              <w:jc w:val="right"/>
              <w:ind w:right="1951"/>
              <w:spacing w:after="0"/>
              <w:rPr>
                <w:sz w:val="20"/>
                <w:szCs w:val="20"/>
                <w:color w:val="auto"/>
              </w:rPr>
            </w:pPr>
            <w:r>
              <w:rPr>
                <w:rFonts w:ascii="Arial" w:cs="Arial" w:eastAsia="Arial" w:hAnsi="Arial"/>
                <w:sz w:val="18"/>
                <w:szCs w:val="18"/>
                <w:color w:val="auto"/>
                <w:w w:val="95"/>
              </w:rPr>
              <w:t>14650</w:t>
            </w:r>
          </w:p>
        </w:tc>
        <w:tc>
          <w:tcPr>
            <w:tcW w:w="20" w:type="dxa"/>
            <w:vAlign w:val="bottom"/>
          </w:tcPr>
          <w:p>
            <w:pPr>
              <w:spacing w:after="0"/>
              <w:rPr>
                <w:sz w:val="19"/>
                <w:szCs w:val="19"/>
                <w:color w:val="auto"/>
              </w:rPr>
            </w:pPr>
          </w:p>
        </w:tc>
      </w:tr>
      <w:tr>
        <w:trPr>
          <w:trHeight w:val="28"/>
        </w:trPr>
        <w:tc>
          <w:tcPr>
            <w:tcW w:w="48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840" w:type="dxa"/>
            <w:vAlign w:val="bottom"/>
            <w:tcBorders>
              <w:left w:val="single" w:sz="8" w:color="auto"/>
            </w:tcBorders>
          </w:tcPr>
          <w:p>
            <w:pPr>
              <w:jc w:val="center"/>
              <w:ind w:left="811"/>
              <w:spacing w:after="0" w:line="195" w:lineRule="exact"/>
              <w:rPr>
                <w:sz w:val="20"/>
                <w:szCs w:val="20"/>
                <w:color w:val="auto"/>
              </w:rPr>
            </w:pPr>
            <w:r>
              <w:rPr>
                <w:rFonts w:ascii="Arial" w:cs="Arial" w:eastAsia="Arial" w:hAnsi="Arial"/>
                <w:sz w:val="18"/>
                <w:szCs w:val="18"/>
                <w:color w:val="auto"/>
                <w:w w:val="90"/>
              </w:rPr>
              <w:t>Kodak (Near East), Inc.</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5"/>
        </w:trPr>
        <w:tc>
          <w:tcPr>
            <w:tcW w:w="484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w w:val="93"/>
              </w:rPr>
              <w:t>Rochester, NY</w:t>
            </w:r>
          </w:p>
        </w:tc>
        <w:tc>
          <w:tcPr>
            <w:tcW w:w="2540" w:type="dxa"/>
            <w:vAlign w:val="bottom"/>
            <w:tcBorders>
              <w:bottom w:val="single" w:sz="8" w:color="auto"/>
              <w:right w:val="single" w:sz="8" w:color="auto"/>
            </w:tcBorders>
          </w:tcPr>
          <w:p>
            <w:pPr>
              <w:jc w:val="right"/>
              <w:ind w:right="1951"/>
              <w:spacing w:after="0"/>
              <w:rPr>
                <w:sz w:val="20"/>
                <w:szCs w:val="20"/>
                <w:color w:val="auto"/>
              </w:rPr>
            </w:pPr>
            <w:r>
              <w:rPr>
                <w:rFonts w:ascii="Arial" w:cs="Arial" w:eastAsia="Arial" w:hAnsi="Arial"/>
                <w:sz w:val="18"/>
                <w:szCs w:val="18"/>
                <w:color w:val="auto"/>
                <w:w w:val="95"/>
              </w:rPr>
              <w:t>14650</w:t>
            </w:r>
          </w:p>
        </w:tc>
        <w:tc>
          <w:tcPr>
            <w:tcW w:w="20" w:type="dxa"/>
            <w:vAlign w:val="bottom"/>
          </w:tcPr>
          <w:p>
            <w:pPr>
              <w:spacing w:after="0"/>
              <w:rPr>
                <w:sz w:val="19"/>
                <w:szCs w:val="19"/>
                <w:color w:val="auto"/>
              </w:rPr>
            </w:pPr>
          </w:p>
        </w:tc>
      </w:tr>
      <w:tr>
        <w:trPr>
          <w:trHeight w:val="195"/>
        </w:trPr>
        <w:tc>
          <w:tcPr>
            <w:tcW w:w="4840" w:type="dxa"/>
            <w:vAlign w:val="bottom"/>
            <w:tcBorders>
              <w:left w:val="single" w:sz="8" w:color="auto"/>
            </w:tcBorders>
          </w:tcPr>
          <w:p>
            <w:pPr>
              <w:jc w:val="center"/>
              <w:ind w:left="811"/>
              <w:spacing w:after="0" w:line="195" w:lineRule="exact"/>
              <w:rPr>
                <w:sz w:val="20"/>
                <w:szCs w:val="20"/>
                <w:color w:val="auto"/>
              </w:rPr>
            </w:pPr>
            <w:r>
              <w:rPr>
                <w:rFonts w:ascii="Arial" w:cs="Arial" w:eastAsia="Arial" w:hAnsi="Arial"/>
                <w:sz w:val="18"/>
                <w:szCs w:val="18"/>
                <w:color w:val="auto"/>
                <w:w w:val="92"/>
              </w:rPr>
              <w:t>Kodak Americas, Ltd.</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4"/>
        </w:trPr>
        <w:tc>
          <w:tcPr>
            <w:tcW w:w="4840" w:type="dxa"/>
            <w:vAlign w:val="bottom"/>
            <w:tcBorders>
              <w:lef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Rochester, NY 14650</w:t>
            </w:r>
          </w:p>
        </w:tc>
        <w:tc>
          <w:tcPr>
            <w:tcW w:w="20" w:type="dxa"/>
            <w:vAlign w:val="bottom"/>
          </w:tcPr>
          <w:p>
            <w:pPr>
              <w:spacing w:after="0"/>
              <w:rPr>
                <w:sz w:val="19"/>
                <w:szCs w:val="19"/>
                <w:color w:val="auto"/>
              </w:rPr>
            </w:pPr>
          </w:p>
        </w:tc>
      </w:tr>
      <w:tr>
        <w:trPr>
          <w:trHeight w:val="28"/>
        </w:trPr>
        <w:tc>
          <w:tcPr>
            <w:tcW w:w="48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840" w:type="dxa"/>
            <w:vAlign w:val="bottom"/>
            <w:tcBorders>
              <w:left w:val="single" w:sz="8" w:color="auto"/>
            </w:tcBorders>
          </w:tcPr>
          <w:p>
            <w:pPr>
              <w:jc w:val="center"/>
              <w:ind w:left="811"/>
              <w:spacing w:after="0" w:line="195" w:lineRule="exact"/>
              <w:rPr>
                <w:sz w:val="20"/>
                <w:szCs w:val="20"/>
                <w:color w:val="auto"/>
              </w:rPr>
            </w:pPr>
            <w:r>
              <w:rPr>
                <w:rFonts w:ascii="Arial" w:cs="Arial" w:eastAsia="Arial" w:hAnsi="Arial"/>
                <w:sz w:val="18"/>
                <w:szCs w:val="18"/>
                <w:color w:val="auto"/>
                <w:w w:val="92"/>
              </w:rPr>
              <w:t>Kodak Philippines, Ltd.</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4"/>
        </w:trPr>
        <w:tc>
          <w:tcPr>
            <w:tcW w:w="4840" w:type="dxa"/>
            <w:vAlign w:val="bottom"/>
            <w:tcBorders>
              <w:lef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Rochester, NY 14650</w:t>
            </w:r>
          </w:p>
        </w:tc>
        <w:tc>
          <w:tcPr>
            <w:tcW w:w="20" w:type="dxa"/>
            <w:vAlign w:val="bottom"/>
          </w:tcPr>
          <w:p>
            <w:pPr>
              <w:spacing w:after="0"/>
              <w:rPr>
                <w:sz w:val="19"/>
                <w:szCs w:val="19"/>
                <w:color w:val="auto"/>
              </w:rPr>
            </w:pPr>
          </w:p>
        </w:tc>
      </w:tr>
      <w:tr>
        <w:trPr>
          <w:trHeight w:val="28"/>
        </w:trPr>
        <w:tc>
          <w:tcPr>
            <w:tcW w:w="48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840" w:type="dxa"/>
            <w:vAlign w:val="bottom"/>
            <w:tcBorders>
              <w:left w:val="single" w:sz="8" w:color="auto"/>
            </w:tcBorders>
          </w:tcPr>
          <w:p>
            <w:pPr>
              <w:jc w:val="center"/>
              <w:ind w:left="811"/>
              <w:spacing w:after="0" w:line="195" w:lineRule="exact"/>
              <w:rPr>
                <w:sz w:val="20"/>
                <w:szCs w:val="20"/>
                <w:color w:val="auto"/>
              </w:rPr>
            </w:pPr>
            <w:r>
              <w:rPr>
                <w:rFonts w:ascii="Arial" w:cs="Arial" w:eastAsia="Arial" w:hAnsi="Arial"/>
                <w:sz w:val="18"/>
                <w:szCs w:val="18"/>
                <w:color w:val="auto"/>
                <w:w w:val="91"/>
              </w:rPr>
              <w:t>Kodak Realty, Inc.</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4"/>
        </w:trPr>
        <w:tc>
          <w:tcPr>
            <w:tcW w:w="4840" w:type="dxa"/>
            <w:vAlign w:val="bottom"/>
            <w:tcBorders>
              <w:lef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140" w:type="dxa"/>
            <w:vAlign w:val="bottom"/>
          </w:tcPr>
          <w:p>
            <w:pPr>
              <w:ind w:left="2000"/>
              <w:spacing w:after="0"/>
              <w:rPr>
                <w:sz w:val="20"/>
                <w:szCs w:val="20"/>
                <w:color w:val="auto"/>
              </w:rPr>
            </w:pPr>
            <w:r>
              <w:rPr>
                <w:rFonts w:ascii="Arial" w:cs="Arial" w:eastAsia="Arial" w:hAnsi="Arial"/>
                <w:sz w:val="18"/>
                <w:szCs w:val="18"/>
                <w:color w:val="auto"/>
                <w:w w:val="95"/>
              </w:rPr>
              <w:t>Rochester, NY</w:t>
            </w:r>
          </w:p>
        </w:tc>
        <w:tc>
          <w:tcPr>
            <w:tcW w:w="2540" w:type="dxa"/>
            <w:vAlign w:val="bottom"/>
            <w:tcBorders>
              <w:right w:val="single" w:sz="8" w:color="auto"/>
            </w:tcBorders>
          </w:tcPr>
          <w:p>
            <w:pPr>
              <w:jc w:val="right"/>
              <w:ind w:right="1931"/>
              <w:spacing w:after="0"/>
              <w:rPr>
                <w:sz w:val="20"/>
                <w:szCs w:val="20"/>
                <w:color w:val="auto"/>
              </w:rPr>
            </w:pPr>
            <w:r>
              <w:rPr>
                <w:rFonts w:ascii="Arial" w:cs="Arial" w:eastAsia="Arial" w:hAnsi="Arial"/>
                <w:sz w:val="18"/>
                <w:szCs w:val="18"/>
                <w:color w:val="auto"/>
                <w:w w:val="99"/>
              </w:rPr>
              <w:t>14650</w:t>
            </w:r>
          </w:p>
        </w:tc>
        <w:tc>
          <w:tcPr>
            <w:tcW w:w="20" w:type="dxa"/>
            <w:vAlign w:val="bottom"/>
          </w:tcPr>
          <w:p>
            <w:pPr>
              <w:spacing w:after="0"/>
              <w:rPr>
                <w:sz w:val="19"/>
                <w:szCs w:val="19"/>
                <w:color w:val="auto"/>
              </w:rPr>
            </w:pPr>
          </w:p>
        </w:tc>
      </w:tr>
      <w:tr>
        <w:trPr>
          <w:trHeight w:val="28"/>
        </w:trPr>
        <w:tc>
          <w:tcPr>
            <w:tcW w:w="48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840" w:type="dxa"/>
            <w:vAlign w:val="bottom"/>
            <w:tcBorders>
              <w:left w:val="single" w:sz="8" w:color="auto"/>
            </w:tcBorders>
          </w:tcPr>
          <w:p>
            <w:pPr>
              <w:jc w:val="center"/>
              <w:ind w:left="811"/>
              <w:spacing w:after="0" w:line="195" w:lineRule="exact"/>
              <w:rPr>
                <w:sz w:val="20"/>
                <w:szCs w:val="20"/>
                <w:color w:val="auto"/>
              </w:rPr>
            </w:pPr>
            <w:r>
              <w:rPr>
                <w:rFonts w:ascii="Arial" w:cs="Arial" w:eastAsia="Arial" w:hAnsi="Arial"/>
                <w:sz w:val="18"/>
                <w:szCs w:val="18"/>
                <w:color w:val="auto"/>
                <w:w w:val="91"/>
              </w:rPr>
              <w:t>Laser-Pacific Media Corporation</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5"/>
        </w:trPr>
        <w:tc>
          <w:tcPr>
            <w:tcW w:w="484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Rochester, NY 14650</w:t>
            </w:r>
          </w:p>
        </w:tc>
        <w:tc>
          <w:tcPr>
            <w:tcW w:w="20" w:type="dxa"/>
            <w:vAlign w:val="bottom"/>
          </w:tcPr>
          <w:p>
            <w:pPr>
              <w:spacing w:after="0"/>
              <w:rPr>
                <w:sz w:val="19"/>
                <w:szCs w:val="19"/>
                <w:color w:val="auto"/>
              </w:rPr>
            </w:pPr>
          </w:p>
        </w:tc>
      </w:tr>
      <w:tr>
        <w:trPr>
          <w:trHeight w:val="195"/>
        </w:trPr>
        <w:tc>
          <w:tcPr>
            <w:tcW w:w="4840" w:type="dxa"/>
            <w:vAlign w:val="bottom"/>
            <w:tcBorders>
              <w:left w:val="single" w:sz="8" w:color="auto"/>
            </w:tcBorders>
          </w:tcPr>
          <w:p>
            <w:pPr>
              <w:jc w:val="center"/>
              <w:ind w:left="811"/>
              <w:spacing w:after="0" w:line="195" w:lineRule="exact"/>
              <w:rPr>
                <w:sz w:val="20"/>
                <w:szCs w:val="20"/>
                <w:color w:val="auto"/>
              </w:rPr>
            </w:pPr>
            <w:r>
              <w:rPr>
                <w:rFonts w:ascii="Arial" w:cs="Arial" w:eastAsia="Arial" w:hAnsi="Arial"/>
                <w:sz w:val="18"/>
                <w:szCs w:val="18"/>
                <w:color w:val="auto"/>
                <w:w w:val="92"/>
              </w:rPr>
              <w:t>NPEC Inc.</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4"/>
        </w:trPr>
        <w:tc>
          <w:tcPr>
            <w:tcW w:w="4840" w:type="dxa"/>
            <w:vAlign w:val="bottom"/>
            <w:tcBorders>
              <w:lef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140" w:type="dxa"/>
            <w:vAlign w:val="bottom"/>
          </w:tcPr>
          <w:p>
            <w:pPr>
              <w:ind w:left="2000"/>
              <w:spacing w:after="0"/>
              <w:rPr>
                <w:sz w:val="20"/>
                <w:szCs w:val="20"/>
                <w:color w:val="auto"/>
              </w:rPr>
            </w:pPr>
            <w:r>
              <w:rPr>
                <w:rFonts w:ascii="Arial" w:cs="Arial" w:eastAsia="Arial" w:hAnsi="Arial"/>
                <w:sz w:val="18"/>
                <w:szCs w:val="18"/>
                <w:color w:val="auto"/>
                <w:w w:val="95"/>
              </w:rPr>
              <w:t>Rochester, NY</w:t>
            </w:r>
          </w:p>
        </w:tc>
        <w:tc>
          <w:tcPr>
            <w:tcW w:w="2540" w:type="dxa"/>
            <w:vAlign w:val="bottom"/>
            <w:tcBorders>
              <w:right w:val="single" w:sz="8" w:color="auto"/>
            </w:tcBorders>
          </w:tcPr>
          <w:p>
            <w:pPr>
              <w:jc w:val="right"/>
              <w:ind w:right="1931"/>
              <w:spacing w:after="0"/>
              <w:rPr>
                <w:sz w:val="20"/>
                <w:szCs w:val="20"/>
                <w:color w:val="auto"/>
              </w:rPr>
            </w:pPr>
            <w:r>
              <w:rPr>
                <w:rFonts w:ascii="Arial" w:cs="Arial" w:eastAsia="Arial" w:hAnsi="Arial"/>
                <w:sz w:val="18"/>
                <w:szCs w:val="18"/>
                <w:color w:val="auto"/>
                <w:w w:val="99"/>
              </w:rPr>
              <w:t>14650</w:t>
            </w:r>
          </w:p>
        </w:tc>
        <w:tc>
          <w:tcPr>
            <w:tcW w:w="20" w:type="dxa"/>
            <w:vAlign w:val="bottom"/>
          </w:tcPr>
          <w:p>
            <w:pPr>
              <w:spacing w:after="0"/>
              <w:rPr>
                <w:sz w:val="19"/>
                <w:szCs w:val="19"/>
                <w:color w:val="auto"/>
              </w:rPr>
            </w:pPr>
          </w:p>
        </w:tc>
      </w:tr>
      <w:tr>
        <w:trPr>
          <w:trHeight w:val="28"/>
        </w:trPr>
        <w:tc>
          <w:tcPr>
            <w:tcW w:w="48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840" w:type="dxa"/>
            <w:vAlign w:val="bottom"/>
            <w:tcBorders>
              <w:left w:val="single" w:sz="8" w:color="auto"/>
            </w:tcBorders>
          </w:tcPr>
          <w:p>
            <w:pPr>
              <w:jc w:val="center"/>
              <w:ind w:left="811"/>
              <w:spacing w:after="0" w:line="195" w:lineRule="exact"/>
              <w:rPr>
                <w:sz w:val="20"/>
                <w:szCs w:val="20"/>
                <w:color w:val="auto"/>
              </w:rPr>
            </w:pPr>
            <w:r>
              <w:rPr>
                <w:rFonts w:ascii="Arial" w:cs="Arial" w:eastAsia="Arial" w:hAnsi="Arial"/>
                <w:sz w:val="18"/>
                <w:szCs w:val="18"/>
                <w:color w:val="auto"/>
                <w:w w:val="90"/>
              </w:rPr>
              <w:t>Qualex Inc.</w:t>
            </w:r>
          </w:p>
        </w:tc>
        <w:tc>
          <w:tcPr>
            <w:tcW w:w="9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343 State Street</w:t>
            </w:r>
          </w:p>
        </w:tc>
        <w:tc>
          <w:tcPr>
            <w:tcW w:w="20" w:type="dxa"/>
            <w:vAlign w:val="bottom"/>
          </w:tcPr>
          <w:p>
            <w:pPr>
              <w:spacing w:after="0"/>
              <w:rPr>
                <w:sz w:val="16"/>
                <w:szCs w:val="16"/>
                <w:color w:val="auto"/>
              </w:rPr>
            </w:pPr>
          </w:p>
        </w:tc>
      </w:tr>
      <w:tr>
        <w:trPr>
          <w:trHeight w:val="224"/>
        </w:trPr>
        <w:tc>
          <w:tcPr>
            <w:tcW w:w="4840" w:type="dxa"/>
            <w:vAlign w:val="bottom"/>
            <w:tcBorders>
              <w:lef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140" w:type="dxa"/>
            <w:vAlign w:val="bottom"/>
          </w:tcPr>
          <w:p>
            <w:pPr>
              <w:ind w:left="2020"/>
              <w:spacing w:after="0"/>
              <w:rPr>
                <w:sz w:val="20"/>
                <w:szCs w:val="20"/>
                <w:color w:val="auto"/>
              </w:rPr>
            </w:pPr>
            <w:r>
              <w:rPr>
                <w:rFonts w:ascii="Arial" w:cs="Arial" w:eastAsia="Arial" w:hAnsi="Arial"/>
                <w:sz w:val="18"/>
                <w:szCs w:val="18"/>
                <w:color w:val="auto"/>
                <w:w w:val="93"/>
              </w:rPr>
              <w:t>Rochester, NY</w:t>
            </w:r>
          </w:p>
        </w:tc>
        <w:tc>
          <w:tcPr>
            <w:tcW w:w="2540" w:type="dxa"/>
            <w:vAlign w:val="bottom"/>
            <w:tcBorders>
              <w:right w:val="single" w:sz="8" w:color="auto"/>
            </w:tcBorders>
          </w:tcPr>
          <w:p>
            <w:pPr>
              <w:jc w:val="right"/>
              <w:ind w:right="1951"/>
              <w:spacing w:after="0"/>
              <w:rPr>
                <w:sz w:val="20"/>
                <w:szCs w:val="20"/>
                <w:color w:val="auto"/>
              </w:rPr>
            </w:pPr>
            <w:r>
              <w:rPr>
                <w:rFonts w:ascii="Arial" w:cs="Arial" w:eastAsia="Arial" w:hAnsi="Arial"/>
                <w:sz w:val="18"/>
                <w:szCs w:val="18"/>
                <w:color w:val="auto"/>
                <w:w w:val="95"/>
              </w:rPr>
              <w:t>14650</w:t>
            </w:r>
          </w:p>
        </w:tc>
        <w:tc>
          <w:tcPr>
            <w:tcW w:w="20" w:type="dxa"/>
            <w:vAlign w:val="bottom"/>
          </w:tcPr>
          <w:p>
            <w:pPr>
              <w:spacing w:after="0"/>
              <w:rPr>
                <w:sz w:val="19"/>
                <w:szCs w:val="19"/>
                <w:color w:val="auto"/>
              </w:rPr>
            </w:pPr>
          </w:p>
        </w:tc>
      </w:tr>
      <w:tr>
        <w:trPr>
          <w:trHeight w:val="28"/>
        </w:trPr>
        <w:tc>
          <w:tcPr>
            <w:tcW w:w="48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845"/>
        </w:trPr>
        <w:tc>
          <w:tcPr>
            <w:tcW w:w="4840" w:type="dxa"/>
            <w:vAlign w:val="bottom"/>
          </w:tcPr>
          <w:p>
            <w:pPr>
              <w:spacing w:after="0"/>
              <w:rPr>
                <w:sz w:val="24"/>
                <w:szCs w:val="24"/>
                <w:color w:val="auto"/>
              </w:rPr>
            </w:pPr>
          </w:p>
        </w:tc>
        <w:tc>
          <w:tcPr>
            <w:tcW w:w="4040" w:type="dxa"/>
            <w:vAlign w:val="bottom"/>
            <w:gridSpan w:val="2"/>
          </w:tcPr>
          <w:p>
            <w:pPr>
              <w:jc w:val="right"/>
              <w:ind w:right="2991"/>
              <w:spacing w:after="0"/>
              <w:rPr>
                <w:sz w:val="20"/>
                <w:szCs w:val="20"/>
                <w:color w:val="auto"/>
              </w:rPr>
            </w:pPr>
            <w:r>
              <w:rPr>
                <w:rFonts w:ascii="Arial" w:cs="Arial" w:eastAsia="Arial" w:hAnsi="Arial"/>
                <w:sz w:val="18"/>
                <w:szCs w:val="18"/>
                <w:color w:val="auto"/>
              </w:rPr>
              <w:t>30</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71" w:name="page272"/>
    <w:bookmarkEnd w:id="271"/>
    <w:tbl>
      <w:tblPr>
        <w:tblLayout w:type="fixed"/>
        <w:tblInd w:w="1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6880" w:type="dxa"/>
            <w:vAlign w:val="bottom"/>
            <w:gridSpan w:val="2"/>
          </w:tcPr>
          <w:p>
            <w:pPr>
              <w:jc w:val="center"/>
              <w:ind w:right="4431"/>
              <w:spacing w:after="0"/>
              <w:rPr>
                <w:sz w:val="20"/>
                <w:szCs w:val="20"/>
                <w:color w:val="auto"/>
              </w:rPr>
            </w:pPr>
            <w:r>
              <w:rPr>
                <w:rFonts w:ascii="Arial" w:cs="Arial" w:eastAsia="Arial" w:hAnsi="Arial"/>
                <w:sz w:val="18"/>
                <w:szCs w:val="18"/>
                <w:color w:val="auto"/>
                <w:w w:val="98"/>
              </w:rPr>
              <w:t>SCHEDULE XIII</w:t>
            </w:r>
          </w:p>
        </w:tc>
        <w:tc>
          <w:tcPr>
            <w:tcW w:w="20" w:type="dxa"/>
            <w:vAlign w:val="bottom"/>
          </w:tcPr>
          <w:p>
            <w:pPr>
              <w:spacing w:after="0"/>
              <w:rPr>
                <w:sz w:val="18"/>
                <w:szCs w:val="18"/>
                <w:color w:val="auto"/>
              </w:rPr>
            </w:pPr>
          </w:p>
        </w:tc>
      </w:tr>
      <w:tr>
        <w:trPr>
          <w:trHeight w:val="224"/>
        </w:trPr>
        <w:tc>
          <w:tcPr>
            <w:tcW w:w="4540" w:type="dxa"/>
            <w:vAlign w:val="bottom"/>
          </w:tcPr>
          <w:p>
            <w:pPr>
              <w:spacing w:after="0"/>
              <w:rPr>
                <w:sz w:val="19"/>
                <w:szCs w:val="19"/>
                <w:color w:val="auto"/>
              </w:rPr>
            </w:pPr>
          </w:p>
        </w:tc>
        <w:tc>
          <w:tcPr>
            <w:tcW w:w="6880" w:type="dxa"/>
            <w:vAlign w:val="bottom"/>
            <w:gridSpan w:val="2"/>
          </w:tcPr>
          <w:p>
            <w:pPr>
              <w:jc w:val="center"/>
              <w:ind w:right="4451"/>
              <w:spacing w:after="0"/>
              <w:rPr>
                <w:sz w:val="20"/>
                <w:szCs w:val="20"/>
                <w:color w:val="auto"/>
              </w:rPr>
            </w:pPr>
            <w:r>
              <w:rPr>
                <w:rFonts w:ascii="Arial" w:cs="Arial" w:eastAsia="Arial" w:hAnsi="Arial"/>
                <w:sz w:val="18"/>
                <w:szCs w:val="18"/>
                <w:color w:val="auto"/>
                <w:w w:val="94"/>
              </w:rPr>
              <w:t>FILING OFFICES</w:t>
            </w:r>
          </w:p>
        </w:tc>
        <w:tc>
          <w:tcPr>
            <w:tcW w:w="20" w:type="dxa"/>
            <w:vAlign w:val="bottom"/>
          </w:tcPr>
          <w:p>
            <w:pPr>
              <w:spacing w:after="0"/>
              <w:rPr>
                <w:sz w:val="19"/>
                <w:szCs w:val="19"/>
                <w:color w:val="auto"/>
              </w:rPr>
            </w:pPr>
          </w:p>
        </w:tc>
      </w:tr>
      <w:tr>
        <w:trPr>
          <w:trHeight w:val="215"/>
        </w:trPr>
        <w:tc>
          <w:tcPr>
            <w:tcW w:w="4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4540" w:type="dxa"/>
            <w:vAlign w:val="bottom"/>
            <w:tcBorders>
              <w:left w:val="single" w:sz="8" w:color="auto"/>
              <w:bottom w:val="single" w:sz="8" w:color="auto"/>
            </w:tcBorders>
            <w:shd w:val="clear" w:color="auto" w:fill="D9D9D9"/>
          </w:tcPr>
          <w:p>
            <w:pPr>
              <w:jc w:val="center"/>
              <w:ind w:left="1111"/>
              <w:spacing w:after="0"/>
              <w:rPr>
                <w:sz w:val="20"/>
                <w:szCs w:val="20"/>
                <w:color w:val="auto"/>
              </w:rPr>
            </w:pPr>
            <w:r>
              <w:rPr>
                <w:rFonts w:ascii="Arial" w:cs="Arial" w:eastAsia="Arial" w:hAnsi="Arial"/>
                <w:sz w:val="18"/>
                <w:szCs w:val="18"/>
                <w:color w:val="auto"/>
                <w:w w:val="88"/>
              </w:rPr>
              <w:t>Grantor</w:t>
            </w:r>
          </w:p>
        </w:tc>
        <w:tc>
          <w:tcPr>
            <w:tcW w:w="1200" w:type="dxa"/>
            <w:vAlign w:val="bottom"/>
            <w:tcBorders>
              <w:bottom w:val="single" w:sz="8" w:color="auto"/>
              <w:right w:val="single" w:sz="8" w:color="auto"/>
            </w:tcBorders>
            <w:shd w:val="clear" w:color="auto" w:fill="D9D9D9"/>
          </w:tcPr>
          <w:p>
            <w:pPr>
              <w:spacing w:after="0"/>
              <w:rPr>
                <w:sz w:val="17"/>
                <w:szCs w:val="17"/>
                <w:color w:val="auto"/>
              </w:rPr>
            </w:pPr>
          </w:p>
        </w:tc>
        <w:tc>
          <w:tcPr>
            <w:tcW w:w="5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0"/>
              </w:rPr>
              <w:t>State</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111"/>
              <w:spacing w:after="0"/>
              <w:rPr>
                <w:sz w:val="20"/>
                <w:szCs w:val="20"/>
                <w:color w:val="auto"/>
              </w:rPr>
            </w:pPr>
            <w:r>
              <w:rPr>
                <w:rFonts w:ascii="Arial" w:cs="Arial" w:eastAsia="Arial" w:hAnsi="Arial"/>
                <w:sz w:val="18"/>
                <w:szCs w:val="18"/>
                <w:color w:val="auto"/>
                <w:w w:val="88"/>
              </w:rPr>
              <w:t>Eastman Kodak Company</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New Jersey Department of the Treasury</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091"/>
              <w:spacing w:after="0"/>
              <w:rPr>
                <w:sz w:val="20"/>
                <w:szCs w:val="20"/>
                <w:color w:val="auto"/>
              </w:rPr>
            </w:pPr>
            <w:r>
              <w:rPr>
                <w:rFonts w:ascii="Arial" w:cs="Arial" w:eastAsia="Arial" w:hAnsi="Arial"/>
                <w:sz w:val="18"/>
                <w:szCs w:val="18"/>
                <w:color w:val="auto"/>
                <w:w w:val="89"/>
              </w:rPr>
              <w:t>Far East Development Ltd.</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Delaware Secretary of State</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111"/>
              <w:spacing w:after="0"/>
              <w:rPr>
                <w:sz w:val="20"/>
                <w:szCs w:val="20"/>
                <w:color w:val="auto"/>
              </w:rPr>
            </w:pPr>
            <w:r>
              <w:rPr>
                <w:rFonts w:ascii="Arial" w:cs="Arial" w:eastAsia="Arial" w:hAnsi="Arial"/>
                <w:sz w:val="18"/>
                <w:szCs w:val="18"/>
                <w:color w:val="auto"/>
                <w:w w:val="88"/>
              </w:rPr>
              <w:t>FPC Inc.</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California Secretary of State</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111"/>
              <w:spacing w:after="0"/>
              <w:rPr>
                <w:sz w:val="20"/>
                <w:szCs w:val="20"/>
                <w:color w:val="auto"/>
              </w:rPr>
            </w:pPr>
            <w:r>
              <w:rPr>
                <w:rFonts w:ascii="Arial" w:cs="Arial" w:eastAsia="Arial" w:hAnsi="Arial"/>
                <w:sz w:val="18"/>
                <w:szCs w:val="18"/>
                <w:color w:val="auto"/>
                <w:w w:val="90"/>
              </w:rPr>
              <w:t>Kodak (Near East), Inc.</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New York Secretary of State</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111"/>
              <w:spacing w:after="0"/>
              <w:rPr>
                <w:sz w:val="20"/>
                <w:szCs w:val="20"/>
                <w:color w:val="auto"/>
              </w:rPr>
            </w:pPr>
            <w:r>
              <w:rPr>
                <w:rFonts w:ascii="Arial" w:cs="Arial" w:eastAsia="Arial" w:hAnsi="Arial"/>
                <w:sz w:val="18"/>
                <w:szCs w:val="18"/>
                <w:color w:val="auto"/>
                <w:w w:val="92"/>
              </w:rPr>
              <w:t>Kodak Americas, Ltd.</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New York Secretary of State</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111"/>
              <w:spacing w:after="0"/>
              <w:rPr>
                <w:sz w:val="20"/>
                <w:szCs w:val="20"/>
                <w:color w:val="auto"/>
              </w:rPr>
            </w:pPr>
            <w:r>
              <w:rPr>
                <w:rFonts w:ascii="Arial" w:cs="Arial" w:eastAsia="Arial" w:hAnsi="Arial"/>
                <w:sz w:val="18"/>
                <w:szCs w:val="18"/>
                <w:color w:val="auto"/>
                <w:w w:val="92"/>
              </w:rPr>
              <w:t>Kodak Philippines, Ltd.</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New York Secretary of State</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111"/>
              <w:spacing w:after="0"/>
              <w:rPr>
                <w:sz w:val="20"/>
                <w:szCs w:val="20"/>
                <w:color w:val="auto"/>
              </w:rPr>
            </w:pPr>
            <w:r>
              <w:rPr>
                <w:rFonts w:ascii="Arial" w:cs="Arial" w:eastAsia="Arial" w:hAnsi="Arial"/>
                <w:sz w:val="18"/>
                <w:szCs w:val="18"/>
                <w:color w:val="auto"/>
                <w:w w:val="91"/>
              </w:rPr>
              <w:t>Kodak Realty, Inc.</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New York Secretary of State</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111"/>
              <w:spacing w:after="0"/>
              <w:rPr>
                <w:sz w:val="20"/>
                <w:szCs w:val="20"/>
                <w:color w:val="auto"/>
              </w:rPr>
            </w:pPr>
            <w:r>
              <w:rPr>
                <w:rFonts w:ascii="Arial" w:cs="Arial" w:eastAsia="Arial" w:hAnsi="Arial"/>
                <w:sz w:val="18"/>
                <w:szCs w:val="18"/>
                <w:color w:val="auto"/>
                <w:w w:val="91"/>
              </w:rPr>
              <w:t>Laser-Pacific Media Corporation</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Delaware Secretary of State</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111"/>
              <w:spacing w:after="0"/>
              <w:rPr>
                <w:sz w:val="20"/>
                <w:szCs w:val="20"/>
                <w:color w:val="auto"/>
              </w:rPr>
            </w:pPr>
            <w:r>
              <w:rPr>
                <w:rFonts w:ascii="Arial" w:cs="Arial" w:eastAsia="Arial" w:hAnsi="Arial"/>
                <w:sz w:val="18"/>
                <w:szCs w:val="18"/>
                <w:color w:val="auto"/>
                <w:w w:val="92"/>
              </w:rPr>
              <w:t>NPEC Inc.</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California Secretary of State</w:t>
            </w:r>
          </w:p>
        </w:tc>
        <w:tc>
          <w:tcPr>
            <w:tcW w:w="20" w:type="dxa"/>
            <w:vAlign w:val="bottom"/>
          </w:tcPr>
          <w:p>
            <w:pPr>
              <w:spacing w:after="0"/>
              <w:rPr>
                <w:sz w:val="17"/>
                <w:szCs w:val="17"/>
                <w:color w:val="auto"/>
              </w:rPr>
            </w:pPr>
          </w:p>
        </w:tc>
      </w:tr>
      <w:tr>
        <w:trPr>
          <w:trHeight w:val="207"/>
        </w:trPr>
        <w:tc>
          <w:tcPr>
            <w:tcW w:w="4540" w:type="dxa"/>
            <w:vAlign w:val="bottom"/>
            <w:tcBorders>
              <w:left w:val="single" w:sz="8" w:color="auto"/>
              <w:bottom w:val="single" w:sz="8" w:color="auto"/>
            </w:tcBorders>
          </w:tcPr>
          <w:p>
            <w:pPr>
              <w:jc w:val="center"/>
              <w:ind w:left="1111"/>
              <w:spacing w:after="0"/>
              <w:rPr>
                <w:sz w:val="20"/>
                <w:szCs w:val="20"/>
                <w:color w:val="auto"/>
              </w:rPr>
            </w:pPr>
            <w:r>
              <w:rPr>
                <w:rFonts w:ascii="Arial" w:cs="Arial" w:eastAsia="Arial" w:hAnsi="Arial"/>
                <w:sz w:val="18"/>
                <w:szCs w:val="18"/>
                <w:color w:val="auto"/>
                <w:w w:val="90"/>
              </w:rPr>
              <w:t>Qualex Inc.</w:t>
            </w:r>
          </w:p>
        </w:tc>
        <w:tc>
          <w:tcPr>
            <w:tcW w:w="1200" w:type="dxa"/>
            <w:vAlign w:val="bottom"/>
            <w:tcBorders>
              <w:bottom w:val="single" w:sz="8" w:color="auto"/>
              <w:right w:val="single" w:sz="8" w:color="auto"/>
            </w:tcBorders>
          </w:tcPr>
          <w:p>
            <w:pPr>
              <w:spacing w:after="0"/>
              <w:rPr>
                <w:sz w:val="17"/>
                <w:szCs w:val="17"/>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Delaware Secretary of State</w:t>
            </w:r>
          </w:p>
        </w:tc>
        <w:tc>
          <w:tcPr>
            <w:tcW w:w="20" w:type="dxa"/>
            <w:vAlign w:val="bottom"/>
          </w:tcPr>
          <w:p>
            <w:pPr>
              <w:spacing w:after="0"/>
              <w:rPr>
                <w:sz w:val="17"/>
                <w:szCs w:val="17"/>
                <w:color w:val="auto"/>
              </w:rPr>
            </w:pPr>
          </w:p>
        </w:tc>
      </w:tr>
      <w:tr>
        <w:trPr>
          <w:trHeight w:val="632"/>
        </w:trPr>
        <w:tc>
          <w:tcPr>
            <w:tcW w:w="4540" w:type="dxa"/>
            <w:vAlign w:val="bottom"/>
          </w:tcPr>
          <w:p>
            <w:pPr>
              <w:spacing w:after="0"/>
              <w:rPr>
                <w:sz w:val="24"/>
                <w:szCs w:val="24"/>
                <w:color w:val="auto"/>
              </w:rPr>
            </w:pPr>
          </w:p>
        </w:tc>
        <w:tc>
          <w:tcPr>
            <w:tcW w:w="6880" w:type="dxa"/>
            <w:vAlign w:val="bottom"/>
            <w:gridSpan w:val="2"/>
          </w:tcPr>
          <w:p>
            <w:pPr>
              <w:jc w:val="center"/>
              <w:ind w:right="4451"/>
              <w:spacing w:after="0"/>
              <w:rPr>
                <w:sz w:val="20"/>
                <w:szCs w:val="20"/>
                <w:color w:val="auto"/>
              </w:rPr>
            </w:pPr>
            <w:r>
              <w:rPr>
                <w:rFonts w:ascii="Arial" w:cs="Arial" w:eastAsia="Arial" w:hAnsi="Arial"/>
                <w:sz w:val="18"/>
                <w:szCs w:val="18"/>
                <w:color w:val="auto"/>
                <w:w w:val="89"/>
              </w:rPr>
              <w:t>31</w:t>
            </w:r>
          </w:p>
        </w:tc>
        <w:tc>
          <w:tcPr>
            <w:tcW w:w="2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72" w:name="page273"/>
    <w:bookmarkEnd w:id="272"/>
    <w:p>
      <w:pPr>
        <w:jc w:val="center"/>
        <w:ind w:right="-20"/>
        <w:spacing w:after="0"/>
        <w:rPr>
          <w:sz w:val="20"/>
          <w:szCs w:val="20"/>
          <w:color w:val="auto"/>
        </w:rPr>
      </w:pPr>
      <w:r>
        <w:rPr>
          <w:rFonts w:ascii="Arial" w:cs="Arial" w:eastAsia="Arial" w:hAnsi="Arial"/>
          <w:sz w:val="18"/>
          <w:szCs w:val="18"/>
          <w:color w:val="auto"/>
        </w:rPr>
        <w:t>SCHEDULE XIV</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OTHER ACTIONS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73" w:name="page274"/>
    <w:bookmarkEnd w:id="273"/>
    <w:p>
      <w:pPr>
        <w:jc w:val="center"/>
        <w:spacing w:after="0"/>
        <w:rPr>
          <w:sz w:val="20"/>
          <w:szCs w:val="20"/>
          <w:color w:val="auto"/>
        </w:rPr>
      </w:pPr>
      <w:r>
        <w:rPr>
          <w:rFonts w:ascii="Arial" w:cs="Arial" w:eastAsia="Arial" w:hAnsi="Arial"/>
          <w:sz w:val="17"/>
          <w:szCs w:val="17"/>
          <w:color w:val="auto"/>
        </w:rPr>
        <w:t>ANNEX 4.1</w:t>
      </w:r>
    </w:p>
    <w:p>
      <w:pPr>
        <w:sectPr>
          <w:pgSz w:w="11900" w:h="16838" w:orient="portrait"/>
          <w:cols w:equalWidth="0" w:num="1">
            <w:col w:w="9019"/>
          </w:cols>
          <w:pgMar w:left="1440" w:top="127"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274" w:name="page275"/>
    <w:bookmarkEnd w:id="274"/>
    <w:p>
      <w:pPr>
        <w:jc w:val="center"/>
        <w:spacing w:after="0"/>
        <w:rPr>
          <w:sz w:val="20"/>
          <w:szCs w:val="20"/>
          <w:color w:val="auto"/>
        </w:rPr>
      </w:pPr>
      <w:r>
        <w:rPr>
          <w:rFonts w:ascii="Arial" w:cs="Arial" w:eastAsia="Arial" w:hAnsi="Arial"/>
          <w:sz w:val="18"/>
          <w:szCs w:val="18"/>
          <w:color w:val="auto"/>
        </w:rPr>
        <w:t>ANNEX 4.2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TRADEMARKS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75" w:name="page276"/>
    <w:bookmarkEnd w:id="275"/>
    <w:p>
      <w:pPr>
        <w:jc w:val="center"/>
        <w:ind w:right="-20"/>
        <w:spacing w:after="0"/>
        <w:rPr>
          <w:sz w:val="20"/>
          <w:szCs w:val="20"/>
          <w:color w:val="auto"/>
        </w:rPr>
      </w:pPr>
      <w:r>
        <w:rPr>
          <w:rFonts w:ascii="Arial" w:cs="Arial" w:eastAsia="Arial" w:hAnsi="Arial"/>
          <w:sz w:val="18"/>
          <w:szCs w:val="18"/>
          <w:color w:val="auto"/>
        </w:rPr>
        <w:t>ANNEX 4.3</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COPYRIGHTS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9043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A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Amended and Restated Security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INTELLECTUAL PROPERTY SECURITY AGREEMENT</w:t>
      </w:r>
    </w:p>
    <w:p>
      <w:pPr>
        <w:spacing w:after="0" w:line="226"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This INTELLECTUAL PROPERTY SECURITY AGREEMENT (as amended, amended and restated, supplemented or otherwise modified from time to time, the “</w:t>
      </w:r>
      <w:r>
        <w:rPr>
          <w:rFonts w:ascii="Arial" w:cs="Arial" w:eastAsia="Arial" w:hAnsi="Arial"/>
          <w:sz w:val="17"/>
          <w:szCs w:val="17"/>
          <w:b w:val="1"/>
          <w:bCs w:val="1"/>
          <w:i w:val="1"/>
          <w:iCs w:val="1"/>
          <w:color w:val="auto"/>
        </w:rPr>
        <w:t>IP Security Agreement</w:t>
      </w:r>
      <w:r>
        <w:rPr>
          <w:rFonts w:ascii="Arial" w:cs="Arial" w:eastAsia="Arial" w:hAnsi="Arial"/>
          <w:sz w:val="17"/>
          <w:szCs w:val="17"/>
          <w:color w:val="auto"/>
        </w:rPr>
        <w:t>”) dated _________, 201__, is made by the Persons listed on the signature pages hereof (collectively, the “</w:t>
      </w:r>
      <w:r>
        <w:rPr>
          <w:rFonts w:ascii="Arial" w:cs="Arial" w:eastAsia="Arial" w:hAnsi="Arial"/>
          <w:sz w:val="17"/>
          <w:szCs w:val="17"/>
          <w:b w:val="1"/>
          <w:bCs w:val="1"/>
          <w:i w:val="1"/>
          <w:iCs w:val="1"/>
          <w:color w:val="auto"/>
        </w:rPr>
        <w:t>Grantors</w:t>
      </w:r>
      <w:r>
        <w:rPr>
          <w:rFonts w:ascii="Arial" w:cs="Arial" w:eastAsia="Arial" w:hAnsi="Arial"/>
          <w:sz w:val="17"/>
          <w:szCs w:val="17"/>
          <w:color w:val="auto"/>
        </w:rPr>
        <w:t>”) in favor of Bank of America, N.A., as Agent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for the Secured Parties (as defined in the Credit Agreement referred to below).</w:t>
      </w:r>
    </w:p>
    <w:p>
      <w:pPr>
        <w:spacing w:after="0" w:line="172" w:lineRule="exact"/>
        <w:rPr>
          <w:sz w:val="20"/>
          <w:szCs w:val="20"/>
          <w:color w:val="auto"/>
        </w:rPr>
      </w:pPr>
    </w:p>
    <w:p>
      <w:pPr>
        <w:ind w:right="300" w:firstLine="518"/>
        <w:spacing w:after="0" w:line="254" w:lineRule="auto"/>
        <w:rPr>
          <w:sz w:val="20"/>
          <w:szCs w:val="20"/>
          <w:color w:val="auto"/>
        </w:rPr>
      </w:pPr>
      <w:r>
        <w:rPr>
          <w:rFonts w:ascii="Arial" w:cs="Arial" w:eastAsia="Arial" w:hAnsi="Arial"/>
          <w:sz w:val="18"/>
          <w:szCs w:val="18"/>
          <w:color w:val="auto"/>
        </w:rPr>
        <w:t>WHEREAS, Eastman Kodak Company, a New Jersey corporation, has entered into an Amended and Restated Credit Agreement dated as of May 26, 2016 (as amended, amended and restated, supplemented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with Bank of America, N.A., as Agent, and the Lenders party thereto. Terms defined in the Credit Agreement and not otherwise defined herein are used herein as defined in the Credit Agreement.</w:t>
      </w:r>
    </w:p>
    <w:p>
      <w:pPr>
        <w:spacing w:after="0" w:line="191"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WHEREAS, as a condition precedent to the making of Revolving Loans and the issuance of Letters of Credit by the Lenders under the Credit Agreement, each Grantor has executed and delivered that certain Amended and Restated Security Agreement dated as of May 26, 2016, made by the Grantors to the Agent (as amended, amended and restated, supplemented or otherwise modified from time to time, the “</w:t>
      </w:r>
      <w:r>
        <w:rPr>
          <w:rFonts w:ascii="Arial" w:cs="Arial" w:eastAsia="Arial" w:hAnsi="Arial"/>
          <w:sz w:val="17"/>
          <w:szCs w:val="17"/>
          <w:b w:val="1"/>
          <w:bCs w:val="1"/>
          <w:i w:val="1"/>
          <w:iCs w:val="1"/>
          <w:color w:val="auto"/>
        </w:rPr>
        <w:t>Security Agreement</w:t>
      </w:r>
      <w:r>
        <w:rPr>
          <w:rFonts w:ascii="Arial" w:cs="Arial" w:eastAsia="Arial" w:hAnsi="Arial"/>
          <w:sz w:val="17"/>
          <w:szCs w:val="17"/>
          <w:color w:val="auto"/>
        </w:rPr>
        <w:t>”).</w:t>
      </w:r>
    </w:p>
    <w:p>
      <w:pPr>
        <w:spacing w:after="0" w:line="172" w:lineRule="exact"/>
        <w:rPr>
          <w:sz w:val="20"/>
          <w:szCs w:val="20"/>
          <w:color w:val="auto"/>
        </w:rPr>
      </w:pPr>
    </w:p>
    <w:p>
      <w:pPr>
        <w:ind w:right="20" w:firstLine="518"/>
        <w:spacing w:after="0" w:line="304" w:lineRule="auto"/>
        <w:rPr>
          <w:sz w:val="20"/>
          <w:szCs w:val="20"/>
          <w:color w:val="auto"/>
        </w:rPr>
      </w:pPr>
      <w:r>
        <w:rPr>
          <w:rFonts w:ascii="Arial" w:cs="Arial" w:eastAsia="Arial" w:hAnsi="Arial"/>
          <w:sz w:val="16"/>
          <w:szCs w:val="16"/>
          <w:color w:val="auto"/>
        </w:rPr>
        <w:t>WHEREAS, under the terms of the Security Agreement, the Grantors have granted to the Agent, for the benefit of the Secured Parties, a security interest in, among other property, certain intellectual property of the Grantors, and have agreed as a condition thereof to execute this IP Security Agreement for recording with the United States Copyright Office, the United States Patent and Trademark Office and other governmental authorities.</w:t>
      </w:r>
    </w:p>
    <w:p>
      <w:pPr>
        <w:spacing w:after="0" w:line="154" w:lineRule="exact"/>
        <w:rPr>
          <w:sz w:val="20"/>
          <w:szCs w:val="20"/>
          <w:color w:val="auto"/>
        </w:rPr>
      </w:pPr>
    </w:p>
    <w:p>
      <w:pPr>
        <w:ind w:right="520" w:firstLine="518"/>
        <w:spacing w:after="0" w:line="26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each Grantor agrees as follows:</w:t>
      </w:r>
    </w:p>
    <w:p>
      <w:pPr>
        <w:spacing w:after="0" w:line="180" w:lineRule="exact"/>
        <w:rPr>
          <w:sz w:val="20"/>
          <w:szCs w:val="20"/>
          <w:color w:val="auto"/>
        </w:rPr>
      </w:pPr>
    </w:p>
    <w:p>
      <w:pPr>
        <w:ind w:right="80" w:firstLine="518"/>
        <w:spacing w:after="0" w:line="26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Grant of Security</w:t>
      </w:r>
      <w:r>
        <w:rPr>
          <w:rFonts w:ascii="Arial" w:cs="Arial" w:eastAsia="Arial" w:hAnsi="Arial"/>
          <w:sz w:val="18"/>
          <w:szCs w:val="18"/>
          <w:color w:val="auto"/>
        </w:rPr>
        <w:t>. Each Grantor hereby grants to the Agent for the benefit of the Secured Parties a security interest in all of such Grantor’s right, title and interest in and to the following (the “</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w:t>
      </w:r>
    </w:p>
    <w:p>
      <w:pPr>
        <w:spacing w:after="0" w:line="180" w:lineRule="exact"/>
        <w:rPr>
          <w:sz w:val="20"/>
          <w:szCs w:val="20"/>
          <w:color w:val="auto"/>
        </w:rPr>
      </w:pPr>
    </w:p>
    <w:p>
      <w:pPr>
        <w:ind w:left="740" w:hanging="215"/>
        <w:spacing w:after="0"/>
        <w:tabs>
          <w:tab w:leader="none" w:pos="7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patents and patent applications set forth in Schedule A hereto (the “</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right="140" w:firstLine="525"/>
        <w:spacing w:after="0" w:line="254" w:lineRule="auto"/>
        <w:tabs>
          <w:tab w:leader="none" w:pos="7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trademark and service mark registrations and applications set forth in Schedule B hereto (provided that no security interest shall be granted in United States intent-to-use trademark applications to the extent that, and solely during the period in which, the grant of a security interest therein would impair the validity or enforceability of such intent-to-use trademark applications under applicable federal law), together with the goodwill symbolized thereby (the “</w:t>
      </w:r>
      <w:r>
        <w:rPr>
          <w:rFonts w:ascii="Arial" w:cs="Arial" w:eastAsia="Arial" w:hAnsi="Arial"/>
          <w:sz w:val="18"/>
          <w:szCs w:val="18"/>
          <w:b w:val="1"/>
          <w:bCs w:val="1"/>
          <w:color w:val="auto"/>
        </w:rPr>
        <w:t>Trademarks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right="500" w:firstLine="525"/>
        <w:spacing w:after="0" w:line="267" w:lineRule="auto"/>
        <w:tabs>
          <w:tab w:leader="none" w:pos="82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all copyrights, whether registered or unregistered, now owned or hereafter acquired by such Grantor, including the copyright registrations and applications and exclusive copyright licenses set forth in Schedule C hereto (the </w:t>
      </w:r>
      <w:r>
        <w:rPr>
          <w:rFonts w:ascii="Arial" w:cs="Arial" w:eastAsia="Arial" w:hAnsi="Arial"/>
          <w:sz w:val="18"/>
          <w:szCs w:val="18"/>
          <w:b w:val="1"/>
          <w:bCs w:val="1"/>
          <w:i w:val="1"/>
          <w:iCs w:val="1"/>
          <w:color w:val="auto"/>
        </w:rPr>
        <w:t>“Copyrights”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right="80" w:firstLine="525"/>
        <w:spacing w:after="0" w:line="257" w:lineRule="auto"/>
        <w:tabs>
          <w:tab w:leader="none" w:pos="81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reissues, divisions, continuations, continuations-in-part, extensions, renewals and reexaminations of any of the foregoing, all rights in the foregoing provided by international treaties or conventions, all rights corresponding thereto throughout the world and all other rights of any kind whatsoever of such Grantor accruing thereunder or pertaining thereto;</w:t>
      </w:r>
    </w:p>
    <w:p>
      <w:pPr>
        <w:spacing w:after="0" w:line="188" w:lineRule="exact"/>
        <w:rPr>
          <w:rFonts w:ascii="Arial" w:cs="Arial" w:eastAsia="Arial" w:hAnsi="Arial"/>
          <w:sz w:val="18"/>
          <w:szCs w:val="18"/>
          <w:color w:val="auto"/>
        </w:rPr>
      </w:pPr>
    </w:p>
    <w:p>
      <w:pPr>
        <w:ind w:right="80" w:firstLine="525"/>
        <w:spacing w:after="0" w:line="297" w:lineRule="auto"/>
        <w:tabs>
          <w:tab w:leader="none" w:pos="77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and all claims for damages and injunctive relief for past, present and future infringement, dilution, misappropriation, violation, misuse or breach with respect to any of the foregoing, with the right, but not the obligation, to sue for and collect, or otherwise recover, such damages; and</w:t>
      </w:r>
    </w:p>
    <w:p>
      <w:pPr>
        <w:spacing w:after="0" w:line="156" w:lineRule="exact"/>
        <w:rPr>
          <w:rFonts w:ascii="Arial" w:cs="Arial" w:eastAsia="Arial" w:hAnsi="Arial"/>
          <w:sz w:val="17"/>
          <w:szCs w:val="17"/>
          <w:color w:val="auto"/>
        </w:rPr>
      </w:pPr>
    </w:p>
    <w:p>
      <w:pPr>
        <w:ind w:right="540" w:firstLine="525"/>
        <w:spacing w:after="0" w:line="267" w:lineRule="auto"/>
        <w:tabs>
          <w:tab w:leader="none" w:pos="81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and all proceeds of, collateral for, income, royalties and other payments now or hereafter due and payable with respect to, and supporting obligations relating to, any and all of the Collateral of or arising from any of the foregoing.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7" w:name="page278"/>
    <w:bookmarkEnd w:id="277"/>
    <w:p>
      <w:pPr>
        <w:ind w:firstLine="518"/>
        <w:spacing w:after="0" w:line="28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Security for Obligations</w:t>
      </w:r>
      <w:r>
        <w:rPr>
          <w:rFonts w:ascii="Arial" w:cs="Arial" w:eastAsia="Arial" w:hAnsi="Arial"/>
          <w:sz w:val="16"/>
          <w:szCs w:val="16"/>
          <w:color w:val="auto"/>
        </w:rPr>
        <w:t>. The grant of a security interest in, the Collateral by each Grantor under this IP Security Agreement secures the payment of all obligations of such Grantor now or hereafter existing under or in respect of the Loan Documents, the Bank Product Agreements and the Secured Creditor Agreements, whether direct or indirect, absolute or contingent, and whether for principal, reimbursement obligations, interest, premiums, penalties, fees, indemnifications, contract causes of action, costs, expenses or otherwise. Without limiting the generality of the foregoing, this IP Security Agreement secures, as to each Grantor, the payment of all amounts that constitute part of the Secured Obligations and that would be owed by such Grantor to any Secured Party under the Loan Documents, the Bank Product Agreements and the Secured Creditor Agreements but for the fact that such Secured Obligations are unenforceable or not allowable due to the existence of a bankruptcy, reorganization or similar proceeding involving a Loan Party.</w:t>
      </w:r>
    </w:p>
    <w:p>
      <w:pPr>
        <w:spacing w:after="0" w:line="167" w:lineRule="exact"/>
        <w:rPr>
          <w:sz w:val="20"/>
          <w:szCs w:val="20"/>
          <w:color w:val="auto"/>
        </w:rPr>
      </w:pPr>
    </w:p>
    <w:p>
      <w:pPr>
        <w:ind w:right="120" w:firstLine="518"/>
        <w:spacing w:after="0" w:line="26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Recordation</w:t>
      </w:r>
      <w:r>
        <w:rPr>
          <w:rFonts w:ascii="Arial" w:cs="Arial" w:eastAsia="Arial" w:hAnsi="Arial"/>
          <w:sz w:val="18"/>
          <w:szCs w:val="18"/>
          <w:color w:val="auto"/>
        </w:rPr>
        <w:t>. Each Grantor authorizes and requests that the Register of Copyrights, the Commissioner for Patents or Trademarks and any other applicable government officer record this IP Security Agreement.</w:t>
      </w:r>
    </w:p>
    <w:p>
      <w:pPr>
        <w:spacing w:after="0" w:line="180" w:lineRule="exact"/>
        <w:rPr>
          <w:sz w:val="20"/>
          <w:szCs w:val="20"/>
          <w:color w:val="auto"/>
        </w:rPr>
      </w:pPr>
    </w:p>
    <w:p>
      <w:pPr>
        <w:ind w:right="80" w:firstLine="518"/>
        <w:spacing w:after="0" w:line="26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IP Security Agreement may be executed in any number of counterparts, each of which when so executed shall be deemed to be an original and all of which taken together shall constitute one and the same agreement.</w:t>
      </w:r>
    </w:p>
    <w:p>
      <w:pPr>
        <w:spacing w:after="0" w:line="180"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Grants, Rights and Remedies</w:t>
      </w:r>
      <w:r>
        <w:rPr>
          <w:rFonts w:ascii="Arial" w:cs="Arial" w:eastAsia="Arial" w:hAnsi="Arial"/>
          <w:sz w:val="18"/>
          <w:szCs w:val="18"/>
          <w:color w:val="auto"/>
        </w:rPr>
        <w:t>. This IP Security Agreement has been entered into in conjunction with the provisions of the Security Agreement. Each Grantor does hereby acknowledge and confirm that the grant of the security interest hereunder to, and the rights and remedies of, the Agent with respect to the Collateral are more fully set forth in the Security Agreement, the terms and provisions of which are incorporated herein by reference as if fully set forth herein.</w:t>
      </w:r>
    </w:p>
    <w:p>
      <w:pPr>
        <w:spacing w:after="0" w:line="191"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Governing Law</w:t>
      </w:r>
      <w:r>
        <w:rPr>
          <w:rFonts w:ascii="Arial" w:cs="Arial" w:eastAsia="Arial" w:hAnsi="Arial"/>
          <w:sz w:val="16"/>
          <w:szCs w:val="16"/>
          <w:color w:val="auto"/>
        </w:rPr>
        <w:t>. This IP Security Agreement shall be governed by, and construed in accordance with, the laws of the State of New York.</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554" w:right="319" w:bottom="1440" w:gutter="0" w:footer="0" w:header="0"/>
        </w:sectPr>
      </w:pPr>
    </w:p>
    <w:bookmarkStart w:id="278" w:name="page279"/>
    <w:bookmarkEnd w:id="278"/>
    <w:p>
      <w:pPr>
        <w:ind w:firstLine="518"/>
        <w:spacing w:after="0" w:line="267" w:lineRule="auto"/>
        <w:rPr>
          <w:sz w:val="20"/>
          <w:szCs w:val="20"/>
          <w:color w:val="auto"/>
        </w:rPr>
      </w:pPr>
      <w:r>
        <w:rPr>
          <w:rFonts w:ascii="Arial" w:cs="Arial" w:eastAsia="Arial" w:hAnsi="Arial"/>
          <w:sz w:val="18"/>
          <w:szCs w:val="18"/>
          <w:color w:val="auto"/>
        </w:rPr>
        <w:t>IN WITNESS WHEREOF, each Grantor has caused this IP Security Agreement to be duly executed and delivered by its officer thereunto duly authorized as of the date first above written.</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EASTMAN KODAK COMPANY</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12065</wp:posOffset>
            </wp:positionV>
            <wp:extent cx="23622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588010</wp:posOffset>
            </wp:positionV>
            <wp:extent cx="28962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443865</wp:posOffset>
            </wp:positionV>
            <wp:extent cx="28962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299720</wp:posOffset>
            </wp:positionV>
            <wp:extent cx="28962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GRANTOR]</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12065</wp:posOffset>
            </wp:positionV>
            <wp:extent cx="23622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588010</wp:posOffset>
            </wp:positionV>
            <wp:extent cx="28962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443865</wp:posOffset>
            </wp:positionV>
            <wp:extent cx="28962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299720</wp:posOffset>
            </wp:positionV>
            <wp:extent cx="28962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GRANTOR]</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12065</wp:posOffset>
            </wp:positionV>
            <wp:extent cx="23622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588010</wp:posOffset>
            </wp:positionV>
            <wp:extent cx="28962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443865</wp:posOffset>
            </wp:positionV>
            <wp:extent cx="28962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299720</wp:posOffset>
            </wp:positionV>
            <wp:extent cx="28962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80"/>
          </w:cols>
          <w:pgMar w:left="240" w:top="341" w:right="97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B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Amended and Restated Security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INTELLECTUAL PROPERTY SECURITY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This INTELLECTUAL PROPERTY SECURITY AGREEMENT SUPPLEMENT (this “</w:t>
      </w:r>
      <w:r>
        <w:rPr>
          <w:rFonts w:ascii="Arial" w:cs="Arial" w:eastAsia="Arial" w:hAnsi="Arial"/>
          <w:sz w:val="17"/>
          <w:szCs w:val="17"/>
          <w:b w:val="1"/>
          <w:bCs w:val="1"/>
          <w:i w:val="1"/>
          <w:iCs w:val="1"/>
          <w:color w:val="auto"/>
        </w:rPr>
        <w:t>IP Security Agreement Supplement</w:t>
      </w:r>
      <w:r>
        <w:rPr>
          <w:rFonts w:ascii="Arial" w:cs="Arial" w:eastAsia="Arial" w:hAnsi="Arial"/>
          <w:sz w:val="17"/>
          <w:szCs w:val="17"/>
          <w:color w:val="auto"/>
        </w:rPr>
        <w:t>”) dated _________,</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201__, is made by the Person listed</w:t>
      </w:r>
    </w:p>
    <w:p>
      <w:pPr>
        <w:spacing w:after="0" w:line="6"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on the signature page hereof (the “Grantor”) in favor of Bank of America, N.A., as Agent (the “Agent”) for the Secured Parties (as defined in the Credit Agreement referred to below).</w:t>
      </w:r>
    </w:p>
    <w:p>
      <w:pPr>
        <w:spacing w:after="0" w:line="191" w:lineRule="exact"/>
        <w:rPr>
          <w:sz w:val="20"/>
          <w:szCs w:val="20"/>
          <w:color w:val="auto"/>
        </w:rPr>
      </w:pPr>
    </w:p>
    <w:p>
      <w:pPr>
        <w:ind w:right="300" w:firstLine="518"/>
        <w:spacing w:after="0" w:line="254" w:lineRule="auto"/>
        <w:rPr>
          <w:sz w:val="20"/>
          <w:szCs w:val="20"/>
          <w:color w:val="auto"/>
        </w:rPr>
      </w:pPr>
      <w:r>
        <w:rPr>
          <w:rFonts w:ascii="Arial" w:cs="Arial" w:eastAsia="Arial" w:hAnsi="Arial"/>
          <w:sz w:val="18"/>
          <w:szCs w:val="18"/>
          <w:color w:val="auto"/>
        </w:rPr>
        <w:t>WHEREAS, Eastman Kodak Company, a New Jersey corporation, has entered into an Amended and Restated Credit Agreement dated as of May 26, 2016 (as amended, amended and restated, supplemented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with Bank of America, N.A., as Agent, and the Lenders party thereto. Terms defined in the Credit Agreement and not otherwise defined herein are used herein as defined in the Credit Agreement.</w:t>
      </w:r>
    </w:p>
    <w:p>
      <w:pPr>
        <w:spacing w:after="0" w:line="191"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WHEREAS, pursuant to the Credit Agreement, the Grantor and certain other Persons have executed and delivered that certain Amended and Restated Security Agreement dated May 26, 2016 made by the Grantor and such other Persons to the Agent (as amended, amended and restated, supplemented or otherwise modified from time to time, the “Security Agreement”) and that certain Intellectual Property Security Agreement dated May 26, 2016 (as amended, amended and restated, supplemented or otherwise modified from time to time, the “</w:t>
      </w:r>
      <w:r>
        <w:rPr>
          <w:rFonts w:ascii="Arial" w:cs="Arial" w:eastAsia="Arial" w:hAnsi="Arial"/>
          <w:sz w:val="17"/>
          <w:szCs w:val="17"/>
          <w:b w:val="1"/>
          <w:bCs w:val="1"/>
          <w:i w:val="1"/>
          <w:iCs w:val="1"/>
          <w:color w:val="auto"/>
        </w:rPr>
        <w:t>IP Security Agreement</w:t>
      </w:r>
      <w:r>
        <w:rPr>
          <w:rFonts w:ascii="Arial" w:cs="Arial" w:eastAsia="Arial" w:hAnsi="Arial"/>
          <w:sz w:val="17"/>
          <w:szCs w:val="17"/>
          <w:color w:val="auto"/>
        </w:rPr>
        <w:t>”).</w:t>
      </w:r>
    </w:p>
    <w:p>
      <w:pPr>
        <w:spacing w:after="0" w:line="17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WHEREAS, under the terms of the Security Agreement, the Grantor has granted to the Agent, for the benefit of the Secured Parties, a security interest in the Collateral (as defined in Section 1 below) of the Grantor and has agreed as a condition thereof to execute this IP Security Agreement Supplement for recording with the United States Copyright Office, the United States Patent and Trademark Office and other governmental authorities.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Grantor agrees as follows: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Grant of Security</w:t>
      </w:r>
      <w:r>
        <w:rPr>
          <w:rFonts w:ascii="Arial" w:cs="Arial" w:eastAsia="Arial" w:hAnsi="Arial"/>
          <w:sz w:val="17"/>
          <w:szCs w:val="17"/>
          <w:color w:val="auto"/>
        </w:rPr>
        <w:t>. Each Grantor hereby grants to the Agent, for the benefit of the Secured Parties, a security interest in all of such</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Grantor’s right, title and interest in and to the following (the “</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w:t>
      </w:r>
    </w:p>
    <w:p>
      <w:pPr>
        <w:spacing w:after="0" w:line="209" w:lineRule="exact"/>
        <w:rPr>
          <w:sz w:val="20"/>
          <w:szCs w:val="20"/>
          <w:color w:val="auto"/>
        </w:rPr>
      </w:pPr>
    </w:p>
    <w:p>
      <w:pPr>
        <w:ind w:left="740" w:hanging="215"/>
        <w:spacing w:after="0"/>
        <w:tabs>
          <w:tab w:leader="none" w:pos="7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patents and patent applications set forth in Schedule A hereto (the “</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right="140" w:firstLine="525"/>
        <w:spacing w:after="0" w:line="254" w:lineRule="auto"/>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trademark and service mark registrations and applications set forth in Schedule B hereto (provided that no security interest shall be granted in United States intent-to-use trademark applications to the extent that, and solely during the period in which, the grant of a security interest therein would impair the validity or enforceability of such intent-to-use trademark applications under applicable federal law), together with the goodwill symbolized thereby (the “</w:t>
      </w:r>
      <w:r>
        <w:rPr>
          <w:rFonts w:ascii="Arial" w:cs="Arial" w:eastAsia="Arial" w:hAnsi="Arial"/>
          <w:sz w:val="18"/>
          <w:szCs w:val="18"/>
          <w:b w:val="1"/>
          <w:bCs w:val="1"/>
          <w:i w:val="1"/>
          <w:iCs w:val="1"/>
          <w:color w:val="auto"/>
        </w:rPr>
        <w:t>Trademarks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840" w:hanging="315"/>
        <w:spacing w:after="0"/>
        <w:tabs>
          <w:tab w:leader="none" w:pos="8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copyright registrations and applications and exclusive copyright licenses set forth in Schedule C hereto (the “</w:t>
      </w:r>
      <w:r>
        <w:rPr>
          <w:rFonts w:ascii="Arial" w:cs="Arial" w:eastAsia="Arial" w:hAnsi="Arial"/>
          <w:sz w:val="18"/>
          <w:szCs w:val="18"/>
          <w:b w:val="1"/>
          <w:bCs w:val="1"/>
          <w:i w:val="1"/>
          <w:iCs w:val="1"/>
          <w:color w:val="auto"/>
        </w:rPr>
        <w:t>Copyrights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right="80" w:firstLine="525"/>
        <w:spacing w:after="0" w:line="257" w:lineRule="auto"/>
        <w:tabs>
          <w:tab w:leader="none" w:pos="81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reissues, divisions, continuations, continuations-in-part, extensions, renewals and reexaminations of any of the foregoing, all rights in the foregoing provided by international treaties or conventions, all rights corresponding thereto throughout the world and all other rights of any kind whatsoever of such Grantor accruing thereunder or pertaining thereto;</w:t>
      </w:r>
    </w:p>
    <w:p>
      <w:pPr>
        <w:spacing w:after="0" w:line="188" w:lineRule="exact"/>
        <w:rPr>
          <w:rFonts w:ascii="Arial" w:cs="Arial" w:eastAsia="Arial" w:hAnsi="Arial"/>
          <w:sz w:val="18"/>
          <w:szCs w:val="18"/>
          <w:color w:val="auto"/>
        </w:rPr>
      </w:pPr>
    </w:p>
    <w:p>
      <w:pPr>
        <w:ind w:right="380" w:firstLine="525"/>
        <w:spacing w:after="0" w:line="331" w:lineRule="auto"/>
        <w:tabs>
          <w:tab w:leader="none" w:pos="77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any and all claims for damages and injunctive relief for past, present and future infringement, dilution, misappropriation, violation, misuse or breach with respect to any of the foregoing, with the right, but not the obligation, to sue for and collect, or otherwise recover, such damages; and</w:t>
      </w:r>
    </w:p>
    <w:p>
      <w:pPr>
        <w:spacing w:after="0" w:line="132" w:lineRule="exact"/>
        <w:rPr>
          <w:rFonts w:ascii="Arial" w:cs="Arial" w:eastAsia="Arial" w:hAnsi="Arial"/>
          <w:sz w:val="16"/>
          <w:szCs w:val="16"/>
          <w:color w:val="auto"/>
        </w:rPr>
      </w:pPr>
    </w:p>
    <w:p>
      <w:pPr>
        <w:ind w:right="540" w:firstLine="525"/>
        <w:spacing w:after="0" w:line="267" w:lineRule="auto"/>
        <w:tabs>
          <w:tab w:leader="none" w:pos="81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and all proceeds of, collateral for, income, royalties and other payments now or hereafter due and payable with respect to, and supporting obligations relating to, any and all of the foregoing or arising from any of the foregoing.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80" w:name="page281"/>
    <w:bookmarkEnd w:id="280"/>
    <w:p>
      <w:pPr>
        <w:ind w:right="160" w:firstLine="51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Security for Obligations</w:t>
      </w:r>
      <w:r>
        <w:rPr>
          <w:rFonts w:ascii="Arial" w:cs="Arial" w:eastAsia="Arial" w:hAnsi="Arial"/>
          <w:sz w:val="17"/>
          <w:szCs w:val="17"/>
          <w:color w:val="auto"/>
        </w:rPr>
        <w:t>. The grant of a security interest in the Additional Collateral by the Grantor under this IP Security Agreement Supplement secures the payment of all obligations of the Grantor now or hereafter existing under or in respect of the Loan Documents, the Specified Secured Creditor Agreements, and the Bank Product Agreements, whether direct or indirect, absolute or contingent, and whether for principal, reimbursement obligations, interest, premiums, penalties, fees, indemnifications, contract causes of action, costs, expenses or otherwise.</w:t>
      </w:r>
    </w:p>
    <w:p>
      <w:pPr>
        <w:spacing w:after="0" w:line="177" w:lineRule="exact"/>
        <w:rPr>
          <w:sz w:val="20"/>
          <w:szCs w:val="20"/>
          <w:color w:val="auto"/>
        </w:rPr>
      </w:pPr>
    </w:p>
    <w:p>
      <w:pPr>
        <w:ind w:right="220" w:firstLine="518"/>
        <w:spacing w:after="0" w:line="26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Recordation</w:t>
      </w:r>
      <w:r>
        <w:rPr>
          <w:rFonts w:ascii="Arial" w:cs="Arial" w:eastAsia="Arial" w:hAnsi="Arial"/>
          <w:sz w:val="18"/>
          <w:szCs w:val="18"/>
          <w:color w:val="auto"/>
        </w:rPr>
        <w:t>. The Grantor authorizes and requests that the Register of Copyrights, the Commissioner for Patents or Trademarks and any other applicable government officer to record this IP Security Agreement Supplement.</w:t>
      </w:r>
    </w:p>
    <w:p>
      <w:pPr>
        <w:spacing w:after="0" w:line="18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Grants, Rights and Remedies</w:t>
      </w:r>
      <w:r>
        <w:rPr>
          <w:rFonts w:ascii="Arial" w:cs="Arial" w:eastAsia="Arial" w:hAnsi="Arial"/>
          <w:sz w:val="18"/>
          <w:szCs w:val="18"/>
          <w:color w:val="auto"/>
        </w:rPr>
        <w:t>. This IP Security Agreement Supplement has been entered into in conjunction with the provisions of the Security Agreement. The Grantor does hereby acknowledge and confirm that the grant of the security interest hereunder to, and the rights and remedies of, the Agent with respect to the Additional Collateral are more fully set forth in the Security Agreement, the terms and provisions of which are incorporated herein by reference as if fully set forth herein.</w:t>
      </w:r>
    </w:p>
    <w:p>
      <w:pPr>
        <w:spacing w:after="0" w:line="191" w:lineRule="exact"/>
        <w:rPr>
          <w:sz w:val="20"/>
          <w:szCs w:val="20"/>
          <w:color w:val="auto"/>
        </w:rPr>
      </w:pPr>
    </w:p>
    <w:p>
      <w:pPr>
        <w:ind w:right="80" w:firstLine="518"/>
        <w:spacing w:after="0" w:line="26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IP Security Agreement Supplement shall be governed by, and construed in accordance with, the laws of the State of New York.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554" w:right="299" w:bottom="1440" w:gutter="0" w:footer="0" w:header="0"/>
        </w:sectPr>
      </w:pPr>
    </w:p>
    <w:bookmarkStart w:id="281" w:name="page282"/>
    <w:bookmarkEnd w:id="281"/>
    <w:p>
      <w:pPr>
        <w:ind w:firstLine="518"/>
        <w:spacing w:after="0" w:line="267" w:lineRule="auto"/>
        <w:rPr>
          <w:sz w:val="20"/>
          <w:szCs w:val="20"/>
          <w:color w:val="auto"/>
        </w:rPr>
      </w:pPr>
      <w:r>
        <w:rPr>
          <w:rFonts w:ascii="Arial" w:cs="Arial" w:eastAsia="Arial" w:hAnsi="Arial"/>
          <w:sz w:val="18"/>
          <w:szCs w:val="18"/>
          <w:color w:val="auto"/>
        </w:rPr>
        <w:t>IN WITNESS WHEREOF, the Grantor has caused this IP Security Agreement Supplement to be duly executed and delivered by its officer thereunto duly authorized as of the date first above written.</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570865</wp:posOffset>
            </wp:positionV>
            <wp:extent cx="28962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426720</wp:posOffset>
            </wp:positionV>
            <wp:extent cx="28962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282575</wp:posOffset>
            </wp:positionV>
            <wp:extent cx="28962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100"/>
          </w:cols>
          <w:pgMar w:left="240" w:top="340" w:right="55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C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Amended and Restated Security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SECURITY AGREEMENT SUPPLEMENT</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of Security Agreement Supplement]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the Agent for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Secured Parties referred to in the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referred to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Business Capital</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Merrill Lynch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225 Franklin Street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MA1-225-02-05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Attn: Matthew T. O’Keefe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Eastman Kodak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right="60" w:firstLine="518"/>
        <w:spacing w:after="0" w:line="250" w:lineRule="auto"/>
        <w:rPr>
          <w:sz w:val="20"/>
          <w:szCs w:val="20"/>
          <w:color w:val="auto"/>
        </w:rPr>
      </w:pPr>
      <w:r>
        <w:rPr>
          <w:rFonts w:ascii="Arial" w:cs="Arial" w:eastAsia="Arial" w:hAnsi="Arial"/>
          <w:sz w:val="18"/>
          <w:szCs w:val="18"/>
          <w:color w:val="auto"/>
        </w:rPr>
        <w:t>Reference is made to (i) the Amended and Restated Credit Agreement dated as of May 26, 2016 (as amended and restated, supplemented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Eastman Kodak Company, a New Jersey corporation, as the Borrower, the Lenders party thereto, Bank of America, N.A., as Agent (together with any successor Agent appointed pursuant to Article VII of the Credit Agreement, the “Agent”), and as administrative agent for the Lenders, and (ii) the Amended and Restated Security Agreement May 26, 2016 (as amended, amended and restated, supplemented or otherwise modified from time to time, the “</w:t>
      </w:r>
      <w:r>
        <w:rPr>
          <w:rFonts w:ascii="Arial" w:cs="Arial" w:eastAsia="Arial" w:hAnsi="Arial"/>
          <w:sz w:val="18"/>
          <w:szCs w:val="18"/>
          <w:b w:val="1"/>
          <w:bCs w:val="1"/>
          <w:i w:val="1"/>
          <w:iCs w:val="1"/>
          <w:color w:val="auto"/>
        </w:rPr>
        <w:t>Security Agreement</w:t>
      </w:r>
      <w:r>
        <w:rPr>
          <w:rFonts w:ascii="Arial" w:cs="Arial" w:eastAsia="Arial" w:hAnsi="Arial"/>
          <w:sz w:val="18"/>
          <w:szCs w:val="18"/>
          <w:color w:val="auto"/>
        </w:rPr>
        <w:t>”) made by the Grantors from time to time party thereto in favor of the Agent for the Secured Parties. Terms defined in the Credit Agreement or the Security Agreement and not otherwise defined herein are used herein as defined in the Credit Agreement or the Security Agreement.</w:t>
      </w:r>
    </w:p>
    <w:p>
      <w:pPr>
        <w:spacing w:after="0" w:line="198" w:lineRule="exact"/>
        <w:rPr>
          <w:sz w:val="20"/>
          <w:szCs w:val="20"/>
          <w:color w:val="auto"/>
        </w:rPr>
      </w:pPr>
    </w:p>
    <w:p>
      <w:pPr>
        <w:ind w:right="60" w:firstLine="518"/>
        <w:spacing w:after="0" w:line="26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Grant of Security</w:t>
      </w:r>
      <w:r>
        <w:rPr>
          <w:rFonts w:ascii="Arial" w:cs="Arial" w:eastAsia="Arial" w:hAnsi="Arial"/>
          <w:sz w:val="17"/>
          <w:szCs w:val="17"/>
          <w:color w:val="auto"/>
        </w:rPr>
        <w:t>. The undersigned hereby grants to the Agent, for the benefit of the Secured Parties, a security interest in all of its right, title and interest in and to its Collateral consisting of the following, in each case, whether now owned or hereafter acquired by the undersigned, wherever located and whether now or hereafter existing or arising (collectively, the undersigned’s “</w:t>
      </w:r>
      <w:r>
        <w:rPr>
          <w:rFonts w:ascii="Arial" w:cs="Arial" w:eastAsia="Arial" w:hAnsi="Arial"/>
          <w:sz w:val="17"/>
          <w:szCs w:val="17"/>
          <w:b w:val="1"/>
          <w:bCs w:val="1"/>
          <w:i w:val="1"/>
          <w:iCs w:val="1"/>
          <w:color w:val="auto"/>
        </w:rPr>
        <w:t>Collateral</w:t>
      </w:r>
      <w:r>
        <w:rPr>
          <w:rFonts w:ascii="Arial" w:cs="Arial" w:eastAsia="Arial" w:hAnsi="Arial"/>
          <w:sz w:val="17"/>
          <w:szCs w:val="17"/>
          <w:color w:val="auto"/>
        </w:rPr>
        <w:t>”): all Equipment, Inventory, Security Collateral (including the indebtedness set forth on Schedule A hereto and the securities and securities/deposit accounts set forth on Schedule B hereto), Receivables, Related Contracts, Agreement Collateral, Account Collateral (including the deposit accounts set forth on Schedule C hereto), Intellectual Property Collateral, all books and records (including customer lists, credit files, computer files, printouts and other computer output materials and records) of the undersigned pertaining to any of the undersigned’s Collateral, and all proceeds of, collateral for, income, royalties and other payments now or hereafter due and payable with respect to, and supporting obligations relating to, any and all of the undersigned’s Collateral (including proceeds, collateral and supporting obligations that constitute property of the types described in this Section 1) and, to the extent not otherwise included, all (A) payments under insurance (whether or not the Agent is the loss payee thereof), or any indemnity, warranty or guaranty, payable by reason of loss or damage to or otherwise with respect to any of the foregoing Collateral, and (B) cash.</w:t>
      </w:r>
    </w:p>
    <w:p>
      <w:pPr>
        <w:spacing w:after="0" w:line="186" w:lineRule="exact"/>
        <w:rPr>
          <w:sz w:val="20"/>
          <w:szCs w:val="20"/>
          <w:color w:val="auto"/>
        </w:rPr>
      </w:pPr>
    </w:p>
    <w:p>
      <w:pPr>
        <w:ind w:right="120" w:firstLine="518"/>
        <w:spacing w:after="0" w:line="267"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Security for Obligations</w:t>
      </w:r>
      <w:r>
        <w:rPr>
          <w:rFonts w:ascii="Arial" w:cs="Arial" w:eastAsia="Arial" w:hAnsi="Arial"/>
          <w:sz w:val="17"/>
          <w:szCs w:val="17"/>
          <w:color w:val="auto"/>
        </w:rPr>
        <w:t>. The grant of a security interest in, the Collateral by the undersigned under this Security Agreement Supplement and the Security Agreement secures the payment of all Secured Obligations of the undersigned now or hereafter existing under or in respect of the Loan Documents, the Specified Secured Creditor Agreements, and the Bank Product Agreements, whether direct or indirect, absolute or contingent, and whether for principal, reimbursement obligations, interest, premiums, penalties, fees, indemnifications, contract causes of action, costs, expenses or otherwise. Without limiting the generality of the foregoing, this Security Agreement Supplement and the Security Agreement secures the payment of all amounts that constitute part of the Secured Obligations and that would be owed by the undersigned to any Secured Party under the Loan Documents, the Specified Secured Creditor Agreements, and the Bank Product Agreements but for the fact that such Secured Obligations are unenforceable or not allowable due to the existence of a bankruptcy, reorganization or similar proceeding involving a Loan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83" w:name="page284"/>
    <w:bookmarkEnd w:id="283"/>
    <w:p>
      <w:pPr>
        <w:ind w:firstLine="518"/>
        <w:spacing w:after="0" w:line="254" w:lineRule="auto"/>
        <w:rPr>
          <w:sz w:val="20"/>
          <w:szCs w:val="20"/>
          <w:color w:val="auto"/>
        </w:rPr>
      </w:pPr>
      <w:r>
        <w:rPr>
          <w:rFonts w:ascii="Arial" w:cs="Arial" w:eastAsia="Arial" w:hAnsi="Arial"/>
          <w:sz w:val="18"/>
          <w:szCs w:val="18"/>
          <w:color w:val="auto"/>
        </w:rPr>
        <w:t>SECTION 3. Representations and Warranties. (a) The undersigned’s exact legal name, chief executive office, type of organization, jurisdiction of organization and organizational identification number is set forth in Schedule D hereto. Within the twelve months preceding the date hereof, the undersigned has not changed its name, chief executive office, type of organization, jurisdiction of organization or organizational identification number from those set forth in Schedule E hereto except as set forth in Schedule F hereto.</w:t>
      </w:r>
    </w:p>
    <w:p>
      <w:pPr>
        <w:spacing w:after="0" w:line="191" w:lineRule="exact"/>
        <w:rPr>
          <w:sz w:val="20"/>
          <w:szCs w:val="20"/>
          <w:color w:val="auto"/>
        </w:rPr>
      </w:pPr>
    </w:p>
    <w:p>
      <w:pPr>
        <w:ind w:right="760" w:firstLine="525"/>
        <w:spacing w:after="0" w:line="267" w:lineRule="auto"/>
        <w:tabs>
          <w:tab w:leader="none" w:pos="77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 Equipment having a value in excess of $1,000,000 and all Inventory having a value in excess of $1,000,000 as of the date hereof of the undersigned is located at the places specified therefor in Schedule H hereto.</w:t>
      </w:r>
    </w:p>
    <w:p>
      <w:pPr>
        <w:spacing w:after="0" w:line="179" w:lineRule="exact"/>
        <w:rPr>
          <w:rFonts w:ascii="Arial" w:cs="Arial" w:eastAsia="Arial" w:hAnsi="Arial"/>
          <w:sz w:val="18"/>
          <w:szCs w:val="18"/>
          <w:color w:val="auto"/>
        </w:rPr>
      </w:pPr>
    </w:p>
    <w:p>
      <w:pPr>
        <w:ind w:left="760" w:hanging="235"/>
        <w:spacing w:after="0"/>
        <w:tabs>
          <w:tab w:leader="none" w:pos="7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undersigned is not a beneficiary or assignee under any letter of credit, other than the letters of credit described in Schedule I hereto.</w:t>
      </w:r>
    </w:p>
    <w:p>
      <w:pPr>
        <w:spacing w:after="0" w:line="231" w:lineRule="exact"/>
        <w:rPr>
          <w:rFonts w:ascii="Arial" w:cs="Arial" w:eastAsia="Arial" w:hAnsi="Arial"/>
          <w:sz w:val="17"/>
          <w:szCs w:val="17"/>
          <w:color w:val="auto"/>
        </w:rPr>
      </w:pPr>
    </w:p>
    <w:p>
      <w:pPr>
        <w:ind w:right="100" w:firstLine="525"/>
        <w:spacing w:after="0" w:line="267" w:lineRule="auto"/>
        <w:tabs>
          <w:tab w:leader="none" w:pos="77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undersigned hereby makes each other representation and warranty set forth in Section 6 of the Security Agreement with respect to itself and the Collateral granted by it.</w:t>
      </w:r>
    </w:p>
    <w:p>
      <w:pPr>
        <w:spacing w:after="0" w:line="180"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Obligations Under the Security Agreement</w:t>
      </w:r>
      <w:r>
        <w:rPr>
          <w:rFonts w:ascii="Arial" w:cs="Arial" w:eastAsia="Arial" w:hAnsi="Arial"/>
          <w:sz w:val="16"/>
          <w:szCs w:val="16"/>
          <w:color w:val="auto"/>
        </w:rPr>
        <w:t>. The undersigned hereby agrees, as of the date first above written, to be bound as a Grantor by all of the terms and provisions of the Security Agreement to the same extent as each of the other Grantors. The undersigned further agrees, as of the date first above written, that each reference in the Security Agreement to an “Additional Grantor” or a “Grantor” shall also mean and be a reference to the undersigned, that each reference to the “Collateral” or any part thereof shall also mean and be a reference to the undersigned’s Collateral or part thereof, as the case may be, and that each reference in the Security Agreement to a Schedule shall also mean and be a reference to the schedules attached hereto.</w:t>
      </w:r>
    </w:p>
    <w:p>
      <w:pPr>
        <w:spacing w:after="0" w:line="165" w:lineRule="exact"/>
        <w:rPr>
          <w:sz w:val="20"/>
          <w:szCs w:val="20"/>
          <w:color w:val="auto"/>
        </w:rPr>
      </w:pPr>
    </w:p>
    <w:p>
      <w:pPr>
        <w:ind w:right="320" w:firstLine="518"/>
        <w:spacing w:after="0" w:line="26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Security Agreement Supplement shall be governed by, and construed in accordance with, the laws of the State of New York.</w:t>
      </w:r>
      <w:r>
        <w:rPr>
          <w:rFonts w:ascii="Arial" w:cs="Arial" w:eastAsia="Arial" w:hAnsi="Arial"/>
          <w:sz w:val="15"/>
          <w:szCs w:val="15"/>
          <w:color w:val="auto"/>
        </w:rPr>
        <w:t>1</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ADDITIONAL GRANTOR]</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12065</wp:posOffset>
            </wp:positionV>
            <wp:extent cx="24980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ind w:left="748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588010</wp:posOffset>
            </wp:positionV>
            <wp:extent cx="28962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443865</wp:posOffset>
            </wp:positionV>
            <wp:extent cx="28962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299720</wp:posOffset>
            </wp:positionV>
            <wp:extent cx="28962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824865</wp:posOffset>
            </wp:positionV>
            <wp:extent cx="14478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right="240" w:hanging="133"/>
        <w:spacing w:after="0" w:line="267" w:lineRule="auto"/>
        <w:tabs>
          <w:tab w:leader="none" w:pos="140" w:val="left"/>
        </w:tabs>
        <w:numPr>
          <w:ilvl w:val="0"/>
          <w:numId w:val="234"/>
        </w:numPr>
        <w:rPr>
          <w:rFonts w:ascii="Arial" w:cs="Arial" w:eastAsia="Arial" w:hAnsi="Arial"/>
          <w:sz w:val="15"/>
          <w:szCs w:val="15"/>
          <w:color w:val="auto"/>
        </w:rPr>
      </w:pPr>
      <w:r>
        <w:rPr>
          <w:rFonts w:ascii="Arial" w:cs="Arial" w:eastAsia="Arial" w:hAnsi="Arial"/>
          <w:sz w:val="18"/>
          <w:szCs w:val="18"/>
          <w:color w:val="auto"/>
        </w:rPr>
        <w:t>If the Additional Grantor is not concurrently executing a guaranty or other Loan Document containing provisions relating to submission to jurisdiction and jury trial waiver, include them here.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- 2</w:t>
      </w:r>
    </w:p>
    <w:p>
      <w:pPr>
        <w:sectPr>
          <w:pgSz w:w="11900" w:h="16838" w:orient="portrait"/>
          <w:cols w:equalWidth="0" w:num="1">
            <w:col w:w="11400"/>
          </w:cols>
          <w:pgMar w:left="240" w:top="554" w:right="259" w:bottom="1440" w:gutter="0" w:footer="0" w:header="0"/>
        </w:sectPr>
      </w:pPr>
    </w:p>
    <w:bookmarkStart w:id="284" w:name="page285"/>
    <w:bookmarkEnd w:id="284"/>
    <w:p>
      <w:pPr>
        <w:jc w:val="right"/>
        <w:spacing w:after="0"/>
        <w:rPr>
          <w:sz w:val="20"/>
          <w:szCs w:val="20"/>
          <w:color w:val="auto"/>
        </w:rPr>
      </w:pPr>
      <w:r>
        <w:rPr>
          <w:rFonts w:ascii="Arial" w:cs="Arial" w:eastAsia="Arial" w:hAnsi="Arial"/>
          <w:sz w:val="19"/>
          <w:szCs w:val="19"/>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June 20,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Employment Agreement</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Dear David:</w:t>
      </w:r>
    </w:p>
    <w:p>
      <w:pPr>
        <w:spacing w:after="0" w:line="208" w:lineRule="exact"/>
        <w:rPr>
          <w:sz w:val="20"/>
          <w:szCs w:val="20"/>
          <w:color w:val="auto"/>
        </w:rPr>
      </w:pPr>
    </w:p>
    <w:p>
      <w:pPr>
        <w:ind w:right="160"/>
        <w:spacing w:after="0" w:line="314" w:lineRule="auto"/>
        <w:rPr>
          <w:sz w:val="20"/>
          <w:szCs w:val="20"/>
          <w:color w:val="auto"/>
        </w:rPr>
      </w:pPr>
      <w:r>
        <w:rPr>
          <w:rFonts w:ascii="Arial" w:cs="Arial" w:eastAsia="Arial" w:hAnsi="Arial"/>
          <w:sz w:val="17"/>
          <w:szCs w:val="17"/>
          <w:color w:val="auto"/>
        </w:rPr>
        <w:t>This mutually agreeable form of employment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will be your employment agreement with Eastman Kodak Company and will be effective on July 1, 2016 (the “</w:t>
      </w:r>
      <w:r>
        <w:rPr>
          <w:rFonts w:ascii="Arial" w:cs="Arial" w:eastAsia="Arial" w:hAnsi="Arial"/>
          <w:sz w:val="17"/>
          <w:szCs w:val="17"/>
          <w:i w:val="1"/>
          <w:iCs w:val="1"/>
          <w:color w:val="auto"/>
        </w:rPr>
        <w:t>Effective Date</w:t>
      </w:r>
      <w:r>
        <w:rPr>
          <w:rFonts w:ascii="Arial" w:cs="Arial" w:eastAsia="Arial" w:hAnsi="Arial"/>
          <w:sz w:val="17"/>
          <w:szCs w:val="17"/>
          <w:color w:val="auto"/>
        </w:rPr>
        <w:t>”). For purposes of this Agreement, the term “</w:t>
      </w:r>
      <w:r>
        <w:rPr>
          <w:rFonts w:ascii="Arial" w:cs="Arial" w:eastAsia="Arial" w:hAnsi="Arial"/>
          <w:sz w:val="17"/>
          <w:szCs w:val="17"/>
          <w:i w:val="1"/>
          <w:iCs w:val="1"/>
          <w:color w:val="auto"/>
        </w:rPr>
        <w:t>Company</w:t>
      </w:r>
      <w:r>
        <w:rPr>
          <w:rFonts w:ascii="Arial" w:cs="Arial" w:eastAsia="Arial" w:hAnsi="Arial"/>
          <w:sz w:val="17"/>
          <w:szCs w:val="17"/>
          <w:color w:val="auto"/>
        </w:rPr>
        <w:t>” shall refer to Eastman Kodak Company.</w:t>
      </w:r>
    </w:p>
    <w:p>
      <w:pPr>
        <w:spacing w:after="0" w:line="351" w:lineRule="exact"/>
        <w:rPr>
          <w:sz w:val="20"/>
          <w:szCs w:val="20"/>
          <w:color w:val="auto"/>
        </w:rPr>
      </w:pPr>
    </w:p>
    <w:p>
      <w:pPr>
        <w:ind w:left="460" w:hanging="453"/>
        <w:spacing w:after="0"/>
        <w:tabs>
          <w:tab w:leader="none" w:pos="460" w:val="left"/>
        </w:tabs>
        <w:numPr>
          <w:ilvl w:val="0"/>
          <w:numId w:val="235"/>
        </w:numPr>
        <w:rPr>
          <w:rFonts w:ascii="Arial" w:cs="Arial" w:eastAsia="Arial" w:hAnsi="Arial"/>
          <w:sz w:val="19"/>
          <w:szCs w:val="19"/>
          <w:b w:val="1"/>
          <w:bCs w:val="1"/>
          <w:color w:val="auto"/>
        </w:rPr>
      </w:pPr>
      <w:r>
        <w:rPr>
          <w:rFonts w:ascii="Arial" w:cs="Arial" w:eastAsia="Arial" w:hAnsi="Arial"/>
          <w:sz w:val="19"/>
          <w:szCs w:val="19"/>
          <w:b w:val="1"/>
          <w:bCs w:val="1"/>
          <w:color w:val="auto"/>
        </w:rPr>
        <w:t>Terms Schedule</w:t>
      </w: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Some of the terms of your employment are in the attached schedule (your “</w:t>
      </w:r>
      <w:r>
        <w:rPr>
          <w:rFonts w:ascii="Arial" w:cs="Arial" w:eastAsia="Arial" w:hAnsi="Arial"/>
          <w:sz w:val="19"/>
          <w:szCs w:val="19"/>
          <w:i w:val="1"/>
          <w:iCs w:val="1"/>
          <w:color w:val="auto"/>
        </w:rPr>
        <w:t>Schedule</w:t>
      </w:r>
      <w:r>
        <w:rPr>
          <w:rFonts w:ascii="Arial" w:cs="Arial" w:eastAsia="Arial" w:hAnsi="Arial"/>
          <w:sz w:val="19"/>
          <w:szCs w:val="19"/>
          <w:color w:val="auto"/>
        </w:rPr>
        <w:t>”), which is part of this Agreement.</w:t>
      </w:r>
    </w:p>
    <w:p>
      <w:pPr>
        <w:spacing w:after="0" w:line="204" w:lineRule="exact"/>
        <w:rPr>
          <w:sz w:val="20"/>
          <w:szCs w:val="20"/>
          <w:color w:val="auto"/>
        </w:rPr>
      </w:pPr>
    </w:p>
    <w:p>
      <w:pPr>
        <w:ind w:left="460" w:hanging="453"/>
        <w:spacing w:after="0"/>
        <w:tabs>
          <w:tab w:leader="none" w:pos="460" w:val="left"/>
        </w:tabs>
        <w:numPr>
          <w:ilvl w:val="0"/>
          <w:numId w:val="236"/>
        </w:numPr>
        <w:rPr>
          <w:rFonts w:ascii="Arial" w:cs="Arial" w:eastAsia="Arial" w:hAnsi="Arial"/>
          <w:sz w:val="19"/>
          <w:szCs w:val="19"/>
          <w:b w:val="1"/>
          <w:bCs w:val="1"/>
          <w:color w:val="auto"/>
        </w:rPr>
      </w:pPr>
      <w:r>
        <w:rPr>
          <w:rFonts w:ascii="Arial" w:cs="Arial" w:eastAsia="Arial" w:hAnsi="Arial"/>
          <w:sz w:val="19"/>
          <w:szCs w:val="19"/>
          <w:b w:val="1"/>
          <w:bCs w:val="1"/>
          <w:color w:val="auto"/>
        </w:rPr>
        <w:t>Your Position, Performance and Other Activities</w:t>
      </w:r>
    </w:p>
    <w:p>
      <w:pPr>
        <w:spacing w:after="0" w:line="212" w:lineRule="exact"/>
        <w:rPr>
          <w:rFonts w:ascii="Arial" w:cs="Arial" w:eastAsia="Arial" w:hAnsi="Arial"/>
          <w:sz w:val="19"/>
          <w:szCs w:val="19"/>
          <w:b w:val="1"/>
          <w:bCs w:val="1"/>
          <w:color w:val="auto"/>
        </w:rPr>
      </w:pPr>
    </w:p>
    <w:p>
      <w:pPr>
        <w:ind w:left="2040" w:hanging="857"/>
        <w:spacing w:after="0"/>
        <w:tabs>
          <w:tab w:leader="none" w:pos="2040" w:val="left"/>
        </w:tabs>
        <w:numPr>
          <w:ilvl w:val="1"/>
          <w:numId w:val="236"/>
        </w:numPr>
        <w:rPr>
          <w:rFonts w:ascii="Arial" w:cs="Arial" w:eastAsia="Arial" w:hAnsi="Arial"/>
          <w:sz w:val="19"/>
          <w:szCs w:val="19"/>
          <w:color w:val="auto"/>
        </w:rPr>
      </w:pPr>
      <w:r>
        <w:rPr>
          <w:rFonts w:ascii="Arial" w:cs="Arial" w:eastAsia="Arial" w:hAnsi="Arial"/>
          <w:sz w:val="19"/>
          <w:szCs w:val="19"/>
          <w:i w:val="1"/>
          <w:iCs w:val="1"/>
          <w:color w:val="auto"/>
        </w:rPr>
        <w:t>Position</w:t>
      </w:r>
      <w:r>
        <w:rPr>
          <w:rFonts w:ascii="Arial" w:cs="Arial" w:eastAsia="Arial" w:hAnsi="Arial"/>
          <w:sz w:val="19"/>
          <w:szCs w:val="19"/>
          <w:color w:val="auto"/>
        </w:rPr>
        <w:t>. You will be employed in the position stated in your Schedule.</w:t>
      </w:r>
    </w:p>
    <w:p>
      <w:pPr>
        <w:spacing w:after="0" w:line="208" w:lineRule="exact"/>
        <w:rPr>
          <w:rFonts w:ascii="Arial" w:cs="Arial" w:eastAsia="Arial" w:hAnsi="Arial"/>
          <w:sz w:val="19"/>
          <w:szCs w:val="19"/>
          <w:color w:val="auto"/>
        </w:rPr>
      </w:pPr>
    </w:p>
    <w:p>
      <w:pPr>
        <w:ind w:right="100" w:firstLine="1183"/>
        <w:spacing w:after="0" w:line="245" w:lineRule="auto"/>
        <w:tabs>
          <w:tab w:leader="none" w:pos="2034" w:val="left"/>
        </w:tabs>
        <w:numPr>
          <w:ilvl w:val="1"/>
          <w:numId w:val="236"/>
        </w:numPr>
        <w:rPr>
          <w:rFonts w:ascii="Arial" w:cs="Arial" w:eastAsia="Arial" w:hAnsi="Arial"/>
          <w:sz w:val="19"/>
          <w:szCs w:val="19"/>
          <w:color w:val="auto"/>
        </w:rPr>
      </w:pPr>
      <w:r>
        <w:rPr>
          <w:rFonts w:ascii="Arial" w:cs="Arial" w:eastAsia="Arial" w:hAnsi="Arial"/>
          <w:sz w:val="19"/>
          <w:szCs w:val="19"/>
          <w:i w:val="1"/>
          <w:iCs w:val="1"/>
          <w:color w:val="auto"/>
        </w:rPr>
        <w:t>Authority, Responsibilities, and Reporting</w:t>
      </w:r>
      <w:r>
        <w:rPr>
          <w:rFonts w:ascii="Arial" w:cs="Arial" w:eastAsia="Arial" w:hAnsi="Arial"/>
          <w:sz w:val="19"/>
          <w:szCs w:val="19"/>
          <w:color w:val="auto"/>
        </w:rPr>
        <w:t>. Your authority, responsibilities and reporting relationships will correspond to</w:t>
      </w:r>
      <w:r>
        <w:rPr>
          <w:rFonts w:ascii="Arial" w:cs="Arial" w:eastAsia="Arial" w:hAnsi="Arial"/>
          <w:sz w:val="19"/>
          <w:szCs w:val="19"/>
          <w:i w:val="1"/>
          <w:iCs w:val="1"/>
          <w:color w:val="auto"/>
        </w:rPr>
        <w:t xml:space="preserve"> </w:t>
      </w:r>
      <w:r>
        <w:rPr>
          <w:rFonts w:ascii="Arial" w:cs="Arial" w:eastAsia="Arial" w:hAnsi="Arial"/>
          <w:sz w:val="19"/>
          <w:szCs w:val="19"/>
          <w:color w:val="auto"/>
        </w:rPr>
        <w:t>your position and will include any particular authority, responsibilities and reporting relationships that the Company’s Board of Directors (the “</w:t>
      </w:r>
      <w:r>
        <w:rPr>
          <w:rFonts w:ascii="Arial" w:cs="Arial" w:eastAsia="Arial" w:hAnsi="Arial"/>
          <w:sz w:val="19"/>
          <w:szCs w:val="19"/>
          <w:i w:val="1"/>
          <w:iCs w:val="1"/>
          <w:color w:val="auto"/>
        </w:rPr>
        <w:t>Board</w:t>
      </w:r>
      <w:r>
        <w:rPr>
          <w:rFonts w:ascii="Arial" w:cs="Arial" w:eastAsia="Arial" w:hAnsi="Arial"/>
          <w:sz w:val="19"/>
          <w:szCs w:val="19"/>
          <w:color w:val="auto"/>
        </w:rPr>
        <w:t>”) or any officer of the Company to whom you report may assign to you from time to time.</w:t>
      </w:r>
    </w:p>
    <w:p>
      <w:pPr>
        <w:spacing w:after="0" w:line="184" w:lineRule="exact"/>
        <w:rPr>
          <w:rFonts w:ascii="Arial" w:cs="Arial" w:eastAsia="Arial" w:hAnsi="Arial"/>
          <w:sz w:val="19"/>
          <w:szCs w:val="19"/>
          <w:color w:val="auto"/>
        </w:rPr>
      </w:pPr>
    </w:p>
    <w:p>
      <w:pPr>
        <w:jc w:val="both"/>
        <w:ind w:right="140" w:firstLine="1183"/>
        <w:spacing w:after="0" w:line="245" w:lineRule="auto"/>
        <w:tabs>
          <w:tab w:leader="none" w:pos="2024" w:val="left"/>
        </w:tabs>
        <w:numPr>
          <w:ilvl w:val="1"/>
          <w:numId w:val="236"/>
        </w:numPr>
        <w:rPr>
          <w:rFonts w:ascii="Arial" w:cs="Arial" w:eastAsia="Arial" w:hAnsi="Arial"/>
          <w:sz w:val="19"/>
          <w:szCs w:val="19"/>
          <w:color w:val="auto"/>
        </w:rPr>
      </w:pPr>
      <w:r>
        <w:rPr>
          <w:rFonts w:ascii="Arial" w:cs="Arial" w:eastAsia="Arial" w:hAnsi="Arial"/>
          <w:sz w:val="19"/>
          <w:szCs w:val="19"/>
          <w:i w:val="1"/>
          <w:iCs w:val="1"/>
          <w:color w:val="auto"/>
        </w:rPr>
        <w:t>Performance</w:t>
      </w:r>
      <w:r>
        <w:rPr>
          <w:rFonts w:ascii="Arial" w:cs="Arial" w:eastAsia="Arial" w:hAnsi="Arial"/>
          <w:sz w:val="19"/>
          <w:szCs w:val="19"/>
          <w:color w:val="auto"/>
        </w:rPr>
        <w:t>. You are expected to devote your best efforts and all of your business time to the affairs of the Company. You</w:t>
      </w:r>
      <w:r>
        <w:rPr>
          <w:rFonts w:ascii="Arial" w:cs="Arial" w:eastAsia="Arial" w:hAnsi="Arial"/>
          <w:sz w:val="19"/>
          <w:szCs w:val="19"/>
          <w:i w:val="1"/>
          <w:iCs w:val="1"/>
          <w:color w:val="auto"/>
        </w:rPr>
        <w:t xml:space="preserve"> </w:t>
      </w:r>
      <w:r>
        <w:rPr>
          <w:rFonts w:ascii="Arial" w:cs="Arial" w:eastAsia="Arial" w:hAnsi="Arial"/>
          <w:sz w:val="19"/>
          <w:szCs w:val="19"/>
          <w:color w:val="auto"/>
        </w:rPr>
        <w:t>may, however, engage in any charitable, civic and community activities, provided, however, such activities do not materially interfere with your duties and responsibilities.</w:t>
      </w:r>
    </w:p>
    <w:p>
      <w:pPr>
        <w:spacing w:after="0" w:line="180" w:lineRule="exact"/>
        <w:rPr>
          <w:rFonts w:ascii="Arial" w:cs="Arial" w:eastAsia="Arial" w:hAnsi="Arial"/>
          <w:sz w:val="19"/>
          <w:szCs w:val="19"/>
          <w:color w:val="auto"/>
        </w:rPr>
      </w:pPr>
    </w:p>
    <w:p>
      <w:pPr>
        <w:ind w:left="460" w:hanging="453"/>
        <w:spacing w:after="0"/>
        <w:tabs>
          <w:tab w:leader="none" w:pos="460" w:val="left"/>
        </w:tabs>
        <w:numPr>
          <w:ilvl w:val="0"/>
          <w:numId w:val="236"/>
        </w:numPr>
        <w:rPr>
          <w:rFonts w:ascii="Arial" w:cs="Arial" w:eastAsia="Arial" w:hAnsi="Arial"/>
          <w:sz w:val="19"/>
          <w:szCs w:val="19"/>
          <w:b w:val="1"/>
          <w:bCs w:val="1"/>
          <w:color w:val="auto"/>
        </w:rPr>
      </w:pPr>
      <w:r>
        <w:rPr>
          <w:rFonts w:ascii="Arial" w:cs="Arial" w:eastAsia="Arial" w:hAnsi="Arial"/>
          <w:sz w:val="19"/>
          <w:szCs w:val="19"/>
          <w:b w:val="1"/>
          <w:bCs w:val="1"/>
          <w:color w:val="auto"/>
        </w:rPr>
        <w:t>Your Compensation</w:t>
      </w:r>
    </w:p>
    <w:p>
      <w:pPr>
        <w:spacing w:after="0" w:line="212" w:lineRule="exact"/>
        <w:rPr>
          <w:rFonts w:ascii="Arial" w:cs="Arial" w:eastAsia="Arial" w:hAnsi="Arial"/>
          <w:sz w:val="19"/>
          <w:szCs w:val="19"/>
          <w:b w:val="1"/>
          <w:bCs w:val="1"/>
          <w:color w:val="auto"/>
        </w:rPr>
      </w:pPr>
    </w:p>
    <w:p>
      <w:pPr>
        <w:ind w:right="80" w:firstLine="1183"/>
        <w:spacing w:after="0" w:line="256" w:lineRule="auto"/>
        <w:tabs>
          <w:tab w:leader="none" w:pos="2024" w:val="left"/>
        </w:tabs>
        <w:numPr>
          <w:ilvl w:val="1"/>
          <w:numId w:val="236"/>
        </w:numPr>
        <w:rPr>
          <w:rFonts w:ascii="Arial" w:cs="Arial" w:eastAsia="Arial" w:hAnsi="Arial"/>
          <w:sz w:val="19"/>
          <w:szCs w:val="19"/>
          <w:color w:val="auto"/>
        </w:rPr>
      </w:pPr>
      <w:r>
        <w:rPr>
          <w:rFonts w:ascii="Arial" w:cs="Arial" w:eastAsia="Arial" w:hAnsi="Arial"/>
          <w:sz w:val="19"/>
          <w:szCs w:val="19"/>
          <w:i w:val="1"/>
          <w:iCs w:val="1"/>
          <w:color w:val="auto"/>
        </w:rPr>
        <w:t>Salary</w:t>
      </w:r>
      <w:r>
        <w:rPr>
          <w:rFonts w:ascii="Arial" w:cs="Arial" w:eastAsia="Arial" w:hAnsi="Arial"/>
          <w:sz w:val="19"/>
          <w:szCs w:val="19"/>
          <w:color w:val="auto"/>
        </w:rPr>
        <w:t>. You will receive an annual base salary (your “</w:t>
      </w:r>
      <w:r>
        <w:rPr>
          <w:rFonts w:ascii="Arial" w:cs="Arial" w:eastAsia="Arial" w:hAnsi="Arial"/>
          <w:sz w:val="19"/>
          <w:szCs w:val="19"/>
          <w:i w:val="1"/>
          <w:iCs w:val="1"/>
          <w:color w:val="auto"/>
        </w:rPr>
        <w:t>Salary</w:t>
      </w:r>
      <w:r>
        <w:rPr>
          <w:rFonts w:ascii="Arial" w:cs="Arial" w:eastAsia="Arial" w:hAnsi="Arial"/>
          <w:sz w:val="19"/>
          <w:szCs w:val="19"/>
          <w:color w:val="auto"/>
        </w:rPr>
        <w:t>”). Commencing on the Effective Date, your Salary will be the</w:t>
      </w:r>
      <w:r>
        <w:rPr>
          <w:rFonts w:ascii="Arial" w:cs="Arial" w:eastAsia="Arial" w:hAnsi="Arial"/>
          <w:sz w:val="19"/>
          <w:szCs w:val="19"/>
          <w:i w:val="1"/>
          <w:iCs w:val="1"/>
          <w:color w:val="auto"/>
        </w:rPr>
        <w:t xml:space="preserve"> </w:t>
      </w:r>
      <w:r>
        <w:rPr>
          <w:rFonts w:ascii="Arial" w:cs="Arial" w:eastAsia="Arial" w:hAnsi="Arial"/>
          <w:sz w:val="19"/>
          <w:szCs w:val="19"/>
          <w:color w:val="auto"/>
        </w:rPr>
        <w:t>amount set forth in your Schedule. Your Salary will be paid in accordance with the Company’s normal payroll practices.</w:t>
      </w:r>
    </w:p>
    <w:p>
      <w:pPr>
        <w:spacing w:after="0" w:line="173" w:lineRule="exact"/>
        <w:rPr>
          <w:rFonts w:ascii="Arial" w:cs="Arial" w:eastAsia="Arial" w:hAnsi="Arial"/>
          <w:sz w:val="19"/>
          <w:szCs w:val="19"/>
          <w:color w:val="auto"/>
        </w:rPr>
      </w:pPr>
    </w:p>
    <w:p>
      <w:pPr>
        <w:ind w:right="60" w:firstLine="1183"/>
        <w:spacing w:after="0" w:line="259" w:lineRule="auto"/>
        <w:tabs>
          <w:tab w:leader="none" w:pos="2034" w:val="left"/>
        </w:tabs>
        <w:numPr>
          <w:ilvl w:val="1"/>
          <w:numId w:val="236"/>
        </w:numPr>
        <w:rPr>
          <w:rFonts w:ascii="Arial" w:cs="Arial" w:eastAsia="Arial" w:hAnsi="Arial"/>
          <w:sz w:val="18"/>
          <w:szCs w:val="18"/>
          <w:color w:val="auto"/>
        </w:rPr>
      </w:pPr>
      <w:r>
        <w:rPr>
          <w:rFonts w:ascii="Arial" w:cs="Arial" w:eastAsia="Arial" w:hAnsi="Arial"/>
          <w:sz w:val="18"/>
          <w:szCs w:val="18"/>
          <w:i w:val="1"/>
          <w:iCs w:val="1"/>
          <w:color w:val="auto"/>
        </w:rPr>
        <w:t>Annual Incentive</w:t>
      </w:r>
      <w:r>
        <w:rPr>
          <w:rFonts w:ascii="Arial" w:cs="Arial" w:eastAsia="Arial" w:hAnsi="Arial"/>
          <w:sz w:val="18"/>
          <w:szCs w:val="18"/>
          <w:color w:val="auto"/>
        </w:rPr>
        <w:t>. You will be eligible to participate in the Company’s short-term variable pay plan for its management level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known as Executive Compensation for Excellence and Leadership (“</w:t>
      </w:r>
      <w:r>
        <w:rPr>
          <w:rFonts w:ascii="Arial" w:cs="Arial" w:eastAsia="Arial" w:hAnsi="Arial"/>
          <w:sz w:val="18"/>
          <w:szCs w:val="18"/>
          <w:i w:val="1"/>
          <w:iCs w:val="1"/>
          <w:color w:val="auto"/>
        </w:rPr>
        <w:t>EXCEL</w:t>
      </w:r>
      <w:r>
        <w:rPr>
          <w:rFonts w:ascii="Arial" w:cs="Arial" w:eastAsia="Arial" w:hAnsi="Arial"/>
          <w:sz w:val="18"/>
          <w:szCs w:val="18"/>
          <w:color w:val="auto"/>
        </w:rPr>
        <w:t>”) (your “</w:t>
      </w:r>
      <w:r>
        <w:rPr>
          <w:rFonts w:ascii="Arial" w:cs="Arial" w:eastAsia="Arial" w:hAnsi="Arial"/>
          <w:sz w:val="18"/>
          <w:szCs w:val="18"/>
          <w:i w:val="1"/>
          <w:iCs w:val="1"/>
          <w:color w:val="auto"/>
        </w:rPr>
        <w:t>Annual Incentive</w:t>
      </w:r>
      <w:r>
        <w:rPr>
          <w:rFonts w:ascii="Arial" w:cs="Arial" w:eastAsia="Arial" w:hAnsi="Arial"/>
          <w:sz w:val="18"/>
          <w:szCs w:val="18"/>
          <w:color w:val="auto"/>
        </w:rPr>
        <w:t>”). Your annual target award under EXCEL will be determined in accordance with your Schedule. Any actual award in a given annual performance period will depend upon performance against corporate goals selected by management and approved by the appropriate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323215</wp:posOffset>
            </wp:positionV>
            <wp:extent cx="729043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5" w:name="page286"/>
    <w:bookmarkEnd w:id="285"/>
    <w:p>
      <w:pPr>
        <w:ind w:left="8380"/>
        <w:spacing w:after="0"/>
        <w:rPr>
          <w:sz w:val="20"/>
          <w:szCs w:val="20"/>
          <w:color w:val="auto"/>
        </w:rPr>
      </w:pPr>
      <w:r>
        <w:rPr>
          <w:rFonts w:ascii="Arial" w:cs="Arial" w:eastAsia="Arial" w:hAnsi="Arial"/>
          <w:sz w:val="19"/>
          <w:szCs w:val="19"/>
          <w:color w:val="auto"/>
        </w:rPr>
        <w:t>-2-</w:t>
      </w:r>
    </w:p>
    <w:p>
      <w:pPr>
        <w:spacing w:after="0" w:line="221" w:lineRule="exact"/>
        <w:rPr>
          <w:sz w:val="20"/>
          <w:szCs w:val="20"/>
          <w:color w:val="auto"/>
        </w:rPr>
      </w:pPr>
    </w:p>
    <w:p>
      <w:pPr>
        <w:ind w:right="740"/>
        <w:spacing w:after="0" w:line="256" w:lineRule="auto"/>
        <w:rPr>
          <w:sz w:val="20"/>
          <w:szCs w:val="20"/>
          <w:color w:val="auto"/>
        </w:rPr>
      </w:pPr>
      <w:r>
        <w:rPr>
          <w:rFonts w:ascii="Arial" w:cs="Arial" w:eastAsia="Arial" w:hAnsi="Arial"/>
          <w:sz w:val="19"/>
          <w:szCs w:val="19"/>
          <w:color w:val="auto"/>
        </w:rPr>
        <w:t>of the Board and will be paid in the discretion of such committee and management. The terms of the EXCEL plan itself govern and control all interpretations of the plan.</w:t>
      </w:r>
    </w:p>
    <w:p>
      <w:pPr>
        <w:spacing w:after="0" w:line="174" w:lineRule="exact"/>
        <w:rPr>
          <w:sz w:val="20"/>
          <w:szCs w:val="20"/>
          <w:color w:val="auto"/>
        </w:rPr>
      </w:pPr>
    </w:p>
    <w:p>
      <w:pPr>
        <w:ind w:firstLine="1183"/>
        <w:spacing w:after="0" w:line="239" w:lineRule="auto"/>
        <w:tabs>
          <w:tab w:leader="none" w:pos="2024" w:val="left"/>
        </w:tabs>
        <w:numPr>
          <w:ilvl w:val="1"/>
          <w:numId w:val="237"/>
        </w:numPr>
        <w:rPr>
          <w:rFonts w:ascii="Arial" w:cs="Arial" w:eastAsia="Arial" w:hAnsi="Arial"/>
          <w:sz w:val="19"/>
          <w:szCs w:val="19"/>
          <w:color w:val="auto"/>
        </w:rPr>
      </w:pPr>
      <w:r>
        <w:rPr>
          <w:rFonts w:ascii="Arial" w:cs="Arial" w:eastAsia="Arial" w:hAnsi="Arial"/>
          <w:sz w:val="19"/>
          <w:szCs w:val="19"/>
          <w:i w:val="1"/>
          <w:iCs w:val="1"/>
          <w:color w:val="auto"/>
        </w:rPr>
        <w:t>Long-Term Incentive Awards</w:t>
      </w:r>
      <w:r>
        <w:rPr>
          <w:rFonts w:ascii="Arial" w:cs="Arial" w:eastAsia="Arial" w:hAnsi="Arial"/>
          <w:sz w:val="19"/>
          <w:szCs w:val="19"/>
          <w:color w:val="auto"/>
        </w:rPr>
        <w:t>. You will be eligible to participate in the Company’s Long-Term Incentive (LTI) program under</w:t>
      </w:r>
      <w:r>
        <w:rPr>
          <w:rFonts w:ascii="Arial" w:cs="Arial" w:eastAsia="Arial" w:hAnsi="Arial"/>
          <w:sz w:val="19"/>
          <w:szCs w:val="19"/>
          <w:i w:val="1"/>
          <w:iCs w:val="1"/>
          <w:color w:val="auto"/>
        </w:rPr>
        <w:t xml:space="preserve"> </w:t>
      </w:r>
      <w:r>
        <w:rPr>
          <w:rFonts w:ascii="Arial" w:cs="Arial" w:eastAsia="Arial" w:hAnsi="Arial"/>
          <w:sz w:val="19"/>
          <w:szCs w:val="19"/>
          <w:color w:val="auto"/>
        </w:rPr>
        <w:t>the Eastman Kodak Company 2013 Omnibus Incentive Plan (the “</w:t>
      </w:r>
      <w:r>
        <w:rPr>
          <w:rFonts w:ascii="Arial" w:cs="Arial" w:eastAsia="Arial" w:hAnsi="Arial"/>
          <w:sz w:val="19"/>
          <w:szCs w:val="19"/>
          <w:i w:val="1"/>
          <w:iCs w:val="1"/>
          <w:color w:val="auto"/>
        </w:rPr>
        <w:t>Omnibus Plan</w:t>
      </w:r>
      <w:r>
        <w:rPr>
          <w:rFonts w:ascii="Arial" w:cs="Arial" w:eastAsia="Arial" w:hAnsi="Arial"/>
          <w:sz w:val="19"/>
          <w:szCs w:val="19"/>
          <w:color w:val="auto"/>
        </w:rPr>
        <w:t>”). The amount and form of the award (the “</w:t>
      </w:r>
      <w:r>
        <w:rPr>
          <w:rFonts w:ascii="Arial" w:cs="Arial" w:eastAsia="Arial" w:hAnsi="Arial"/>
          <w:sz w:val="19"/>
          <w:szCs w:val="19"/>
          <w:i w:val="1"/>
          <w:iCs w:val="1"/>
          <w:color w:val="auto"/>
        </w:rPr>
        <w:t>Long-Term Equity</w:t>
      </w:r>
      <w:r>
        <w:rPr>
          <w:rFonts w:ascii="Arial" w:cs="Arial" w:eastAsia="Arial" w:hAnsi="Arial"/>
          <w:sz w:val="19"/>
          <w:szCs w:val="19"/>
          <w:color w:val="auto"/>
        </w:rPr>
        <w:t xml:space="preserve"> </w:t>
      </w:r>
      <w:r>
        <w:rPr>
          <w:rFonts w:ascii="Arial" w:cs="Arial" w:eastAsia="Arial" w:hAnsi="Arial"/>
          <w:sz w:val="19"/>
          <w:szCs w:val="19"/>
          <w:i w:val="1"/>
          <w:iCs w:val="1"/>
          <w:color w:val="auto"/>
        </w:rPr>
        <w:t>Award</w:t>
      </w:r>
      <w:r>
        <w:rPr>
          <w:rFonts w:ascii="Arial" w:cs="Arial" w:eastAsia="Arial" w:hAnsi="Arial"/>
          <w:sz w:val="19"/>
          <w:szCs w:val="19"/>
          <w:color w:val="auto"/>
        </w:rPr>
        <w:t>”) to be granted to you will be determined by the Company in accordance with the terms of the Omnibus Plan and your Schedule. The specific</w:t>
      </w:r>
      <w:r>
        <w:rPr>
          <w:rFonts w:ascii="Arial" w:cs="Arial" w:eastAsia="Arial" w:hAnsi="Arial"/>
          <w:sz w:val="19"/>
          <w:szCs w:val="19"/>
          <w:i w:val="1"/>
          <w:iCs w:val="1"/>
          <w:color w:val="auto"/>
        </w:rPr>
        <w:t xml:space="preserve"> </w:t>
      </w:r>
      <w:r>
        <w:rPr>
          <w:rFonts w:ascii="Arial" w:cs="Arial" w:eastAsia="Arial" w:hAnsi="Arial"/>
          <w:sz w:val="19"/>
          <w:szCs w:val="19"/>
          <w:color w:val="auto"/>
        </w:rPr>
        <w:t>terms, conditions and restrictions on any Long-Term Equity Award will be contained in the Administrative Guide and Award Notice delivered to you within twenty (20) business days of the grant date.</w:t>
      </w:r>
    </w:p>
    <w:p>
      <w:pPr>
        <w:spacing w:after="0" w:line="192" w:lineRule="exact"/>
        <w:rPr>
          <w:rFonts w:ascii="Arial" w:cs="Arial" w:eastAsia="Arial" w:hAnsi="Arial"/>
          <w:sz w:val="19"/>
          <w:szCs w:val="19"/>
          <w:color w:val="auto"/>
        </w:rPr>
      </w:pPr>
    </w:p>
    <w:p>
      <w:pPr>
        <w:ind w:right="60" w:firstLine="1183"/>
        <w:spacing w:after="0" w:line="253" w:lineRule="auto"/>
        <w:tabs>
          <w:tab w:leader="none" w:pos="2034" w:val="left"/>
        </w:tabs>
        <w:numPr>
          <w:ilvl w:val="1"/>
          <w:numId w:val="237"/>
        </w:numPr>
        <w:rPr>
          <w:rFonts w:ascii="Arial" w:cs="Arial" w:eastAsia="Arial" w:hAnsi="Arial"/>
          <w:sz w:val="18"/>
          <w:szCs w:val="18"/>
          <w:color w:val="auto"/>
        </w:rPr>
      </w:pPr>
      <w:r>
        <w:rPr>
          <w:rFonts w:ascii="Arial" w:cs="Arial" w:eastAsia="Arial" w:hAnsi="Arial"/>
          <w:sz w:val="18"/>
          <w:szCs w:val="18"/>
          <w:i w:val="1"/>
          <w:iCs w:val="1"/>
          <w:color w:val="auto"/>
        </w:rPr>
        <w:t>Promotion Equity Awards</w:t>
      </w:r>
      <w:r>
        <w:rPr>
          <w:rFonts w:ascii="Arial" w:cs="Arial" w:eastAsia="Arial" w:hAnsi="Arial"/>
          <w:sz w:val="18"/>
          <w:szCs w:val="18"/>
          <w:color w:val="auto"/>
        </w:rPr>
        <w:t>. On or shortly after the Effective Date, you will be granted the promotion equity awards stated in</w:t>
      </w:r>
      <w:r>
        <w:rPr>
          <w:rFonts w:ascii="Arial" w:cs="Arial" w:eastAsia="Arial" w:hAnsi="Arial"/>
          <w:sz w:val="18"/>
          <w:szCs w:val="18"/>
          <w:i w:val="1"/>
          <w:iCs w:val="1"/>
          <w:color w:val="auto"/>
        </w:rPr>
        <w:t xml:space="preserve"> </w:t>
      </w:r>
      <w:r>
        <w:rPr>
          <w:rFonts w:ascii="Arial" w:cs="Arial" w:eastAsia="Arial" w:hAnsi="Arial"/>
          <w:sz w:val="18"/>
          <w:szCs w:val="18"/>
          <w:color w:val="auto"/>
        </w:rPr>
        <w:t>your Schedule (your “</w:t>
      </w:r>
      <w:r>
        <w:rPr>
          <w:rFonts w:ascii="Arial" w:cs="Arial" w:eastAsia="Arial" w:hAnsi="Arial"/>
          <w:sz w:val="18"/>
          <w:szCs w:val="18"/>
          <w:i w:val="1"/>
          <w:iCs w:val="1"/>
          <w:color w:val="auto"/>
        </w:rPr>
        <w:t>Promotion Equity Awards</w:t>
      </w:r>
      <w:r>
        <w:rPr>
          <w:rFonts w:ascii="Arial" w:cs="Arial" w:eastAsia="Arial" w:hAnsi="Arial"/>
          <w:sz w:val="18"/>
          <w:szCs w:val="18"/>
          <w:color w:val="auto"/>
        </w:rPr>
        <w:t>”) under the Omnibus Plan, which will be subject to the terms and conditions set forth in your Schedule and the applicable Award Notice. Your Promotion Equity Awards are stated on your Schedule in terms of dollar ($) value. The actual number of restricted stock units that you will be granted will be calculated by dividing the target dollar value to be delivered in restricted stock units by the closing price of the Company’s stock on the New York Stock Exchange on the grant date. The actual number of stock options that you will be granted will be calculated by dividing the target dollar value to be delivered in stock options by the fair value of the stock options, which will be estimated pursuant to the Black-Scholes model used by the Company for such purpose.</w:t>
      </w:r>
    </w:p>
    <w:p>
      <w:pPr>
        <w:spacing w:after="0" w:line="175" w:lineRule="exact"/>
        <w:rPr>
          <w:rFonts w:ascii="Arial" w:cs="Arial" w:eastAsia="Arial" w:hAnsi="Arial"/>
          <w:sz w:val="18"/>
          <w:szCs w:val="18"/>
          <w:color w:val="auto"/>
        </w:rPr>
      </w:pPr>
    </w:p>
    <w:p>
      <w:pPr>
        <w:ind w:left="460" w:hanging="453"/>
        <w:spacing w:after="0"/>
        <w:tabs>
          <w:tab w:leader="none" w:pos="460" w:val="left"/>
        </w:tabs>
        <w:numPr>
          <w:ilvl w:val="0"/>
          <w:numId w:val="238"/>
        </w:numPr>
        <w:rPr>
          <w:rFonts w:ascii="Arial" w:cs="Arial" w:eastAsia="Arial" w:hAnsi="Arial"/>
          <w:sz w:val="19"/>
          <w:szCs w:val="19"/>
          <w:b w:val="1"/>
          <w:bCs w:val="1"/>
          <w:color w:val="auto"/>
        </w:rPr>
      </w:pPr>
      <w:r>
        <w:rPr>
          <w:rFonts w:ascii="Arial" w:cs="Arial" w:eastAsia="Arial" w:hAnsi="Arial"/>
          <w:sz w:val="19"/>
          <w:szCs w:val="19"/>
          <w:b w:val="1"/>
          <w:bCs w:val="1"/>
          <w:color w:val="auto"/>
        </w:rPr>
        <w:t>Your Benefits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Employee Benefit Plans.</w:t>
      </w:r>
    </w:p>
    <w:p>
      <w:pPr>
        <w:spacing w:after="0" w:line="208" w:lineRule="exact"/>
        <w:rPr>
          <w:sz w:val="20"/>
          <w:szCs w:val="20"/>
          <w:color w:val="auto"/>
        </w:rPr>
      </w:pPr>
    </w:p>
    <w:p>
      <w:pPr>
        <w:ind w:right="260" w:firstLine="533"/>
        <w:spacing w:after="0" w:line="256" w:lineRule="auto"/>
        <w:rPr>
          <w:sz w:val="20"/>
          <w:szCs w:val="20"/>
          <w:color w:val="auto"/>
        </w:rPr>
      </w:pPr>
      <w:r>
        <w:rPr>
          <w:rFonts w:ascii="Arial" w:cs="Arial" w:eastAsia="Arial" w:hAnsi="Arial"/>
          <w:sz w:val="19"/>
          <w:szCs w:val="19"/>
          <w:color w:val="auto"/>
        </w:rPr>
        <w:t>During your employment, you will be entitled to participate in the Company’s employee benefit plans, including plans that provide retirement and welfare benefits.</w:t>
      </w:r>
    </w:p>
    <w:p>
      <w:pPr>
        <w:spacing w:after="0" w:line="174" w:lineRule="exact"/>
        <w:rPr>
          <w:sz w:val="20"/>
          <w:szCs w:val="20"/>
          <w:color w:val="auto"/>
        </w:rPr>
      </w:pPr>
    </w:p>
    <w:p>
      <w:pPr>
        <w:ind w:left="2580" w:hanging="1397"/>
        <w:spacing w:after="0"/>
        <w:tabs>
          <w:tab w:leader="none" w:pos="2580" w:val="left"/>
        </w:tabs>
        <w:numPr>
          <w:ilvl w:val="1"/>
          <w:numId w:val="239"/>
        </w:numPr>
        <w:rPr>
          <w:rFonts w:ascii="Arial" w:cs="Arial" w:eastAsia="Arial" w:hAnsi="Arial"/>
          <w:sz w:val="17"/>
          <w:szCs w:val="17"/>
          <w:color w:val="auto"/>
        </w:rPr>
      </w:pPr>
      <w:r>
        <w:rPr>
          <w:rFonts w:ascii="Arial" w:cs="Arial" w:eastAsia="Arial" w:hAnsi="Arial"/>
          <w:sz w:val="17"/>
          <w:szCs w:val="17"/>
          <w:i w:val="1"/>
          <w:iCs w:val="1"/>
          <w:color w:val="auto"/>
        </w:rPr>
        <w:t xml:space="preserve">Vacation. </w:t>
      </w:r>
      <w:r>
        <w:rPr>
          <w:rFonts w:ascii="Arial" w:cs="Arial" w:eastAsia="Arial" w:hAnsi="Arial"/>
          <w:sz w:val="17"/>
          <w:szCs w:val="17"/>
          <w:color w:val="auto"/>
        </w:rPr>
        <w:t>You will be entitled to paid annual vacation on the same basis as immediately prior to the Effective Date.</w:t>
      </w:r>
    </w:p>
    <w:p>
      <w:pPr>
        <w:spacing w:after="0" w:line="231" w:lineRule="exact"/>
        <w:rPr>
          <w:rFonts w:ascii="Arial" w:cs="Arial" w:eastAsia="Arial" w:hAnsi="Arial"/>
          <w:sz w:val="17"/>
          <w:szCs w:val="17"/>
          <w:color w:val="auto"/>
        </w:rPr>
      </w:pPr>
    </w:p>
    <w:p>
      <w:pPr>
        <w:ind w:left="2560" w:hanging="1377"/>
        <w:spacing w:after="0"/>
        <w:tabs>
          <w:tab w:leader="none" w:pos="2560" w:val="left"/>
        </w:tabs>
        <w:numPr>
          <w:ilvl w:val="1"/>
          <w:numId w:val="239"/>
        </w:numPr>
        <w:rPr>
          <w:rFonts w:ascii="Arial" w:cs="Arial" w:eastAsia="Arial" w:hAnsi="Arial"/>
          <w:sz w:val="17"/>
          <w:szCs w:val="17"/>
          <w:color w:val="auto"/>
        </w:rPr>
      </w:pPr>
      <w:r>
        <w:rPr>
          <w:rFonts w:ascii="Arial" w:cs="Arial" w:eastAsia="Arial" w:hAnsi="Arial"/>
          <w:sz w:val="17"/>
          <w:szCs w:val="17"/>
          <w:i w:val="1"/>
          <w:iCs w:val="1"/>
          <w:color w:val="auto"/>
        </w:rPr>
        <w:t xml:space="preserve">Additional Benefits. </w:t>
      </w:r>
      <w:r>
        <w:rPr>
          <w:rFonts w:ascii="Arial" w:cs="Arial" w:eastAsia="Arial" w:hAnsi="Arial"/>
          <w:sz w:val="17"/>
          <w:szCs w:val="17"/>
          <w:color w:val="auto"/>
        </w:rPr>
        <w:t>During your employment, you will be provided any additional benefits stated in your Schedule.</w:t>
      </w:r>
    </w:p>
    <w:p>
      <w:pPr>
        <w:spacing w:after="0" w:line="227" w:lineRule="exact"/>
        <w:rPr>
          <w:rFonts w:ascii="Arial" w:cs="Arial" w:eastAsia="Arial" w:hAnsi="Arial"/>
          <w:sz w:val="17"/>
          <w:szCs w:val="17"/>
          <w:color w:val="auto"/>
        </w:rPr>
      </w:pPr>
    </w:p>
    <w:p>
      <w:pPr>
        <w:ind w:left="460" w:hanging="453"/>
        <w:spacing w:after="0"/>
        <w:tabs>
          <w:tab w:leader="none" w:pos="460" w:val="left"/>
        </w:tabs>
        <w:numPr>
          <w:ilvl w:val="0"/>
          <w:numId w:val="240"/>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of Your Employment</w:t>
      </w:r>
    </w:p>
    <w:p>
      <w:pPr>
        <w:spacing w:after="0" w:line="212" w:lineRule="exact"/>
        <w:rPr>
          <w:rFonts w:ascii="Arial" w:cs="Arial" w:eastAsia="Arial" w:hAnsi="Arial"/>
          <w:sz w:val="19"/>
          <w:szCs w:val="19"/>
          <w:b w:val="1"/>
          <w:bCs w:val="1"/>
          <w:color w:val="auto"/>
        </w:rPr>
      </w:pPr>
    </w:p>
    <w:p>
      <w:pPr>
        <w:ind w:right="300" w:firstLine="1183"/>
        <w:spacing w:after="0" w:line="314" w:lineRule="auto"/>
        <w:tabs>
          <w:tab w:leader="none" w:pos="2557" w:val="left"/>
        </w:tabs>
        <w:numPr>
          <w:ilvl w:val="1"/>
          <w:numId w:val="240"/>
        </w:numPr>
        <w:rPr>
          <w:rFonts w:ascii="Arial" w:cs="Arial" w:eastAsia="Arial" w:hAnsi="Arial"/>
          <w:sz w:val="17"/>
          <w:szCs w:val="17"/>
          <w:color w:val="auto"/>
        </w:rPr>
      </w:pPr>
      <w:r>
        <w:rPr>
          <w:rFonts w:ascii="Arial" w:cs="Arial" w:eastAsia="Arial" w:hAnsi="Arial"/>
          <w:sz w:val="17"/>
          <w:szCs w:val="17"/>
          <w:i w:val="1"/>
          <w:iCs w:val="1"/>
          <w:color w:val="auto"/>
        </w:rPr>
        <w:t>No Reason Required</w:t>
      </w:r>
      <w:r>
        <w:rPr>
          <w:rFonts w:ascii="Arial" w:cs="Arial" w:eastAsia="Arial" w:hAnsi="Arial"/>
          <w:sz w:val="17"/>
          <w:szCs w:val="17"/>
          <w:color w:val="auto"/>
        </w:rPr>
        <w:t>. Neither you nor the Company is under any obligation to continue your employment.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you or the Company may terminate your employment at any time for any reason, or for no reason, subject to compliance with Section 5(c).</w:t>
      </w:r>
    </w:p>
    <w:p>
      <w:pPr>
        <w:spacing w:after="0" w:line="128" w:lineRule="exact"/>
        <w:rPr>
          <w:rFonts w:ascii="Arial" w:cs="Arial" w:eastAsia="Arial" w:hAnsi="Arial"/>
          <w:sz w:val="17"/>
          <w:szCs w:val="17"/>
          <w:color w:val="auto"/>
        </w:rPr>
      </w:pPr>
    </w:p>
    <w:p>
      <w:pPr>
        <w:ind w:left="2580" w:hanging="1397"/>
        <w:spacing w:after="0"/>
        <w:tabs>
          <w:tab w:leader="none" w:pos="2580" w:val="left"/>
        </w:tabs>
        <w:numPr>
          <w:ilvl w:val="1"/>
          <w:numId w:val="240"/>
        </w:numPr>
        <w:rPr>
          <w:rFonts w:ascii="Arial" w:cs="Arial" w:eastAsia="Arial" w:hAnsi="Arial"/>
          <w:sz w:val="19"/>
          <w:szCs w:val="19"/>
          <w:color w:val="auto"/>
        </w:rPr>
      </w:pPr>
      <w:r>
        <w:rPr>
          <w:rFonts w:ascii="Arial" w:cs="Arial" w:eastAsia="Arial" w:hAnsi="Arial"/>
          <w:sz w:val="19"/>
          <w:szCs w:val="19"/>
          <w:i w:val="1"/>
          <w:iCs w:val="1"/>
          <w:color w:val="auto"/>
        </w:rPr>
        <w:t>Related Definitions.</w:t>
      </w:r>
    </w:p>
    <w:p>
      <w:pPr>
        <w:spacing w:after="0" w:line="208" w:lineRule="exact"/>
        <w:rPr>
          <w:rFonts w:ascii="Arial" w:cs="Arial" w:eastAsia="Arial" w:hAnsi="Arial"/>
          <w:sz w:val="19"/>
          <w:szCs w:val="19"/>
          <w:color w:val="auto"/>
        </w:rPr>
      </w:pPr>
    </w:p>
    <w:p>
      <w:pPr>
        <w:jc w:val="both"/>
        <w:ind w:left="1180" w:right="60" w:firstLine="522"/>
        <w:spacing w:after="0" w:line="271" w:lineRule="auto"/>
        <w:tabs>
          <w:tab w:leader="none" w:pos="2557" w:val="left"/>
        </w:tabs>
        <w:numPr>
          <w:ilvl w:val="2"/>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means any of the following: (A) your continued failure, for a period of at least 30 calendar days following a written warning, to perform your duties in a manner deemed satisfactory by your supervisor, in the exercise of his or her sole discretion;</w:t>
      </w:r>
    </w:p>
    <w:p>
      <w:pPr>
        <w:spacing w:after="0" w:line="1" w:lineRule="exact"/>
        <w:rPr>
          <w:rFonts w:ascii="Arial" w:cs="Arial" w:eastAsia="Arial" w:hAnsi="Arial"/>
          <w:sz w:val="17"/>
          <w:szCs w:val="17"/>
          <w:color w:val="auto"/>
        </w:rPr>
      </w:pPr>
    </w:p>
    <w:p>
      <w:pPr>
        <w:ind w:left="1180"/>
        <w:spacing w:after="0" w:line="261" w:lineRule="auto"/>
        <w:rPr>
          <w:rFonts w:ascii="Arial" w:cs="Arial" w:eastAsia="Arial" w:hAnsi="Arial"/>
          <w:sz w:val="17"/>
          <w:szCs w:val="17"/>
          <w:color w:val="auto"/>
        </w:rPr>
      </w:pPr>
      <w:r>
        <w:rPr>
          <w:rFonts w:ascii="Arial" w:cs="Arial" w:eastAsia="Arial" w:hAnsi="Arial"/>
          <w:sz w:val="17"/>
          <w:szCs w:val="17"/>
          <w:color w:val="auto"/>
        </w:rPr>
        <w:t>(B) your failure to follow a lawful written directive of the Chief Executive Officer, your supervisor or the Board; (C) your willful violation of any material rule, regulation, or policy that may be established from time to time for the conduct of the Company’s business;</w:t>
      </w:r>
    </w:p>
    <w:p>
      <w:pPr>
        <w:spacing w:after="0" w:line="1" w:lineRule="exact"/>
        <w:rPr>
          <w:rFonts w:ascii="Arial" w:cs="Arial" w:eastAsia="Arial" w:hAnsi="Arial"/>
          <w:sz w:val="17"/>
          <w:szCs w:val="17"/>
          <w:color w:val="auto"/>
        </w:rPr>
      </w:pPr>
    </w:p>
    <w:p>
      <w:pPr>
        <w:ind w:left="1180" w:right="500"/>
        <w:spacing w:after="0" w:line="239" w:lineRule="auto"/>
        <w:rPr>
          <w:rFonts w:ascii="Arial" w:cs="Arial" w:eastAsia="Arial" w:hAnsi="Arial"/>
          <w:sz w:val="17"/>
          <w:szCs w:val="17"/>
          <w:color w:val="auto"/>
        </w:rPr>
      </w:pPr>
      <w:r>
        <w:rPr>
          <w:rFonts w:ascii="Arial" w:cs="Arial" w:eastAsia="Arial" w:hAnsi="Arial"/>
          <w:sz w:val="19"/>
          <w:szCs w:val="19"/>
          <w:color w:val="auto"/>
        </w:rPr>
        <w:t>(D) your unlawful possession, use or sale of narcotics or other controlled substances, or performing job duties while illegally used controlled substances are present in your system; (E) any act or omission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333375</wp:posOffset>
            </wp:positionV>
            <wp:extent cx="729043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6" w:name="page287"/>
    <w:bookmarkEnd w:id="286"/>
    <w:p>
      <w:pPr>
        <w:ind w:left="7200"/>
        <w:spacing w:after="0"/>
        <w:rPr>
          <w:sz w:val="20"/>
          <w:szCs w:val="20"/>
          <w:color w:val="auto"/>
        </w:rPr>
      </w:pPr>
      <w:r>
        <w:rPr>
          <w:rFonts w:ascii="Arial" w:cs="Arial" w:eastAsia="Arial" w:hAnsi="Arial"/>
          <w:sz w:val="19"/>
          <w:szCs w:val="19"/>
          <w:color w:val="auto"/>
        </w:rPr>
        <w:t>-3-</w:t>
      </w:r>
    </w:p>
    <w:p>
      <w:pPr>
        <w:spacing w:after="0" w:line="2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commission by you in the scope of your employment (a) which results in the assessment of a civil or criminal penalty against you or the Company, or (b) which in the reasonable judgment of your supervisor could result in a material violation of any foreign or U.S. federal, state or local law or regulation having the force of law; (F) your conviction of or plea of guilty or no contest to any crime involving moral turpitude; (G) any misrepresentation of a material fact to, or concealment of a material fact from, your supervisor or any other person in the Company to whom you have a reporting relationship in any capacity; or (H) your breach of the Company’s Business Conduct Guide or the Eastman Kodak Company Employee’s Agreement.</w:t>
      </w:r>
    </w:p>
    <w:p>
      <w:pPr>
        <w:spacing w:after="0" w:line="179" w:lineRule="exact"/>
        <w:rPr>
          <w:sz w:val="20"/>
          <w:szCs w:val="20"/>
          <w:color w:val="auto"/>
        </w:rPr>
      </w:pPr>
    </w:p>
    <w:p>
      <w:pPr>
        <w:ind w:left="1420" w:hanging="898"/>
        <w:spacing w:after="0"/>
        <w:tabs>
          <w:tab w:leader="none" w:pos="142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Disability</w:t>
      </w:r>
      <w:r>
        <w:rPr>
          <w:rFonts w:ascii="Arial" w:cs="Arial" w:eastAsia="Arial" w:hAnsi="Arial"/>
          <w:sz w:val="19"/>
          <w:szCs w:val="19"/>
          <w:color w:val="auto"/>
        </w:rPr>
        <w:t>” means disability under the terms of the Company’s Long-Term Disability Plan.</w:t>
      </w:r>
    </w:p>
    <w:p>
      <w:pPr>
        <w:spacing w:after="0" w:line="208" w:lineRule="exact"/>
        <w:rPr>
          <w:rFonts w:ascii="Arial" w:cs="Arial" w:eastAsia="Arial" w:hAnsi="Arial"/>
          <w:sz w:val="19"/>
          <w:szCs w:val="19"/>
          <w:color w:val="auto"/>
        </w:rPr>
      </w:pPr>
    </w:p>
    <w:p>
      <w:pPr>
        <w:ind w:left="40" w:firstLine="485"/>
        <w:spacing w:after="0" w:line="238" w:lineRule="auto"/>
        <w:tabs>
          <w:tab w:leader="none" w:pos="138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means any of the following: (A) a material diminution in your total target cash compensation, comprised of your Salary and target Annual Incentive; (B) a material diminution in your authority or responsibilities as provided in Section 2(b); (C) the transfer of your primary work site to a new primary work site that increases your one-way commute to work by more than 35 miles; (D) any material breach of this Agreement by the Company; (E) any purported termination by the Company of your employment other than as expressly permitted by this Agreement; or (F) a Change of Control (as defined below) event followed by your involuntary termination (as determined by the Board or the appropriate committee of the Board) within two years of the Change of Control event.</w:t>
      </w:r>
    </w:p>
    <w:p>
      <w:pPr>
        <w:spacing w:after="0" w:line="190" w:lineRule="exact"/>
        <w:rPr>
          <w:rFonts w:ascii="Arial" w:cs="Arial" w:eastAsia="Arial" w:hAnsi="Arial"/>
          <w:sz w:val="19"/>
          <w:szCs w:val="19"/>
          <w:color w:val="auto"/>
        </w:rPr>
      </w:pPr>
    </w:p>
    <w:p>
      <w:pPr>
        <w:ind w:left="1420" w:hanging="895"/>
        <w:spacing w:after="0"/>
        <w:tabs>
          <w:tab w:leader="none" w:pos="142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Change of Control</w:t>
      </w:r>
      <w:r>
        <w:rPr>
          <w:rFonts w:ascii="Arial" w:cs="Arial" w:eastAsia="Arial" w:hAnsi="Arial"/>
          <w:sz w:val="19"/>
          <w:szCs w:val="19"/>
          <w:color w:val="auto"/>
        </w:rPr>
        <w:t>” means the occurrence of any of the following events:</w:t>
      </w:r>
    </w:p>
    <w:p>
      <w:pPr>
        <w:spacing w:after="0" w:line="208" w:lineRule="exact"/>
        <w:rPr>
          <w:sz w:val="20"/>
          <w:szCs w:val="20"/>
          <w:color w:val="auto"/>
        </w:rPr>
      </w:pPr>
    </w:p>
    <w:p>
      <w:pPr>
        <w:ind w:left="2200" w:hanging="890"/>
        <w:spacing w:after="0"/>
        <w:tabs>
          <w:tab w:leader="none" w:pos="220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any “person” (as such term is defined in Section 3(a)(9) of the Securities Exchange Act of 1934</w:t>
      </w:r>
    </w:p>
    <w:p>
      <w:pPr>
        <w:spacing w:after="0" w:line="11" w:lineRule="exact"/>
        <w:rPr>
          <w:sz w:val="20"/>
          <w:szCs w:val="20"/>
          <w:color w:val="auto"/>
        </w:rPr>
      </w:pPr>
    </w:p>
    <w:p>
      <w:pPr>
        <w:ind w:left="40" w:right="20"/>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and as used in Sections 13(d)(3) and 14(d)(2) of the Exchange Act), is or becomes a “beneficial owner” (as defined in Rule 13d-3 under the Exchange Act), directly or indirectly, of the Company’s securities representing 50% or more of the combined voting power of the Company’s then outstanding securities eligible to vote for the election of the Board (“</w:t>
      </w:r>
      <w:r>
        <w:rPr>
          <w:rFonts w:ascii="Arial" w:cs="Arial" w:eastAsia="Arial" w:hAnsi="Arial"/>
          <w:sz w:val="18"/>
          <w:szCs w:val="18"/>
          <w:i w:val="1"/>
          <w:iCs w:val="1"/>
          <w:color w:val="auto"/>
        </w:rPr>
        <w:t>Company Voting Securities</w:t>
      </w:r>
      <w:r>
        <w:rPr>
          <w:rFonts w:ascii="Arial" w:cs="Arial" w:eastAsia="Arial" w:hAnsi="Arial"/>
          <w:sz w:val="18"/>
          <w:szCs w:val="18"/>
          <w:color w:val="auto"/>
        </w:rPr>
        <w:t>”); provided, however, that the event described in this paragraph (A) shall not be deemed to be a Change of Control by virtue of an acquisition of Company Voting Securities: (a) by the Company or any Subsidiary, (b) by any beneficial owner of the Company’s securities as of the Effective Date, (c) by any employee benefit plan (or related trust) sponsored or maintained by the Company or any Subsidiary, (d) by any underwriter temporarily holding securities pursuant to an offering of such securities or (e) pursuant to a Non-Qualifying Transaction (as defined in paragraph (B) of this definition);</w:t>
      </w:r>
    </w:p>
    <w:p>
      <w:pPr>
        <w:spacing w:after="0" w:line="186" w:lineRule="exact"/>
        <w:rPr>
          <w:sz w:val="20"/>
          <w:szCs w:val="20"/>
          <w:color w:val="auto"/>
        </w:rPr>
      </w:pPr>
    </w:p>
    <w:p>
      <w:pPr>
        <w:ind w:left="40" w:right="140" w:firstLine="1270"/>
        <w:spacing w:after="0" w:line="270" w:lineRule="auto"/>
        <w:tabs>
          <w:tab w:leader="none" w:pos="220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consummation of a merger, consolidation, statutory share exchange or similar form of corporate transaction involving the Company that requires the approval of the Company’s shareholders, whether for such transaction or the issuance of securities in the transaction (a “</w:t>
      </w:r>
      <w:r>
        <w:rPr>
          <w:rFonts w:ascii="Arial" w:cs="Arial" w:eastAsia="Arial" w:hAnsi="Arial"/>
          <w:sz w:val="17"/>
          <w:szCs w:val="17"/>
          <w:i w:val="1"/>
          <w:iCs w:val="1"/>
          <w:color w:val="auto"/>
        </w:rPr>
        <w:t>Business Combination</w:t>
      </w:r>
      <w:r>
        <w:rPr>
          <w:rFonts w:ascii="Arial" w:cs="Arial" w:eastAsia="Arial" w:hAnsi="Arial"/>
          <w:sz w:val="17"/>
          <w:szCs w:val="17"/>
          <w:color w:val="auto"/>
        </w:rPr>
        <w:t>”), unless immediately following such Business Combination: (a) more than 50% of the total voting power of (x) the entity resulting from such Business Combination (the “</w:t>
      </w:r>
      <w:r>
        <w:rPr>
          <w:rFonts w:ascii="Arial" w:cs="Arial" w:eastAsia="Arial" w:hAnsi="Arial"/>
          <w:sz w:val="17"/>
          <w:szCs w:val="17"/>
          <w:i w:val="1"/>
          <w:iCs w:val="1"/>
          <w:color w:val="auto"/>
        </w:rPr>
        <w:t>Surviving Entity</w:t>
      </w:r>
      <w:r>
        <w:rPr>
          <w:rFonts w:ascii="Arial" w:cs="Arial" w:eastAsia="Arial" w:hAnsi="Arial"/>
          <w:sz w:val="17"/>
          <w:szCs w:val="17"/>
          <w:color w:val="auto"/>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319405</wp:posOffset>
            </wp:positionV>
            <wp:extent cx="729043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20" w:top="118" w:right="259" w:bottom="1440" w:gutter="0" w:footer="0" w:header="0"/>
        </w:sectPr>
      </w:pPr>
    </w:p>
    <w:bookmarkStart w:id="287" w:name="page288"/>
    <w:bookmarkEnd w:id="287"/>
    <w:p>
      <w:pPr>
        <w:ind w:left="7200"/>
        <w:spacing w:after="0"/>
        <w:rPr>
          <w:sz w:val="20"/>
          <w:szCs w:val="20"/>
          <w:color w:val="auto"/>
        </w:rPr>
      </w:pPr>
      <w:r>
        <w:rPr>
          <w:rFonts w:ascii="Arial" w:cs="Arial" w:eastAsia="Arial" w:hAnsi="Arial"/>
          <w:sz w:val="19"/>
          <w:szCs w:val="19"/>
          <w:color w:val="auto"/>
        </w:rPr>
        <w:t>-4-</w:t>
      </w:r>
    </w:p>
    <w:p>
      <w:pPr>
        <w:spacing w:after="0" w:line="221" w:lineRule="exact"/>
        <w:rPr>
          <w:sz w:val="20"/>
          <w:szCs w:val="20"/>
          <w:color w:val="auto"/>
        </w:rPr>
      </w:pPr>
    </w:p>
    <w:p>
      <w:pPr>
        <w:ind w:left="40"/>
        <w:spacing w:after="0" w:line="268" w:lineRule="auto"/>
        <w:rPr>
          <w:sz w:val="20"/>
          <w:szCs w:val="20"/>
          <w:color w:val="auto"/>
        </w:rPr>
      </w:pPr>
      <w:r>
        <w:rPr>
          <w:rFonts w:ascii="Arial" w:cs="Arial" w:eastAsia="Arial" w:hAnsi="Arial"/>
          <w:sz w:val="17"/>
          <w:szCs w:val="17"/>
          <w:color w:val="auto"/>
        </w:rPr>
        <w:t>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(as defined in the Omnibus Plan) at the time of the Board’s approval of the execution of the initial agreement providing for such Business Combination (any Business Combination which satisfies all of the criteria specified in (a), (b) and (c) of this paragraph (B) shall be deemed to be a “</w:t>
      </w:r>
      <w:r>
        <w:rPr>
          <w:rFonts w:ascii="Arial" w:cs="Arial" w:eastAsia="Arial" w:hAnsi="Arial"/>
          <w:sz w:val="17"/>
          <w:szCs w:val="17"/>
          <w:i w:val="1"/>
          <w:iCs w:val="1"/>
          <w:color w:val="auto"/>
        </w:rPr>
        <w:t>Non-Qualifying Transaction</w:t>
      </w:r>
      <w:r>
        <w:rPr>
          <w:rFonts w:ascii="Arial" w:cs="Arial" w:eastAsia="Arial" w:hAnsi="Arial"/>
          <w:sz w:val="17"/>
          <w:szCs w:val="17"/>
          <w:color w:val="auto"/>
        </w:rPr>
        <w:t>”);</w:t>
      </w:r>
    </w:p>
    <w:p>
      <w:pPr>
        <w:spacing w:after="0" w:line="169" w:lineRule="exact"/>
        <w:rPr>
          <w:sz w:val="20"/>
          <w:szCs w:val="20"/>
          <w:color w:val="auto"/>
        </w:rPr>
      </w:pPr>
    </w:p>
    <w:p>
      <w:pPr>
        <w:ind w:left="2200" w:hanging="890"/>
        <w:spacing w:after="0"/>
        <w:tabs>
          <w:tab w:leader="none" w:pos="22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consummation of a sale of all or substantially all of the Company’s assets (other than to an Affiliate); or</w:t>
      </w:r>
    </w:p>
    <w:p>
      <w:pPr>
        <w:spacing w:after="0" w:line="231" w:lineRule="exact"/>
        <w:rPr>
          <w:rFonts w:ascii="Arial" w:cs="Arial" w:eastAsia="Arial" w:hAnsi="Arial"/>
          <w:sz w:val="17"/>
          <w:szCs w:val="17"/>
          <w:color w:val="auto"/>
        </w:rPr>
      </w:pPr>
    </w:p>
    <w:p>
      <w:pPr>
        <w:ind w:left="2200" w:hanging="890"/>
        <w:spacing w:after="0"/>
        <w:tabs>
          <w:tab w:leader="none" w:pos="22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1" w:lineRule="exact"/>
        <w:rPr>
          <w:sz w:val="20"/>
          <w:szCs w:val="20"/>
          <w:color w:val="auto"/>
        </w:rPr>
      </w:pPr>
    </w:p>
    <w:p>
      <w:pPr>
        <w:ind w:left="40" w:right="60"/>
        <w:spacing w:after="0" w:line="254" w:lineRule="auto"/>
        <w:rPr>
          <w:sz w:val="20"/>
          <w:szCs w:val="20"/>
          <w:color w:val="auto"/>
        </w:rPr>
      </w:pPr>
      <w:r>
        <w:rPr>
          <w:rFonts w:ascii="Arial" w:cs="Arial" w:eastAsia="Arial" w:hAnsi="Arial"/>
          <w:sz w:val="18"/>
          <w:szCs w:val="18"/>
          <w:color w:val="auto"/>
        </w:rPr>
        <w:t>Notwithstanding the foregoing, a Change of Control shall not be deemed to occur solely because any person acquires beneficial ownership of more than 50%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(and in all cases results in beneficial ownership of more than 50% of the Company Voting Securities), a Change of Control shall then occur.</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Advance Notice Generally Required.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80" w:hanging="855"/>
        <w:spacing w:after="0"/>
        <w:tabs>
          <w:tab w:leader="none" w:pos="13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terminate your employment, either you or the Company must provide a Termination Notice to the other. A</w:t>
      </w:r>
    </w:p>
    <w:p>
      <w:pPr>
        <w:spacing w:after="0" w:line="22" w:lineRule="exact"/>
        <w:rPr>
          <w:sz w:val="20"/>
          <w:szCs w:val="20"/>
          <w:color w:val="auto"/>
        </w:rPr>
      </w:pPr>
    </w:p>
    <w:p>
      <w:pPr>
        <w:ind w:left="40" w:right="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Termination Notice</w:t>
      </w:r>
      <w:r>
        <w:rPr>
          <w:rFonts w:ascii="Arial" w:cs="Arial" w:eastAsia="Arial" w:hAnsi="Arial"/>
          <w:sz w:val="17"/>
          <w:szCs w:val="17"/>
          <w:color w:val="auto"/>
        </w:rPr>
        <w:t>” is a written notice that states the specific provision of this Agreement on which termination is based, including, if applicable, the specific clause of the definition of Cause or Good Reason and a reasonably detailed description of the facts that permit termination under that clause; provided, that the failure to include any fact in a Termination Notice that contributes to a showing of Cause or Good Reason does not preclude either party from asserting that fact in enforcing its rights under this Agreement.</w:t>
      </w:r>
    </w:p>
    <w:p>
      <w:pPr>
        <w:spacing w:after="0" w:line="165" w:lineRule="exact"/>
        <w:rPr>
          <w:sz w:val="20"/>
          <w:szCs w:val="20"/>
          <w:color w:val="auto"/>
        </w:rPr>
      </w:pPr>
    </w:p>
    <w:p>
      <w:pPr>
        <w:ind w:left="40" w:right="20" w:firstLine="785"/>
        <w:spacing w:after="0" w:line="245" w:lineRule="auto"/>
        <w:rPr>
          <w:sz w:val="20"/>
          <w:szCs w:val="20"/>
          <w:color w:val="auto"/>
        </w:rPr>
      </w:pPr>
      <w:r>
        <w:rPr>
          <w:rFonts w:ascii="Arial" w:cs="Arial" w:eastAsia="Arial" w:hAnsi="Arial"/>
          <w:sz w:val="19"/>
          <w:szCs w:val="19"/>
          <w:color w:val="auto"/>
        </w:rPr>
        <w:t>If you do not give a Termination Notice within 90 days after you have knowledge that an event constituting Good Reason has occurred, the event will no longer constitute Good Reason. In addition, you must give the Company 30 days to cure the first event constituting Good Reason.</w:t>
      </w:r>
    </w:p>
    <w:p>
      <w:pPr>
        <w:spacing w:after="0" w:line="184" w:lineRule="exact"/>
        <w:rPr>
          <w:sz w:val="20"/>
          <w:szCs w:val="20"/>
          <w:color w:val="auto"/>
        </w:rPr>
      </w:pPr>
    </w:p>
    <w:p>
      <w:pPr>
        <w:ind w:left="40" w:right="120" w:firstLine="485"/>
        <w:spacing w:after="0" w:line="241" w:lineRule="auto"/>
        <w:tabs>
          <w:tab w:leader="none" w:pos="1388" w:val="left"/>
        </w:tabs>
        <w:numPr>
          <w:ilvl w:val="0"/>
          <w:numId w:val="246"/>
        </w:numPr>
        <w:rPr>
          <w:rFonts w:ascii="Arial" w:cs="Arial" w:eastAsia="Arial" w:hAnsi="Arial"/>
          <w:sz w:val="19"/>
          <w:szCs w:val="19"/>
          <w:color w:val="auto"/>
        </w:rPr>
      </w:pPr>
      <w:r>
        <w:rPr>
          <w:rFonts w:ascii="Arial" w:cs="Arial" w:eastAsia="Arial" w:hAnsi="Arial"/>
          <w:sz w:val="19"/>
          <w:szCs w:val="19"/>
          <w:color w:val="auto"/>
        </w:rPr>
        <w:t>You and the Company agree to provide at least 30 days’ advance Termination Notice of any termination, unless your employment is terminated by the Company for Cause or because of your Disability or death. If you die or become Disabled after you provide a valid Termination Notice with Good Reason or the Company provides Termination Notice without Cause, your termination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333375</wp:posOffset>
            </wp:positionV>
            <wp:extent cx="729043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20" w:top="118" w:right="259" w:bottom="1440" w:gutter="0" w:footer="0" w:header="0"/>
        </w:sectPr>
      </w:pPr>
    </w:p>
    <w:bookmarkStart w:id="288" w:name="page289"/>
    <w:bookmarkEnd w:id="288"/>
    <w:p>
      <w:pPr>
        <w:ind w:left="8380"/>
        <w:spacing w:after="0"/>
        <w:rPr>
          <w:sz w:val="20"/>
          <w:szCs w:val="20"/>
          <w:color w:val="auto"/>
        </w:rPr>
      </w:pPr>
      <w:r>
        <w:rPr>
          <w:rFonts w:ascii="Arial" w:cs="Arial" w:eastAsia="Arial" w:hAnsi="Arial"/>
          <w:sz w:val="19"/>
          <w:szCs w:val="19"/>
          <w:color w:val="auto"/>
        </w:rPr>
        <w:t>-5-</w:t>
      </w:r>
    </w:p>
    <w:p>
      <w:pPr>
        <w:spacing w:after="0" w:line="221"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treated as a termination with Good Reason or without Cause, effective as of the date of your Disability or death.</w:t>
      </w:r>
    </w:p>
    <w:p>
      <w:pPr>
        <w:spacing w:after="0" w:line="208" w:lineRule="exact"/>
        <w:rPr>
          <w:sz w:val="20"/>
          <w:szCs w:val="20"/>
          <w:color w:val="auto"/>
        </w:rPr>
      </w:pPr>
    </w:p>
    <w:p>
      <w:pPr>
        <w:ind w:left="1220" w:right="400" w:firstLine="785"/>
        <w:spacing w:after="0" w:line="245" w:lineRule="auto"/>
        <w:rPr>
          <w:sz w:val="20"/>
          <w:szCs w:val="20"/>
          <w:color w:val="auto"/>
        </w:rPr>
      </w:pPr>
      <w:r>
        <w:rPr>
          <w:rFonts w:ascii="Arial" w:cs="Arial" w:eastAsia="Arial" w:hAnsi="Arial"/>
          <w:sz w:val="19"/>
          <w:szCs w:val="19"/>
          <w:color w:val="auto"/>
        </w:rPr>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184" w:lineRule="exact"/>
        <w:rPr>
          <w:sz w:val="20"/>
          <w:szCs w:val="20"/>
          <w:color w:val="auto"/>
        </w:rPr>
      </w:pPr>
    </w:p>
    <w:p>
      <w:pPr>
        <w:ind w:right="160" w:firstLine="1183"/>
        <w:spacing w:after="0" w:line="256" w:lineRule="auto"/>
        <w:tabs>
          <w:tab w:leader="none" w:pos="2568" w:val="left"/>
        </w:tabs>
        <w:numPr>
          <w:ilvl w:val="0"/>
          <w:numId w:val="247"/>
        </w:numPr>
        <w:rPr>
          <w:rFonts w:ascii="Arial" w:cs="Arial" w:eastAsia="Arial" w:hAnsi="Arial"/>
          <w:sz w:val="19"/>
          <w:szCs w:val="19"/>
          <w:color w:val="auto"/>
        </w:rPr>
      </w:pPr>
      <w:r>
        <w:rPr>
          <w:rFonts w:ascii="Arial" w:cs="Arial" w:eastAsia="Arial" w:hAnsi="Arial"/>
          <w:sz w:val="19"/>
          <w:szCs w:val="19"/>
          <w:i w:val="1"/>
          <w:iCs w:val="1"/>
          <w:color w:val="auto"/>
        </w:rPr>
        <w:t xml:space="preserve">With Good Reason or Without Cause. </w:t>
      </w:r>
      <w:r>
        <w:rPr>
          <w:rFonts w:ascii="Arial" w:cs="Arial" w:eastAsia="Arial" w:hAnsi="Arial"/>
          <w:sz w:val="19"/>
          <w:szCs w:val="19"/>
          <w:color w:val="auto"/>
        </w:rPr>
        <w:t>If the Company terminates your employment without Cause or you terminate</w:t>
      </w:r>
      <w:r>
        <w:rPr>
          <w:rFonts w:ascii="Arial" w:cs="Arial" w:eastAsia="Arial" w:hAnsi="Arial"/>
          <w:sz w:val="19"/>
          <w:szCs w:val="19"/>
          <w:i w:val="1"/>
          <w:iCs w:val="1"/>
          <w:color w:val="auto"/>
        </w:rPr>
        <w:t xml:space="preserve"> </w:t>
      </w:r>
      <w:r>
        <w:rPr>
          <w:rFonts w:ascii="Arial" w:cs="Arial" w:eastAsia="Arial" w:hAnsi="Arial"/>
          <w:sz w:val="19"/>
          <w:szCs w:val="19"/>
          <w:color w:val="auto"/>
        </w:rPr>
        <w:t>your employment with Good Reason:</w:t>
      </w:r>
    </w:p>
    <w:p>
      <w:pPr>
        <w:spacing w:after="0" w:line="173" w:lineRule="exact"/>
        <w:rPr>
          <w:rFonts w:ascii="Arial" w:cs="Arial" w:eastAsia="Arial" w:hAnsi="Arial"/>
          <w:sz w:val="19"/>
          <w:szCs w:val="19"/>
          <w:color w:val="auto"/>
        </w:rPr>
      </w:pPr>
    </w:p>
    <w:p>
      <w:pPr>
        <w:ind w:left="1220" w:right="80" w:firstLine="485"/>
        <w:spacing w:after="0" w:line="238" w:lineRule="auto"/>
        <w:tabs>
          <w:tab w:leader="none" w:pos="2568" w:val="left"/>
        </w:tabs>
        <w:numPr>
          <w:ilvl w:val="1"/>
          <w:numId w:val="247"/>
        </w:numPr>
        <w:rPr>
          <w:rFonts w:ascii="Arial" w:cs="Arial" w:eastAsia="Arial" w:hAnsi="Arial"/>
          <w:sz w:val="19"/>
          <w:szCs w:val="19"/>
          <w:color w:val="auto"/>
        </w:rPr>
      </w:pPr>
      <w:r>
        <w:rPr>
          <w:rFonts w:ascii="Arial" w:cs="Arial" w:eastAsia="Arial" w:hAnsi="Arial"/>
          <w:sz w:val="19"/>
          <w:szCs w:val="19"/>
          <w:color w:val="auto"/>
        </w:rPr>
        <w:t>The Company will pay the following as of the end of your employment: (A) accrued but unpaid Salary up to the last day of your employment, and (B) any accrued expense reimbursements and other cash entitlements (including for accrued expense reimbursement for which supporting documentation is submitted within 30 days after termination of your employment) (together, your “</w:t>
      </w:r>
      <w:r>
        <w:rPr>
          <w:rFonts w:ascii="Arial" w:cs="Arial" w:eastAsia="Arial" w:hAnsi="Arial"/>
          <w:sz w:val="19"/>
          <w:szCs w:val="19"/>
          <w:i w:val="1"/>
          <w:iCs w:val="1"/>
          <w:color w:val="auto"/>
        </w:rPr>
        <w:t>Accrued Compensation</w:t>
      </w:r>
      <w:r>
        <w:rPr>
          <w:rFonts w:ascii="Arial" w:cs="Arial" w:eastAsia="Arial" w:hAnsi="Arial"/>
          <w:sz w:val="19"/>
          <w:szCs w:val="19"/>
          <w:color w:val="auto"/>
        </w:rPr>
        <w:t>”). In addition, the Company will timely pay you any amounts and provide you any benefits that are required, or to which you are entitled, under any plan, contract or arrangement of the Company as of the end of your employment (together, your “</w:t>
      </w:r>
      <w:r>
        <w:rPr>
          <w:rFonts w:ascii="Arial" w:cs="Arial" w:eastAsia="Arial" w:hAnsi="Arial"/>
          <w:sz w:val="19"/>
          <w:szCs w:val="19"/>
          <w:i w:val="1"/>
          <w:iCs w:val="1"/>
          <w:color w:val="auto"/>
        </w:rPr>
        <w:t>Other Benefits</w:t>
      </w:r>
      <w:r>
        <w:rPr>
          <w:rFonts w:ascii="Arial" w:cs="Arial" w:eastAsia="Arial" w:hAnsi="Arial"/>
          <w:sz w:val="19"/>
          <w:szCs w:val="19"/>
          <w:color w:val="auto"/>
        </w:rPr>
        <w:t>”).</w:t>
      </w:r>
    </w:p>
    <w:p>
      <w:pPr>
        <w:spacing w:after="0" w:line="193" w:lineRule="exact"/>
        <w:rPr>
          <w:rFonts w:ascii="Arial" w:cs="Arial" w:eastAsia="Arial" w:hAnsi="Arial"/>
          <w:sz w:val="19"/>
          <w:szCs w:val="19"/>
          <w:color w:val="auto"/>
        </w:rPr>
      </w:pPr>
    </w:p>
    <w:p>
      <w:pPr>
        <w:ind w:left="1220" w:firstLine="485"/>
        <w:spacing w:after="0" w:line="245" w:lineRule="auto"/>
        <w:tabs>
          <w:tab w:leader="none" w:pos="2568" w:val="left"/>
        </w:tabs>
        <w:numPr>
          <w:ilvl w:val="1"/>
          <w:numId w:val="247"/>
        </w:numPr>
        <w:rPr>
          <w:rFonts w:ascii="Arial" w:cs="Arial" w:eastAsia="Arial" w:hAnsi="Arial"/>
          <w:sz w:val="19"/>
          <w:szCs w:val="19"/>
          <w:color w:val="auto"/>
        </w:rPr>
      </w:pPr>
      <w:r>
        <w:rPr>
          <w:rFonts w:ascii="Arial" w:cs="Arial" w:eastAsia="Arial" w:hAnsi="Arial"/>
          <w:sz w:val="19"/>
          <w:szCs w:val="19"/>
          <w:color w:val="auto"/>
        </w:rPr>
        <w:t>The Company will pay you severance (“</w:t>
      </w:r>
      <w:r>
        <w:rPr>
          <w:rFonts w:ascii="Arial" w:cs="Arial" w:eastAsia="Arial" w:hAnsi="Arial"/>
          <w:sz w:val="19"/>
          <w:szCs w:val="19"/>
          <w:i w:val="1"/>
          <w:iCs w:val="1"/>
          <w:color w:val="auto"/>
        </w:rPr>
        <w:t>Severance Payments</w:t>
      </w:r>
      <w:r>
        <w:rPr>
          <w:rFonts w:ascii="Arial" w:cs="Arial" w:eastAsia="Arial" w:hAnsi="Arial"/>
          <w:sz w:val="19"/>
          <w:szCs w:val="19"/>
          <w:color w:val="auto"/>
        </w:rPr>
        <w:t>”) in an amount equal to (A) the sum of your Base Salary for the fiscal year in which the Termination Notice is given multiplied by (B) the severance multiplier provided on your Schedule (your “</w:t>
      </w:r>
      <w:r>
        <w:rPr>
          <w:rFonts w:ascii="Arial" w:cs="Arial" w:eastAsia="Arial" w:hAnsi="Arial"/>
          <w:sz w:val="19"/>
          <w:szCs w:val="19"/>
          <w:i w:val="1"/>
          <w:iCs w:val="1"/>
          <w:color w:val="auto"/>
        </w:rPr>
        <w:t>Severance Multiplier</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2560" w:hanging="855"/>
        <w:spacing w:after="0"/>
        <w:tabs>
          <w:tab w:leader="none" w:pos="256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Your Annual Incentive will be governed by the terms of the EXCEL plan and any applicable Administrative Guide or</w:t>
      </w:r>
    </w:p>
    <w:p>
      <w:pPr>
        <w:spacing w:after="0" w:line="33" w:lineRule="exact"/>
        <w:rPr>
          <w:rFonts w:ascii="Arial" w:cs="Arial" w:eastAsia="Arial" w:hAnsi="Arial"/>
          <w:sz w:val="17"/>
          <w:szCs w:val="17"/>
          <w:color w:val="auto"/>
        </w:rPr>
      </w:pPr>
    </w:p>
    <w:p>
      <w:pPr>
        <w:ind w:left="1220"/>
        <w:spacing w:after="0"/>
        <w:rPr>
          <w:rFonts w:ascii="Arial" w:cs="Arial" w:eastAsia="Arial" w:hAnsi="Arial"/>
          <w:sz w:val="17"/>
          <w:szCs w:val="17"/>
          <w:color w:val="auto"/>
        </w:rPr>
      </w:pPr>
      <w:r>
        <w:rPr>
          <w:rFonts w:ascii="Arial" w:cs="Arial" w:eastAsia="Arial" w:hAnsi="Arial"/>
          <w:sz w:val="19"/>
          <w:szCs w:val="19"/>
          <w:color w:val="auto"/>
        </w:rPr>
        <w:t>Award Notice.</w:t>
      </w:r>
    </w:p>
    <w:p>
      <w:pPr>
        <w:spacing w:after="0" w:line="192" w:lineRule="exact"/>
        <w:rPr>
          <w:rFonts w:ascii="Arial" w:cs="Arial" w:eastAsia="Arial" w:hAnsi="Arial"/>
          <w:sz w:val="17"/>
          <w:szCs w:val="17"/>
          <w:color w:val="auto"/>
        </w:rPr>
      </w:pPr>
    </w:p>
    <w:p>
      <w:pPr>
        <w:ind w:left="1220" w:firstLine="485"/>
        <w:spacing w:after="0" w:line="314" w:lineRule="auto"/>
        <w:tabs>
          <w:tab w:leader="none" w:pos="2568" w:val="left"/>
        </w:tabs>
        <w:numPr>
          <w:ilvl w:val="1"/>
          <w:numId w:val="247"/>
        </w:numPr>
        <w:rPr>
          <w:rFonts w:ascii="Arial" w:cs="Arial" w:eastAsia="Arial" w:hAnsi="Arial"/>
          <w:sz w:val="17"/>
          <w:szCs w:val="17"/>
          <w:color w:val="auto"/>
        </w:rPr>
      </w:pPr>
      <w:r>
        <w:rPr>
          <w:rFonts w:ascii="Arial" w:cs="Arial" w:eastAsia="Arial" w:hAnsi="Arial"/>
          <w:sz w:val="17"/>
          <w:szCs w:val="17"/>
          <w:color w:val="auto"/>
        </w:rPr>
        <w:t>Your Long-Term Equity Awards and Promotion Equity Awards will continue to vest and remain exercisable according to the terms of the applicable Award Agreement. The benefits in this Section 5(d)(4) are referred to as “</w:t>
      </w:r>
      <w:r>
        <w:rPr>
          <w:rFonts w:ascii="Arial" w:cs="Arial" w:eastAsia="Arial" w:hAnsi="Arial"/>
          <w:sz w:val="17"/>
          <w:szCs w:val="17"/>
          <w:i w:val="1"/>
          <w:iCs w:val="1"/>
          <w:color w:val="auto"/>
        </w:rPr>
        <w:t>Continued Vesting.</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20" w:firstLine="1183"/>
        <w:spacing w:after="0" w:line="245" w:lineRule="auto"/>
        <w:tabs>
          <w:tab w:leader="none" w:pos="2557" w:val="left"/>
        </w:tabs>
        <w:numPr>
          <w:ilvl w:val="0"/>
          <w:numId w:val="247"/>
        </w:numPr>
        <w:rPr>
          <w:rFonts w:ascii="Arial" w:cs="Arial" w:eastAsia="Arial" w:hAnsi="Arial"/>
          <w:sz w:val="19"/>
          <w:szCs w:val="19"/>
          <w:color w:val="auto"/>
        </w:rPr>
      </w:pPr>
      <w:r>
        <w:rPr>
          <w:rFonts w:ascii="Arial" w:cs="Arial" w:eastAsia="Arial" w:hAnsi="Arial"/>
          <w:sz w:val="19"/>
          <w:szCs w:val="19"/>
          <w:i w:val="1"/>
          <w:iCs w:val="1"/>
          <w:color w:val="auto"/>
        </w:rPr>
        <w:t xml:space="preserve">For Cause or without Good Reason. </w:t>
      </w:r>
      <w:r>
        <w:rPr>
          <w:rFonts w:ascii="Arial" w:cs="Arial" w:eastAsia="Arial" w:hAnsi="Arial"/>
          <w:sz w:val="19"/>
          <w:szCs w:val="19"/>
          <w:color w:val="auto"/>
        </w:rPr>
        <w:t>If the Company terminates your employment for Cause or you terminate your</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without Good Reason, the Company will pay your Accrued Compensation and your Other Benefits; however, you will forfeit any unvested equity.</w:t>
      </w:r>
    </w:p>
    <w:p>
      <w:pPr>
        <w:spacing w:after="0" w:line="184" w:lineRule="exact"/>
        <w:rPr>
          <w:rFonts w:ascii="Arial" w:cs="Arial" w:eastAsia="Arial" w:hAnsi="Arial"/>
          <w:sz w:val="19"/>
          <w:szCs w:val="19"/>
          <w:color w:val="auto"/>
        </w:rPr>
      </w:pPr>
    </w:p>
    <w:p>
      <w:pPr>
        <w:ind w:right="320" w:firstLine="1183"/>
        <w:spacing w:after="0" w:line="256" w:lineRule="auto"/>
        <w:tabs>
          <w:tab w:leader="none" w:pos="2537" w:val="left"/>
        </w:tabs>
        <w:numPr>
          <w:ilvl w:val="0"/>
          <w:numId w:val="247"/>
        </w:numPr>
        <w:rPr>
          <w:rFonts w:ascii="Arial" w:cs="Arial" w:eastAsia="Arial" w:hAnsi="Arial"/>
          <w:sz w:val="19"/>
          <w:szCs w:val="19"/>
          <w:color w:val="auto"/>
        </w:rPr>
      </w:pPr>
      <w:r>
        <w:rPr>
          <w:rFonts w:ascii="Arial" w:cs="Arial" w:eastAsia="Arial" w:hAnsi="Arial"/>
          <w:sz w:val="19"/>
          <w:szCs w:val="19"/>
          <w:i w:val="1"/>
          <w:iCs w:val="1"/>
          <w:color w:val="auto"/>
        </w:rPr>
        <w:t xml:space="preserve">For Your Disability or Death. </w:t>
      </w:r>
      <w:r>
        <w:rPr>
          <w:rFonts w:ascii="Arial" w:cs="Arial" w:eastAsia="Arial" w:hAnsi="Arial"/>
          <w:sz w:val="19"/>
          <w:szCs w:val="19"/>
          <w:color w:val="auto"/>
        </w:rPr>
        <w:t>If your employment terminates as a result of your Disability or death,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will pay your Accrued Compensation and will provide Continued Vesting and your Other Benefits.</w:t>
      </w:r>
    </w:p>
    <w:p>
      <w:pPr>
        <w:spacing w:after="0" w:line="173" w:lineRule="exact"/>
        <w:rPr>
          <w:rFonts w:ascii="Arial" w:cs="Arial" w:eastAsia="Arial" w:hAnsi="Arial"/>
          <w:sz w:val="19"/>
          <w:szCs w:val="19"/>
          <w:color w:val="auto"/>
        </w:rPr>
      </w:pPr>
    </w:p>
    <w:p>
      <w:pPr>
        <w:ind w:left="2580" w:hanging="1397"/>
        <w:spacing w:after="0"/>
        <w:tabs>
          <w:tab w:leader="none" w:pos="2580"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 xml:space="preserve">Benefits Bearing. </w:t>
      </w:r>
      <w:r>
        <w:rPr>
          <w:rFonts w:ascii="Arial" w:cs="Arial" w:eastAsia="Arial" w:hAnsi="Arial"/>
          <w:sz w:val="18"/>
          <w:szCs w:val="18"/>
          <w:color w:val="auto"/>
        </w:rPr>
        <w:t>In no event shall any of the severance payments or benefits provided under this Section 5 be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“benefits bearing.”</w:t>
      </w:r>
    </w:p>
    <w:p>
      <w:pPr>
        <w:spacing w:after="0" w:line="192" w:lineRule="exact"/>
        <w:rPr>
          <w:rFonts w:ascii="Arial" w:cs="Arial" w:eastAsia="Arial" w:hAnsi="Arial"/>
          <w:sz w:val="18"/>
          <w:szCs w:val="18"/>
          <w:color w:val="auto"/>
        </w:rPr>
      </w:pPr>
    </w:p>
    <w:p>
      <w:pPr>
        <w:ind w:right="40" w:firstLine="1183"/>
        <w:spacing w:after="0" w:line="241" w:lineRule="auto"/>
        <w:tabs>
          <w:tab w:leader="none" w:pos="2568" w:val="left"/>
        </w:tabs>
        <w:numPr>
          <w:ilvl w:val="0"/>
          <w:numId w:val="247"/>
        </w:numPr>
        <w:rPr>
          <w:rFonts w:ascii="Arial" w:cs="Arial" w:eastAsia="Arial" w:hAnsi="Arial"/>
          <w:sz w:val="19"/>
          <w:szCs w:val="19"/>
          <w:color w:val="auto"/>
        </w:rPr>
      </w:pPr>
      <w:r>
        <w:rPr>
          <w:rFonts w:ascii="Arial" w:cs="Arial" w:eastAsia="Arial" w:hAnsi="Arial"/>
          <w:sz w:val="19"/>
          <w:szCs w:val="19"/>
          <w:i w:val="1"/>
          <w:iCs w:val="1"/>
          <w:color w:val="auto"/>
        </w:rPr>
        <w:t>Clawback</w:t>
      </w:r>
      <w:r>
        <w:rPr>
          <w:rFonts w:ascii="Arial" w:cs="Arial" w:eastAsia="Arial" w:hAnsi="Arial"/>
          <w:sz w:val="19"/>
          <w:szCs w:val="19"/>
          <w:color w:val="auto"/>
        </w:rPr>
        <w:t>. In the event you breach any of the terms of the Eastman Kodak Company Employees’ Agreement,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or the release described in Section 5(i) below, in addition to and not in lieu of any other remedies that the Company may pursue against you, no further severance payments will be made to you pursuant to this Section 5 and you agree to immediately repay to the Company all moneys previously paid to you pursuant to this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333375</wp:posOffset>
            </wp:positionV>
            <wp:extent cx="729043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9" w:name="page290"/>
    <w:bookmarkEnd w:id="289"/>
    <w:p>
      <w:pPr>
        <w:ind w:left="8380"/>
        <w:spacing w:after="0"/>
        <w:rPr>
          <w:sz w:val="20"/>
          <w:szCs w:val="20"/>
          <w:color w:val="auto"/>
        </w:rPr>
      </w:pPr>
      <w:r>
        <w:rPr>
          <w:rFonts w:ascii="Arial" w:cs="Arial" w:eastAsia="Arial" w:hAnsi="Arial"/>
          <w:sz w:val="19"/>
          <w:szCs w:val="19"/>
          <w:color w:val="auto"/>
        </w:rPr>
        <w:t>-6-</w:t>
      </w:r>
    </w:p>
    <w:p>
      <w:pPr>
        <w:spacing w:after="0" w:line="221" w:lineRule="exact"/>
        <w:rPr>
          <w:sz w:val="20"/>
          <w:szCs w:val="20"/>
          <w:color w:val="auto"/>
        </w:rPr>
      </w:pPr>
    </w:p>
    <w:p>
      <w:pPr>
        <w:ind w:right="40" w:firstLine="1183"/>
        <w:spacing w:after="0" w:line="266" w:lineRule="auto"/>
        <w:tabs>
          <w:tab w:leader="none" w:pos="2526"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Timing. </w:t>
      </w:r>
      <w:r>
        <w:rPr>
          <w:rFonts w:ascii="Arial" w:cs="Arial" w:eastAsia="Arial" w:hAnsi="Arial"/>
          <w:sz w:val="17"/>
          <w:szCs w:val="17"/>
          <w:color w:val="auto"/>
        </w:rPr>
        <w:t>The benefits provided in this Section 5 will begin at the end of your employment, and any cash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owed to you under this Section 5 will be paid in one lump sum 65 days following your date of termination except for Severance Payments, which will be made consistently with the Company’s normal payroll cycles and begin as soon as administratively practicable after your separation from service subject to Section 5(j). Notwithstanding the foregoing, any Severance Payments and any Continued Vesting will only be provided if, at the time of your termination, you provide a release of any and all claims you may have with respect to the Company (other than the benefits provided in Section 4 and the other rights under this Agreement that continue following your employment) in a form provided by the Company such that you have taken all action necessary for such release to become effective and irrevocable no later than 65 days following your date of termination. The Termination Allowance Plan (“</w:t>
      </w:r>
      <w:r>
        <w:rPr>
          <w:rFonts w:ascii="Arial" w:cs="Arial" w:eastAsia="Arial" w:hAnsi="Arial"/>
          <w:sz w:val="17"/>
          <w:szCs w:val="17"/>
          <w:i w:val="1"/>
          <w:iCs w:val="1"/>
          <w:color w:val="auto"/>
        </w:rPr>
        <w:t>TAP</w:t>
      </w:r>
      <w:r>
        <w:rPr>
          <w:rFonts w:ascii="Arial" w:cs="Arial" w:eastAsia="Arial" w:hAnsi="Arial"/>
          <w:sz w:val="17"/>
          <w:szCs w:val="17"/>
          <w:color w:val="auto"/>
        </w:rPr>
        <w:t>”) provides broad-based severance benefits to eligible Company employees. In accordance with the terms of TAP, you acknowledge that the amount of TAP benefits for which you may become eligible is calculated by reducing the benefit determined under the TAP formula by the Severance Payments under this Agreement. Since the Severance Payments (a minimum of one year’s base salary) exceed the maximum benefit payable under TAP (six month’s base salary), you agree that if you become eligible for Severance Payments under this Agreement you will not be entitled to TAP benefits. Should a court nevertheless award you TAP benefits in such circumstances, you agree that the amount of Severance Payments will be reduced by such award and be immediately repaid to the Company.</w:t>
      </w:r>
    </w:p>
    <w:p>
      <w:pPr>
        <w:spacing w:after="0" w:line="170" w:lineRule="exact"/>
        <w:rPr>
          <w:rFonts w:ascii="Arial" w:cs="Arial" w:eastAsia="Arial" w:hAnsi="Arial"/>
          <w:sz w:val="17"/>
          <w:szCs w:val="17"/>
          <w:color w:val="auto"/>
        </w:rPr>
      </w:pPr>
    </w:p>
    <w:p>
      <w:pPr>
        <w:ind w:firstLine="1183"/>
        <w:spacing w:after="0" w:line="265" w:lineRule="auto"/>
        <w:tabs>
          <w:tab w:leader="none" w:pos="2526"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This Agreement is intended to comply with or be exempt from the requirements of Section 409A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w:t>
      </w:r>
      <w:r>
        <w:rPr>
          <w:rFonts w:ascii="Arial" w:cs="Arial" w:eastAsia="Arial" w:hAnsi="Arial"/>
          <w:sz w:val="17"/>
          <w:szCs w:val="17"/>
          <w:i w:val="1"/>
          <w:iCs w:val="1"/>
          <w:color w:val="auto"/>
        </w:rPr>
        <w:t>Section 409A</w:t>
      </w:r>
      <w:r>
        <w:rPr>
          <w:rFonts w:ascii="Arial" w:cs="Arial" w:eastAsia="Arial" w:hAnsi="Arial"/>
          <w:sz w:val="17"/>
          <w:szCs w:val="17"/>
          <w:color w:val="auto"/>
        </w:rPr>
        <w:t>”) with respect to amounts, if any, subject thereto and shall be interpreted, construed and performed consistent with such intent. To the extent you would otherwise be entitled to any payment that under this Agreement, or any plan or arrangement of the Company or its affiliates, constitutes “deferred compensation” subject to Section 409A, and that if paid during the six months beginning on the date of termination of your employment would be subject to the Section 409A additional tax because you are a “specified employee” (within the meaning of Section 409A and as determined by the Company), the payment, together with any earnings on it, will be paid to you on the earlier of the six-month anniversary of your date of termination or your death. Similarly, to the extent you would otherwise be entitled to any benefit (other than a payment) during the six months beginning on termination of your employment that would be subject to the Section 409A additional tax, the benefit will be delayed and will begin being provided (together, if applicable, with an adjustment to compensate you for the delay) on the earlier of the six-month anniversary of your date of termination or your death or change in control (within the meaning of Section 409A). In addition, any payment or benefit due upon a termination of your employment that represents “deferred compensation” subject to Section 409A shall be paid or provided to you only upon a “separation from service” as defined in Treas. Reg. § 1.409A-1(h). Each payment under this Agreement shall be deemed to be a separate payment for purposes of Section 409A, amounts payable under Sections 5(d)(1) and 5(d)(2) shall be deemed not to be “deferred compensation” subject to Section 409A to the extent provided in the exceptions in Treas. Reg. Sections 1.409A-1(b)(4) (“short-term deferrals”) and (b)(9) (“separation pay plans,” including the exception under subparagraph (iii)) and other applicable provisions of Treas. Reg. Section 1.409A-1 through A-6.</w:t>
      </w:r>
    </w:p>
    <w:p>
      <w:pPr>
        <w:spacing w:after="0" w:line="176" w:lineRule="exact"/>
        <w:rPr>
          <w:sz w:val="20"/>
          <w:szCs w:val="20"/>
          <w:color w:val="auto"/>
        </w:rPr>
      </w:pPr>
    </w:p>
    <w:p>
      <w:pPr>
        <w:ind w:right="20" w:firstLine="1518"/>
        <w:spacing w:after="0" w:line="259" w:lineRule="auto"/>
        <w:rPr>
          <w:sz w:val="20"/>
          <w:szCs w:val="20"/>
          <w:color w:val="auto"/>
        </w:rPr>
      </w:pPr>
      <w:r>
        <w:rPr>
          <w:rFonts w:ascii="Arial" w:cs="Arial" w:eastAsia="Arial" w:hAnsi="Arial"/>
          <w:sz w:val="18"/>
          <w:szCs w:val="18"/>
          <w:color w:val="auto"/>
        </w:rPr>
        <w:t xml:space="preserve">Notwithstanding anything to the contrary in this Agreement or elsewhere, any payment or benefit under this Agreement or otherwise that is exempt from Section 409A pursuant to Treas. Reg. Section 1.409A-1(b)(9)(v)(A) or (C) shall be paid or provided to you only to the extent that the expenses are not incurred, or the benefits are not provided, beyond the last day of your second taxable year following your taxable year in which the “separation from service” occurs;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expenses are reimbursed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323215</wp:posOffset>
            </wp:positionV>
            <wp:extent cx="729043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0" w:name="page291"/>
    <w:bookmarkEnd w:id="290"/>
    <w:p>
      <w:pPr>
        <w:ind w:left="8380"/>
        <w:spacing w:after="0"/>
        <w:rPr>
          <w:sz w:val="20"/>
          <w:szCs w:val="20"/>
          <w:color w:val="auto"/>
        </w:rPr>
      </w:pPr>
      <w:r>
        <w:rPr>
          <w:rFonts w:ascii="Arial" w:cs="Arial" w:eastAsia="Arial" w:hAnsi="Arial"/>
          <w:sz w:val="19"/>
          <w:szCs w:val="19"/>
          <w:color w:val="auto"/>
        </w:rPr>
        <w:t>-7-</w:t>
      </w:r>
    </w:p>
    <w:p>
      <w:pPr>
        <w:spacing w:after="0" w:line="221"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later than the last day of your third taxable year following the taxable year in which your “separation from service” occurs. Except as otherwise expressly provided herein,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200" w:lineRule="exact"/>
        <w:rPr>
          <w:sz w:val="20"/>
          <w:szCs w:val="20"/>
          <w:color w:val="auto"/>
        </w:rPr>
      </w:pPr>
    </w:p>
    <w:p>
      <w:pPr>
        <w:ind w:left="460" w:hanging="453"/>
        <w:spacing w:after="0"/>
        <w:tabs>
          <w:tab w:leader="none" w:pos="460" w:val="left"/>
        </w:tabs>
        <w:numPr>
          <w:ilvl w:val="0"/>
          <w:numId w:val="249"/>
        </w:numPr>
        <w:rPr>
          <w:rFonts w:ascii="Arial" w:cs="Arial" w:eastAsia="Arial" w:hAnsi="Arial"/>
          <w:sz w:val="19"/>
          <w:szCs w:val="19"/>
          <w:b w:val="1"/>
          <w:bCs w:val="1"/>
          <w:color w:val="auto"/>
        </w:rPr>
      </w:pPr>
      <w:r>
        <w:rPr>
          <w:rFonts w:ascii="Arial" w:cs="Arial" w:eastAsia="Arial" w:hAnsi="Arial"/>
          <w:sz w:val="19"/>
          <w:szCs w:val="19"/>
          <w:b w:val="1"/>
          <w:bCs w:val="1"/>
          <w:color w:val="auto"/>
        </w:rPr>
        <w:t>On-going Restrictions on Your Activities</w:t>
      </w:r>
    </w:p>
    <w:p>
      <w:pPr>
        <w:spacing w:after="0" w:line="212" w:lineRule="exact"/>
        <w:rPr>
          <w:rFonts w:ascii="Arial" w:cs="Arial" w:eastAsia="Arial" w:hAnsi="Arial"/>
          <w:sz w:val="19"/>
          <w:szCs w:val="19"/>
          <w:b w:val="1"/>
          <w:bCs w:val="1"/>
          <w:color w:val="auto"/>
        </w:rPr>
      </w:pPr>
    </w:p>
    <w:p>
      <w:pPr>
        <w:jc w:val="both"/>
        <w:ind w:right="180" w:firstLine="1183"/>
        <w:spacing w:after="0" w:line="279" w:lineRule="auto"/>
        <w:tabs>
          <w:tab w:leader="none" w:pos="2557" w:val="left"/>
        </w:tabs>
        <w:numPr>
          <w:ilvl w:val="1"/>
          <w:numId w:val="249"/>
        </w:numPr>
        <w:rPr>
          <w:rFonts w:ascii="Arial" w:cs="Arial" w:eastAsia="Arial" w:hAnsi="Arial"/>
          <w:sz w:val="17"/>
          <w:szCs w:val="17"/>
          <w:color w:val="auto"/>
        </w:rPr>
      </w:pPr>
      <w:r>
        <w:rPr>
          <w:rFonts w:ascii="Arial" w:cs="Arial" w:eastAsia="Arial" w:hAnsi="Arial"/>
          <w:sz w:val="17"/>
          <w:szCs w:val="17"/>
          <w:i w:val="1"/>
          <w:iCs w:val="1"/>
          <w:color w:val="auto"/>
        </w:rPr>
        <w:t>Employee’s Agreement</w:t>
      </w:r>
      <w:r>
        <w:rPr>
          <w:rFonts w:ascii="Arial" w:cs="Arial" w:eastAsia="Arial" w:hAnsi="Arial"/>
          <w:sz w:val="17"/>
          <w:szCs w:val="17"/>
          <w:color w:val="auto"/>
        </w:rPr>
        <w:t>. You acknowledge and agree that your Eastman Kodak Company Employee’s Agreement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remain in full force and effect, including, without limitation, the provisions therein regarding nondisclosure of confidential information, non-competition with the Company during, and for up to eighteen (18) months following any termination of, your employment and non-solicitation of Company employees, customers and suppliers during, and for up to twelve (12) months following any termination of, your employment.</w:t>
      </w:r>
    </w:p>
    <w:p>
      <w:pPr>
        <w:spacing w:after="0" w:line="157" w:lineRule="exact"/>
        <w:rPr>
          <w:rFonts w:ascii="Arial" w:cs="Arial" w:eastAsia="Arial" w:hAnsi="Arial"/>
          <w:sz w:val="17"/>
          <w:szCs w:val="17"/>
          <w:color w:val="auto"/>
        </w:rPr>
      </w:pPr>
    </w:p>
    <w:p>
      <w:pPr>
        <w:ind w:left="2580" w:hanging="1397"/>
        <w:spacing w:after="0"/>
        <w:tabs>
          <w:tab w:leader="none" w:pos="2580" w:val="left"/>
        </w:tabs>
        <w:numPr>
          <w:ilvl w:val="1"/>
          <w:numId w:val="249"/>
        </w:numPr>
        <w:rPr>
          <w:rFonts w:ascii="Arial" w:cs="Arial" w:eastAsia="Arial" w:hAnsi="Arial"/>
          <w:sz w:val="19"/>
          <w:szCs w:val="19"/>
          <w:color w:val="auto"/>
        </w:rPr>
      </w:pPr>
      <w:r>
        <w:rPr>
          <w:rFonts w:ascii="Arial" w:cs="Arial" w:eastAsia="Arial" w:hAnsi="Arial"/>
          <w:sz w:val="19"/>
          <w:szCs w:val="19"/>
          <w:i w:val="1"/>
          <w:iCs w:val="1"/>
          <w:color w:val="auto"/>
        </w:rPr>
        <w:t xml:space="preserve">Your Importance to the Company and the Effect of this Section 6. </w:t>
      </w:r>
      <w:r>
        <w:rPr>
          <w:rFonts w:ascii="Arial" w:cs="Arial" w:eastAsia="Arial" w:hAnsi="Arial"/>
          <w:sz w:val="19"/>
          <w:szCs w:val="19"/>
          <w:color w:val="auto"/>
        </w:rPr>
        <w:t>You acknowledge that:</w:t>
      </w:r>
    </w:p>
    <w:p>
      <w:pPr>
        <w:spacing w:after="0" w:line="208" w:lineRule="exact"/>
        <w:rPr>
          <w:rFonts w:ascii="Arial" w:cs="Arial" w:eastAsia="Arial" w:hAnsi="Arial"/>
          <w:sz w:val="19"/>
          <w:szCs w:val="19"/>
          <w:color w:val="auto"/>
        </w:rPr>
      </w:pPr>
    </w:p>
    <w:p>
      <w:pPr>
        <w:ind w:left="1220" w:firstLine="485"/>
        <w:spacing w:after="0" w:line="272" w:lineRule="auto"/>
        <w:tabs>
          <w:tab w:leader="none" w:pos="2568" w:val="left"/>
        </w:tabs>
        <w:numPr>
          <w:ilvl w:val="2"/>
          <w:numId w:val="249"/>
        </w:numPr>
        <w:rPr>
          <w:rFonts w:ascii="Arial" w:cs="Arial" w:eastAsia="Arial" w:hAnsi="Arial"/>
          <w:sz w:val="17"/>
          <w:szCs w:val="17"/>
          <w:color w:val="auto"/>
        </w:rPr>
      </w:pPr>
      <w:r>
        <w:rPr>
          <w:rFonts w:ascii="Arial" w:cs="Arial" w:eastAsia="Arial" w:hAnsi="Arial"/>
          <w:sz w:val="17"/>
          <w:szCs w:val="17"/>
          <w:color w:val="auto"/>
        </w:rPr>
        <w:t>In the course of your involvement in the Company’s activities, you will have access to confidential information and the Company’s client base and will profit from the goodwill associated with the Company. On the other hand, in view of your access to confidential information and your importance to the Company, if you compete with the Company for some time after your employment, the Company will likely suffer significant harm. In return for the benefits you will receive from the Company and to induce the Company to enter into this Agreement, and in light of the potential harm you could cause the Company, you agree to the provisions of this Section 6. The Company would not have entered into this Agreement if you did not agree to this Section 6.</w:t>
      </w:r>
    </w:p>
    <w:p>
      <w:pPr>
        <w:spacing w:after="0" w:line="164" w:lineRule="exact"/>
        <w:rPr>
          <w:rFonts w:ascii="Arial" w:cs="Arial" w:eastAsia="Arial" w:hAnsi="Arial"/>
          <w:sz w:val="17"/>
          <w:szCs w:val="17"/>
          <w:color w:val="auto"/>
        </w:rPr>
      </w:pPr>
    </w:p>
    <w:p>
      <w:pPr>
        <w:ind w:left="1220" w:right="460" w:firstLine="485"/>
        <w:spacing w:after="0" w:line="256" w:lineRule="auto"/>
        <w:tabs>
          <w:tab w:leader="none" w:pos="2568" w:val="left"/>
        </w:tabs>
        <w:numPr>
          <w:ilvl w:val="2"/>
          <w:numId w:val="249"/>
        </w:numPr>
        <w:rPr>
          <w:rFonts w:ascii="Arial" w:cs="Arial" w:eastAsia="Arial" w:hAnsi="Arial"/>
          <w:sz w:val="19"/>
          <w:szCs w:val="19"/>
          <w:color w:val="auto"/>
        </w:rPr>
      </w:pPr>
      <w:r>
        <w:rPr>
          <w:rFonts w:ascii="Arial" w:cs="Arial" w:eastAsia="Arial" w:hAnsi="Arial"/>
          <w:sz w:val="19"/>
          <w:szCs w:val="19"/>
          <w:color w:val="auto"/>
        </w:rPr>
        <w:t>This Section 6 may limit your ability to earn a livelihood. You acknowledge, however, that complying with this Section 6 will not result in severe economic hardship for you or your family.</w:t>
      </w:r>
    </w:p>
    <w:p>
      <w:pPr>
        <w:spacing w:after="0" w:line="173" w:lineRule="exact"/>
        <w:rPr>
          <w:rFonts w:ascii="Arial" w:cs="Arial" w:eastAsia="Arial" w:hAnsi="Arial"/>
          <w:sz w:val="19"/>
          <w:szCs w:val="19"/>
          <w:color w:val="auto"/>
        </w:rPr>
      </w:pPr>
    </w:p>
    <w:p>
      <w:pPr>
        <w:ind w:right="440" w:firstLine="1183"/>
        <w:spacing w:after="0" w:line="314" w:lineRule="auto"/>
        <w:tabs>
          <w:tab w:leader="none" w:pos="2557" w:val="left"/>
        </w:tabs>
        <w:numPr>
          <w:ilvl w:val="1"/>
          <w:numId w:val="249"/>
        </w:numPr>
        <w:rPr>
          <w:rFonts w:ascii="Arial" w:cs="Arial" w:eastAsia="Arial" w:hAnsi="Arial"/>
          <w:sz w:val="17"/>
          <w:szCs w:val="17"/>
          <w:color w:val="auto"/>
        </w:rPr>
      </w:pPr>
      <w:r>
        <w:rPr>
          <w:rFonts w:ascii="Arial" w:cs="Arial" w:eastAsia="Arial" w:hAnsi="Arial"/>
          <w:sz w:val="17"/>
          <w:szCs w:val="17"/>
          <w:i w:val="1"/>
          <w:iCs w:val="1"/>
          <w:color w:val="auto"/>
        </w:rPr>
        <w:t xml:space="preserve">Transition Assistance. </w:t>
      </w:r>
      <w:r>
        <w:rPr>
          <w:rFonts w:ascii="Arial" w:cs="Arial" w:eastAsia="Arial" w:hAnsi="Arial"/>
          <w:sz w:val="17"/>
          <w:szCs w:val="17"/>
          <w:color w:val="auto"/>
        </w:rPr>
        <w:t>During the 90 days after Termination Notice has been given, you will take all actions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may reasonably request to maintain for the Company the business, goodwill and business relationships with any Clients.</w:t>
      </w:r>
    </w:p>
    <w:p>
      <w:pPr>
        <w:spacing w:after="0" w:line="128" w:lineRule="exact"/>
        <w:rPr>
          <w:rFonts w:ascii="Arial" w:cs="Arial" w:eastAsia="Arial" w:hAnsi="Arial"/>
          <w:sz w:val="17"/>
          <w:szCs w:val="17"/>
          <w:color w:val="auto"/>
        </w:rPr>
      </w:pPr>
    </w:p>
    <w:p>
      <w:pPr>
        <w:ind w:firstLine="1183"/>
        <w:spacing w:after="0" w:line="245" w:lineRule="auto"/>
        <w:tabs>
          <w:tab w:leader="none" w:pos="2568" w:val="left"/>
        </w:tabs>
        <w:numPr>
          <w:ilvl w:val="1"/>
          <w:numId w:val="249"/>
        </w:numPr>
        <w:rPr>
          <w:rFonts w:ascii="Arial" w:cs="Arial" w:eastAsia="Arial" w:hAnsi="Arial"/>
          <w:sz w:val="19"/>
          <w:szCs w:val="19"/>
          <w:color w:val="auto"/>
        </w:rPr>
      </w:pPr>
      <w:r>
        <w:rPr>
          <w:rFonts w:ascii="Arial" w:cs="Arial" w:eastAsia="Arial" w:hAnsi="Arial"/>
          <w:sz w:val="19"/>
          <w:szCs w:val="19"/>
          <w:i w:val="1"/>
          <w:iCs w:val="1"/>
          <w:color w:val="auto"/>
        </w:rPr>
        <w:t>Notice to New Employers</w:t>
      </w:r>
      <w:r>
        <w:rPr>
          <w:rFonts w:ascii="Arial" w:cs="Arial" w:eastAsia="Arial" w:hAnsi="Arial"/>
          <w:sz w:val="19"/>
          <w:szCs w:val="19"/>
          <w:color w:val="auto"/>
        </w:rPr>
        <w:t>. Before you accept employment with any other person or entity while your Eastman Kodak</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Employee’s Agreement is in effect, you will provide the prospective employer with written notice of the provisions of your Eastman Kodak Company Employee’s Agreement and will deliver a copy of the notice to the Company.</w:t>
      </w:r>
    </w:p>
    <w:p>
      <w:pPr>
        <w:spacing w:after="0" w:line="180" w:lineRule="exact"/>
        <w:rPr>
          <w:rFonts w:ascii="Arial" w:cs="Arial" w:eastAsia="Arial" w:hAnsi="Arial"/>
          <w:sz w:val="19"/>
          <w:szCs w:val="19"/>
          <w:color w:val="auto"/>
        </w:rPr>
      </w:pPr>
    </w:p>
    <w:p>
      <w:pPr>
        <w:ind w:left="460" w:hanging="453"/>
        <w:spacing w:after="0"/>
        <w:tabs>
          <w:tab w:leader="none" w:pos="460" w:val="left"/>
        </w:tabs>
        <w:numPr>
          <w:ilvl w:val="0"/>
          <w:numId w:val="249"/>
        </w:numPr>
        <w:rPr>
          <w:rFonts w:ascii="Arial" w:cs="Arial" w:eastAsia="Arial" w:hAnsi="Arial"/>
          <w:sz w:val="19"/>
          <w:szCs w:val="19"/>
          <w:b w:val="1"/>
          <w:bCs w:val="1"/>
          <w:color w:val="auto"/>
        </w:rPr>
      </w:pPr>
      <w:r>
        <w:rPr>
          <w:rFonts w:ascii="Arial" w:cs="Arial" w:eastAsia="Arial" w:hAnsi="Arial"/>
          <w:sz w:val="19"/>
          <w:szCs w:val="19"/>
          <w:b w:val="1"/>
          <w:bCs w:val="1"/>
          <w:color w:val="auto"/>
        </w:rPr>
        <w:t>Effect on Other Agreements</w:t>
      </w:r>
    </w:p>
    <w:p>
      <w:pPr>
        <w:spacing w:after="0" w:line="212" w:lineRule="exact"/>
        <w:rPr>
          <w:rFonts w:ascii="Arial" w:cs="Arial" w:eastAsia="Arial" w:hAnsi="Arial"/>
          <w:sz w:val="19"/>
          <w:szCs w:val="19"/>
          <w:b w:val="1"/>
          <w:bCs w:val="1"/>
          <w:color w:val="auto"/>
        </w:rPr>
      </w:pPr>
    </w:p>
    <w:p>
      <w:pPr>
        <w:ind w:right="240" w:firstLine="1183"/>
        <w:spacing w:after="0" w:line="283" w:lineRule="auto"/>
        <w:tabs>
          <w:tab w:leader="none" w:pos="2557" w:val="left"/>
        </w:tabs>
        <w:numPr>
          <w:ilvl w:val="1"/>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Prior Employment Agreements. </w:t>
      </w:r>
      <w:r>
        <w:rPr>
          <w:rFonts w:ascii="Arial" w:cs="Arial" w:eastAsia="Arial" w:hAnsi="Arial"/>
          <w:sz w:val="18"/>
          <w:szCs w:val="18"/>
          <w:color w:val="auto"/>
        </w:rPr>
        <w:t>As of the Effective Date, this Agreement will supersede your Emergence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dated July 30, 2013; provided, however, your Eastman Kodak Company Employee’s Agreement will remain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309880</wp:posOffset>
            </wp:positionV>
            <wp:extent cx="729043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91" w:name="page292"/>
    <w:bookmarkEnd w:id="291"/>
    <w:p>
      <w:pPr>
        <w:ind w:left="8373"/>
        <w:spacing w:after="0"/>
        <w:rPr>
          <w:sz w:val="20"/>
          <w:szCs w:val="20"/>
          <w:color w:val="auto"/>
        </w:rPr>
      </w:pPr>
      <w:r>
        <w:rPr>
          <w:rFonts w:ascii="Arial" w:cs="Arial" w:eastAsia="Arial" w:hAnsi="Arial"/>
          <w:sz w:val="19"/>
          <w:szCs w:val="19"/>
          <w:color w:val="auto"/>
        </w:rPr>
        <w:t>-8-</w:t>
      </w:r>
    </w:p>
    <w:p>
      <w:pPr>
        <w:spacing w:after="0" w:line="221" w:lineRule="exact"/>
        <w:rPr>
          <w:sz w:val="20"/>
          <w:szCs w:val="20"/>
          <w:color w:val="auto"/>
        </w:rPr>
      </w:pPr>
    </w:p>
    <w:p>
      <w:pPr>
        <w:ind w:left="-7" w:right="20" w:firstLine="1183"/>
        <w:spacing w:after="0" w:line="259" w:lineRule="auto"/>
        <w:tabs>
          <w:tab w:leader="none" w:pos="2561" w:val="left"/>
        </w:tabs>
        <w:numPr>
          <w:ilvl w:val="1"/>
          <w:numId w:val="250"/>
        </w:numPr>
        <w:rPr>
          <w:rFonts w:ascii="Arial" w:cs="Arial" w:eastAsia="Arial" w:hAnsi="Arial"/>
          <w:sz w:val="18"/>
          <w:szCs w:val="18"/>
          <w:color w:val="auto"/>
        </w:rPr>
      </w:pPr>
      <w:r>
        <w:rPr>
          <w:rFonts w:ascii="Arial" w:cs="Arial" w:eastAsia="Arial" w:hAnsi="Arial"/>
          <w:sz w:val="18"/>
          <w:szCs w:val="18"/>
          <w:i w:val="1"/>
          <w:iCs w:val="1"/>
          <w:color w:val="auto"/>
        </w:rPr>
        <w:t xml:space="preserve">Effect on Other Agreements; Entire Agreement. </w:t>
      </w:r>
      <w:r>
        <w:rPr>
          <w:rFonts w:ascii="Arial" w:cs="Arial" w:eastAsia="Arial" w:hAnsi="Arial"/>
          <w:sz w:val="18"/>
          <w:szCs w:val="18"/>
          <w:color w:val="auto"/>
        </w:rPr>
        <w:t>This Agreement and your Eastman Kodak Company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are the entire agreement between you and the Company with respect to the relationship contemplated by this Agreement and supersedes any earlier agreement, written or oral, with respect to the subject matter of this Agreement. In entering into this Agreement, no party has relied on or made any representation, warranty, inducement, promise or understanding that is not in this Agreement.</w:t>
      </w:r>
    </w:p>
    <w:p>
      <w:pPr>
        <w:spacing w:after="0" w:line="169" w:lineRule="exact"/>
        <w:rPr>
          <w:rFonts w:ascii="Arial" w:cs="Arial" w:eastAsia="Arial" w:hAnsi="Arial"/>
          <w:sz w:val="18"/>
          <w:szCs w:val="18"/>
          <w:color w:val="auto"/>
        </w:rPr>
      </w:pPr>
    </w:p>
    <w:p>
      <w:pPr>
        <w:ind w:left="553" w:hanging="553"/>
        <w:spacing w:after="0"/>
        <w:tabs>
          <w:tab w:leader="none" w:pos="553" w:val="left"/>
        </w:tabs>
        <w:numPr>
          <w:ilvl w:val="0"/>
          <w:numId w:val="251"/>
        </w:numPr>
        <w:rPr>
          <w:rFonts w:ascii="Arial" w:cs="Arial" w:eastAsia="Arial" w:hAnsi="Arial"/>
          <w:sz w:val="19"/>
          <w:szCs w:val="19"/>
          <w:b w:val="1"/>
          <w:bCs w:val="1"/>
          <w:color w:val="auto"/>
        </w:rPr>
      </w:pPr>
      <w:r>
        <w:rPr>
          <w:rFonts w:ascii="Arial" w:cs="Arial" w:eastAsia="Arial" w:hAnsi="Arial"/>
          <w:sz w:val="19"/>
          <w:szCs w:val="19"/>
          <w:b w:val="1"/>
          <w:bCs w:val="1"/>
          <w:color w:val="auto"/>
        </w:rPr>
        <w:t>Successors</w:t>
      </w:r>
    </w:p>
    <w:p>
      <w:pPr>
        <w:spacing w:after="0" w:line="212" w:lineRule="exact"/>
        <w:rPr>
          <w:rFonts w:ascii="Arial" w:cs="Arial" w:eastAsia="Arial" w:hAnsi="Arial"/>
          <w:sz w:val="19"/>
          <w:szCs w:val="19"/>
          <w:b w:val="1"/>
          <w:bCs w:val="1"/>
          <w:color w:val="auto"/>
        </w:rPr>
      </w:pPr>
    </w:p>
    <w:p>
      <w:pPr>
        <w:jc w:val="both"/>
        <w:ind w:left="-7" w:right="40" w:firstLine="1183"/>
        <w:spacing w:after="0" w:line="265" w:lineRule="auto"/>
        <w:tabs>
          <w:tab w:leader="none" w:pos="2551" w:val="left"/>
        </w:tabs>
        <w:numPr>
          <w:ilvl w:val="1"/>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Assignment by You. </w:t>
      </w:r>
      <w:r>
        <w:rPr>
          <w:rFonts w:ascii="Arial" w:cs="Arial" w:eastAsia="Arial" w:hAnsi="Arial"/>
          <w:sz w:val="18"/>
          <w:szCs w:val="18"/>
          <w:color w:val="auto"/>
        </w:rPr>
        <w:t>You may not assign this Agreement without the Company’s consent. Also, except as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your right to receive payments or benefits under this Agreement may not be subject to execution, attachment, levy or similar process. Any attempt to effect any of the preceding in violation of this Section 8(a), whether voluntary or involuntary, will be void.</w:t>
      </w:r>
    </w:p>
    <w:p>
      <w:pPr>
        <w:spacing w:after="0" w:line="167" w:lineRule="exact"/>
        <w:rPr>
          <w:rFonts w:ascii="Arial" w:cs="Arial" w:eastAsia="Arial" w:hAnsi="Arial"/>
          <w:sz w:val="18"/>
          <w:szCs w:val="18"/>
          <w:color w:val="auto"/>
        </w:rPr>
      </w:pPr>
    </w:p>
    <w:p>
      <w:pPr>
        <w:ind w:left="-7" w:firstLine="1183"/>
        <w:spacing w:after="0" w:line="237" w:lineRule="auto"/>
        <w:tabs>
          <w:tab w:leader="none" w:pos="2561" w:val="left"/>
        </w:tabs>
        <w:numPr>
          <w:ilvl w:val="1"/>
          <w:numId w:val="251"/>
        </w:numPr>
        <w:rPr>
          <w:rFonts w:ascii="Arial" w:cs="Arial" w:eastAsia="Arial" w:hAnsi="Arial"/>
          <w:sz w:val="19"/>
          <w:szCs w:val="19"/>
          <w:color w:val="auto"/>
        </w:rPr>
      </w:pPr>
      <w:r>
        <w:rPr>
          <w:rFonts w:ascii="Arial" w:cs="Arial" w:eastAsia="Arial" w:hAnsi="Arial"/>
          <w:sz w:val="19"/>
          <w:szCs w:val="19"/>
          <w:i w:val="1"/>
          <w:iCs w:val="1"/>
          <w:color w:val="auto"/>
        </w:rPr>
        <w:t xml:space="preserve">Assumption by Any Surviving Company. </w:t>
      </w:r>
      <w:r>
        <w:rPr>
          <w:rFonts w:ascii="Arial" w:cs="Arial" w:eastAsia="Arial" w:hAnsi="Arial"/>
          <w:sz w:val="19"/>
          <w:szCs w:val="19"/>
          <w:color w:val="auto"/>
        </w:rPr>
        <w:t>Before the effectiveness of any merger, consolidation, statutory share</w:t>
      </w:r>
      <w:r>
        <w:rPr>
          <w:rFonts w:ascii="Arial" w:cs="Arial" w:eastAsia="Arial" w:hAnsi="Arial"/>
          <w:sz w:val="19"/>
          <w:szCs w:val="19"/>
          <w:i w:val="1"/>
          <w:iCs w:val="1"/>
          <w:color w:val="auto"/>
        </w:rPr>
        <w:t xml:space="preserve"> </w:t>
      </w:r>
      <w:r>
        <w:rPr>
          <w:rFonts w:ascii="Arial" w:cs="Arial" w:eastAsia="Arial" w:hAnsi="Arial"/>
          <w:sz w:val="19"/>
          <w:szCs w:val="19"/>
          <w:color w:val="auto"/>
        </w:rPr>
        <w:t>exchange or similar transaction (including an exchange offer combined with a merger or consolidation) involving the Company (a “</w:t>
      </w:r>
      <w:r>
        <w:rPr>
          <w:rFonts w:ascii="Arial" w:cs="Arial" w:eastAsia="Arial" w:hAnsi="Arial"/>
          <w:sz w:val="19"/>
          <w:szCs w:val="19"/>
          <w:i w:val="1"/>
          <w:iCs w:val="1"/>
          <w:color w:val="auto"/>
        </w:rPr>
        <w:t>Reorganization</w:t>
      </w:r>
      <w:r>
        <w:rPr>
          <w:rFonts w:ascii="Arial" w:cs="Arial" w:eastAsia="Arial" w:hAnsi="Arial"/>
          <w:sz w:val="19"/>
          <w:szCs w:val="19"/>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19"/>
          <w:szCs w:val="19"/>
          <w:i w:val="1"/>
          <w:iCs w:val="1"/>
          <w:color w:val="auto"/>
        </w:rPr>
        <w:t>Sale</w:t>
      </w:r>
      <w:r>
        <w:rPr>
          <w:rFonts w:ascii="Arial" w:cs="Arial" w:eastAsia="Arial" w:hAnsi="Arial"/>
          <w:sz w:val="19"/>
          <w:szCs w:val="19"/>
          <w:color w:val="auto"/>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Arial" w:cs="Arial" w:eastAsia="Arial" w:hAnsi="Arial"/>
          <w:sz w:val="19"/>
          <w:szCs w:val="19"/>
          <w:i w:val="1"/>
          <w:iCs w:val="1"/>
          <w:color w:val="auto"/>
        </w:rPr>
        <w:t>Surviving Company</w:t>
      </w:r>
      <w:r>
        <w:rPr>
          <w:rFonts w:ascii="Arial" w:cs="Arial" w:eastAsia="Arial" w:hAnsi="Arial"/>
          <w:sz w:val="19"/>
          <w:szCs w:val="19"/>
          <w:color w:val="auto"/>
        </w:rPr>
        <w:t>” means (i) in a Reorganization, the entity resulting from the Reorganization or (ii) in a Sale, the entity that has acquired all or substantially all of the assets of the Company.</w:t>
      </w:r>
    </w:p>
    <w:p>
      <w:pPr>
        <w:spacing w:after="0" w:line="190" w:lineRule="exact"/>
        <w:rPr>
          <w:rFonts w:ascii="Arial" w:cs="Arial" w:eastAsia="Arial" w:hAnsi="Arial"/>
          <w:sz w:val="19"/>
          <w:szCs w:val="19"/>
          <w:color w:val="auto"/>
        </w:rPr>
      </w:pPr>
    </w:p>
    <w:p>
      <w:pPr>
        <w:ind w:left="553" w:hanging="553"/>
        <w:spacing w:after="0"/>
        <w:tabs>
          <w:tab w:leader="none" w:pos="553" w:val="left"/>
        </w:tabs>
        <w:numPr>
          <w:ilvl w:val="0"/>
          <w:numId w:val="251"/>
        </w:numPr>
        <w:rPr>
          <w:rFonts w:ascii="Arial" w:cs="Arial" w:eastAsia="Arial" w:hAnsi="Arial"/>
          <w:sz w:val="19"/>
          <w:szCs w:val="19"/>
          <w:b w:val="1"/>
          <w:bCs w:val="1"/>
          <w:color w:val="auto"/>
        </w:rPr>
      </w:pPr>
      <w:r>
        <w:rPr>
          <w:rFonts w:ascii="Arial" w:cs="Arial" w:eastAsia="Arial" w:hAnsi="Arial"/>
          <w:sz w:val="19"/>
          <w:szCs w:val="19"/>
          <w:b w:val="1"/>
          <w:bCs w:val="1"/>
          <w:color w:val="auto"/>
        </w:rPr>
        <w:t>General Provisions</w:t>
      </w:r>
    </w:p>
    <w:p>
      <w:pPr>
        <w:spacing w:after="0" w:line="212" w:lineRule="exact"/>
        <w:rPr>
          <w:rFonts w:ascii="Arial" w:cs="Arial" w:eastAsia="Arial" w:hAnsi="Arial"/>
          <w:sz w:val="19"/>
          <w:szCs w:val="19"/>
          <w:b w:val="1"/>
          <w:bCs w:val="1"/>
          <w:color w:val="auto"/>
        </w:rPr>
      </w:pPr>
    </w:p>
    <w:p>
      <w:pPr>
        <w:ind w:left="-7" w:firstLine="1183"/>
        <w:spacing w:after="0" w:line="267" w:lineRule="auto"/>
        <w:tabs>
          <w:tab w:leader="none" w:pos="2551" w:val="left"/>
        </w:tabs>
        <w:numPr>
          <w:ilvl w:val="1"/>
          <w:numId w:val="251"/>
        </w:numPr>
        <w:rPr>
          <w:rFonts w:ascii="Arial" w:cs="Arial" w:eastAsia="Arial" w:hAnsi="Arial"/>
          <w:sz w:val="17"/>
          <w:szCs w:val="17"/>
          <w:color w:val="auto"/>
        </w:rPr>
      </w:pPr>
      <w:r>
        <w:rPr>
          <w:rFonts w:ascii="Arial" w:cs="Arial" w:eastAsia="Arial" w:hAnsi="Arial"/>
          <w:sz w:val="17"/>
          <w:szCs w:val="17"/>
          <w:i w:val="1"/>
          <w:iCs w:val="1"/>
          <w:color w:val="auto"/>
        </w:rPr>
        <w:t xml:space="preserve">Administrator. </w:t>
      </w:r>
      <w:r>
        <w:rPr>
          <w:rFonts w:ascii="Arial" w:cs="Arial" w:eastAsia="Arial" w:hAnsi="Arial"/>
          <w:sz w:val="17"/>
          <w:szCs w:val="17"/>
          <w:color w:val="auto"/>
        </w:rPr>
        <w:t>All compensation and benefits provided under this Agreement will be administered by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Officer for the Company (the “</w:t>
      </w:r>
      <w:r>
        <w:rPr>
          <w:rFonts w:ascii="Arial" w:cs="Arial" w:eastAsia="Arial" w:hAnsi="Arial"/>
          <w:sz w:val="17"/>
          <w:szCs w:val="17"/>
          <w:i w:val="1"/>
          <w:iCs w:val="1"/>
          <w:color w:val="auto"/>
        </w:rPr>
        <w:t>Administrator</w:t>
      </w:r>
      <w:r>
        <w:rPr>
          <w:rFonts w:ascii="Arial" w:cs="Arial" w:eastAsia="Arial" w:hAnsi="Arial"/>
          <w:sz w:val="17"/>
          <w:szCs w:val="17"/>
          <w:color w:val="auto"/>
        </w:rPr>
        <w:t>”). The Administrator will have total and exclusive responsibility to control, operate, manage and administer such compensation and benefits in accordance with their terms and all the authority that may be necessary or helpful to enable him to discharge his responsibilities with respect to them. Without limiting the generality of the preceding sentence, the Administrator will have the exclusive right to: interpret this Agreement, decide all questions concerning eligibility for and the amount of compensation and benefits payable, construe any ambiguous provision, correct any default, supply any omission, reconcile any inconsistency, and decide all questions arising in the administration, interpretation and application of this Agreement. The Administrator will have full discretionary authority in all matters related to the discharge of his responsibilities and the exercise of his authority, including, without limitation, his construction of the terms of this Agreement and his determination of eligibility for compensation and benefits. It is the intent of the parties hereto, that the decisions of the Administrator and his actions with respect to this Agreement will be final and binding upon all persons having or claiming to have any right or interest in or under this Agreement and that no such decision or actions shall be modified upon judicial review unless such decision or action is proven to be arbitrary or capricious.</w:t>
      </w:r>
    </w:p>
    <w:p>
      <w:pPr>
        <w:spacing w:after="0" w:line="168" w:lineRule="exact"/>
        <w:rPr>
          <w:rFonts w:ascii="Arial" w:cs="Arial" w:eastAsia="Arial" w:hAnsi="Arial"/>
          <w:sz w:val="17"/>
          <w:szCs w:val="17"/>
          <w:color w:val="auto"/>
        </w:rPr>
      </w:pPr>
    </w:p>
    <w:p>
      <w:pPr>
        <w:ind w:left="-7" w:right="480" w:firstLine="1183"/>
        <w:spacing w:after="0" w:line="314" w:lineRule="auto"/>
        <w:tabs>
          <w:tab w:leader="none" w:pos="2561" w:val="left"/>
        </w:tabs>
        <w:numPr>
          <w:ilvl w:val="1"/>
          <w:numId w:val="251"/>
        </w:numPr>
        <w:rPr>
          <w:rFonts w:ascii="Arial" w:cs="Arial" w:eastAsia="Arial" w:hAnsi="Arial"/>
          <w:sz w:val="17"/>
          <w:szCs w:val="17"/>
          <w:color w:val="auto"/>
        </w:rPr>
      </w:pPr>
      <w:r>
        <w:rPr>
          <w:rFonts w:ascii="Arial" w:cs="Arial" w:eastAsia="Arial" w:hAnsi="Arial"/>
          <w:sz w:val="17"/>
          <w:szCs w:val="17"/>
          <w:i w:val="1"/>
          <w:iCs w:val="1"/>
          <w:color w:val="auto"/>
        </w:rPr>
        <w:t>Withholding</w:t>
      </w:r>
      <w:r>
        <w:rPr>
          <w:rFonts w:ascii="Arial" w:cs="Arial" w:eastAsia="Arial" w:hAnsi="Arial"/>
          <w:sz w:val="17"/>
          <w:szCs w:val="17"/>
          <w:color w:val="auto"/>
        </w:rPr>
        <w:t>. You and the Company will treat all payments to you under this Agreement as compensation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Accordingly, the Company may withhold from any payment any taxes that are required to be withheld under any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294640</wp:posOffset>
            </wp:positionV>
            <wp:extent cx="729043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73"/>
          </w:cols>
          <w:pgMar w:left="247" w:top="118" w:right="279" w:bottom="1440" w:gutter="0" w:footer="0" w:header="0"/>
        </w:sectPr>
      </w:pPr>
    </w:p>
    <w:bookmarkStart w:id="292" w:name="page293"/>
    <w:bookmarkEnd w:id="292"/>
    <w:p>
      <w:pPr>
        <w:ind w:left="7197"/>
        <w:spacing w:after="0"/>
        <w:rPr>
          <w:sz w:val="20"/>
          <w:szCs w:val="20"/>
          <w:color w:val="auto"/>
        </w:rPr>
      </w:pPr>
      <w:r>
        <w:rPr>
          <w:rFonts w:ascii="Arial" w:cs="Arial" w:eastAsia="Arial" w:hAnsi="Arial"/>
          <w:sz w:val="19"/>
          <w:szCs w:val="19"/>
          <w:color w:val="auto"/>
        </w:rPr>
        <w:t>-9-</w:t>
      </w:r>
    </w:p>
    <w:p>
      <w:pPr>
        <w:spacing w:after="0" w:line="221" w:lineRule="exact"/>
        <w:rPr>
          <w:sz w:val="20"/>
          <w:szCs w:val="20"/>
          <w:color w:val="auto"/>
        </w:rPr>
      </w:pPr>
    </w:p>
    <w:p>
      <w:pPr>
        <w:ind w:left="-1183" w:right="320" w:firstLine="1183"/>
        <w:spacing w:after="0" w:line="256" w:lineRule="auto"/>
        <w:tabs>
          <w:tab w:leader="none" w:pos="1374" w:val="left"/>
        </w:tabs>
        <w:numPr>
          <w:ilvl w:val="0"/>
          <w:numId w:val="252"/>
        </w:numPr>
        <w:rPr>
          <w:rFonts w:ascii="Arial" w:cs="Arial" w:eastAsia="Arial" w:hAnsi="Arial"/>
          <w:sz w:val="19"/>
          <w:szCs w:val="19"/>
          <w:color w:val="auto"/>
        </w:rPr>
      </w:pPr>
      <w:r>
        <w:rPr>
          <w:rFonts w:ascii="Arial" w:cs="Arial" w:eastAsia="Arial" w:hAnsi="Arial"/>
          <w:sz w:val="19"/>
          <w:szCs w:val="19"/>
          <w:i w:val="1"/>
          <w:iCs w:val="1"/>
          <w:color w:val="auto"/>
        </w:rPr>
        <w:t>Confidentiality</w:t>
      </w:r>
      <w:r>
        <w:rPr>
          <w:rFonts w:ascii="Arial" w:cs="Arial" w:eastAsia="Arial" w:hAnsi="Arial"/>
          <w:sz w:val="19"/>
          <w:szCs w:val="19"/>
          <w:color w:val="auto"/>
        </w:rPr>
        <w:t>. You agree to keep the existence of this letter confidential except that you may review it with your</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 advisor, attorney or spouse/partner and with the Administrator.</w:t>
      </w:r>
    </w:p>
    <w:p>
      <w:pPr>
        <w:spacing w:after="0" w:line="173" w:lineRule="exact"/>
        <w:rPr>
          <w:rFonts w:ascii="Arial" w:cs="Arial" w:eastAsia="Arial" w:hAnsi="Arial"/>
          <w:sz w:val="19"/>
          <w:szCs w:val="19"/>
          <w:color w:val="auto"/>
        </w:rPr>
      </w:pPr>
    </w:p>
    <w:p>
      <w:pPr>
        <w:ind w:left="-1183" w:right="100" w:firstLine="1183"/>
        <w:spacing w:after="0" w:line="275" w:lineRule="auto"/>
        <w:tabs>
          <w:tab w:leader="none" w:pos="1384"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If any provision of this Agreement is found by any court of competent jurisdiction (or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empowered agency) to be illegal, invalid or unenforceable for any reason, then (1) the provision will be amended automatically to the minimum extent necessary to cure the illegality or invalidity and permit enforcement and (2) the remainder of this Agreement will not be affected. In particular, if any provision of Section 6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160" w:lineRule="exact"/>
        <w:rPr>
          <w:rFonts w:ascii="Arial" w:cs="Arial" w:eastAsia="Arial" w:hAnsi="Arial"/>
          <w:sz w:val="17"/>
          <w:szCs w:val="17"/>
          <w:color w:val="auto"/>
        </w:rPr>
      </w:pPr>
    </w:p>
    <w:p>
      <w:pPr>
        <w:ind w:left="-1183" w:right="40" w:firstLine="1183"/>
        <w:spacing w:after="0" w:line="241" w:lineRule="auto"/>
        <w:tabs>
          <w:tab w:leader="none" w:pos="1374" w:val="left"/>
        </w:tabs>
        <w:numPr>
          <w:ilvl w:val="0"/>
          <w:numId w:val="252"/>
        </w:numPr>
        <w:rPr>
          <w:rFonts w:ascii="Arial" w:cs="Arial" w:eastAsia="Arial" w:hAnsi="Arial"/>
          <w:sz w:val="19"/>
          <w:szCs w:val="19"/>
          <w:color w:val="auto"/>
        </w:rPr>
      </w:pPr>
      <w:r>
        <w:rPr>
          <w:rFonts w:ascii="Arial" w:cs="Arial" w:eastAsia="Arial" w:hAnsi="Arial"/>
          <w:sz w:val="19"/>
          <w:szCs w:val="19"/>
          <w:i w:val="1"/>
          <w:iCs w:val="1"/>
          <w:color w:val="auto"/>
        </w:rPr>
        <w:t>No Set-Off</w:t>
      </w:r>
      <w:r>
        <w:rPr>
          <w:rFonts w:ascii="Arial" w:cs="Arial" w:eastAsia="Arial" w:hAnsi="Arial"/>
          <w:sz w:val="19"/>
          <w:szCs w:val="19"/>
          <w:color w:val="auto"/>
        </w:rPr>
        <w:t>. Your and the Company’s respective obligations under this Agreement will not be affected by any set-off,</w:t>
      </w:r>
      <w:r>
        <w:rPr>
          <w:rFonts w:ascii="Arial" w:cs="Arial" w:eastAsia="Arial" w:hAnsi="Arial"/>
          <w:sz w:val="19"/>
          <w:szCs w:val="19"/>
          <w:i w:val="1"/>
          <w:iCs w:val="1"/>
          <w:color w:val="auto"/>
        </w:rPr>
        <w:t xml:space="preserve"> </w:t>
      </w:r>
      <w:r>
        <w:rPr>
          <w:rFonts w:ascii="Arial" w:cs="Arial" w:eastAsia="Arial" w:hAnsi="Arial"/>
          <w:sz w:val="19"/>
          <w:szCs w:val="19"/>
          <w:color w:val="auto"/>
        </w:rPr>
        <w:t>counterclaim, recoupment or 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189" w:lineRule="exact"/>
        <w:rPr>
          <w:rFonts w:ascii="Arial" w:cs="Arial" w:eastAsia="Arial" w:hAnsi="Arial"/>
          <w:sz w:val="19"/>
          <w:szCs w:val="19"/>
          <w:color w:val="auto"/>
        </w:rPr>
      </w:pPr>
    </w:p>
    <w:p>
      <w:pPr>
        <w:ind w:left="-1183" w:right="160" w:firstLine="1183"/>
        <w:spacing w:after="0" w:line="256" w:lineRule="auto"/>
        <w:tabs>
          <w:tab w:leader="none" w:pos="1353"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requests, demands and other communications under this Agreement must be in writing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deemed given (1) on the business day sent, 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9(f)):</w:t>
      </w:r>
    </w:p>
    <w:p>
      <w:pPr>
        <w:spacing w:after="0" w:line="176" w:lineRule="exact"/>
        <w:rPr>
          <w:sz w:val="20"/>
          <w:szCs w:val="20"/>
          <w:color w:val="auto"/>
        </w:rPr>
      </w:pPr>
    </w:p>
    <w:p>
      <w:pPr>
        <w:ind w:left="337"/>
        <w:spacing w:after="0"/>
        <w:rPr>
          <w:sz w:val="20"/>
          <w:szCs w:val="20"/>
          <w:color w:val="auto"/>
        </w:rPr>
      </w:pPr>
      <w:r>
        <w:rPr>
          <w:rFonts w:ascii="Arial" w:cs="Arial" w:eastAsia="Arial" w:hAnsi="Arial"/>
          <w:sz w:val="19"/>
          <w:szCs w:val="19"/>
          <w:color w:val="auto"/>
        </w:rPr>
        <w:t>If to you, to your address set forth above.</w:t>
      </w:r>
    </w:p>
    <w:p>
      <w:pPr>
        <w:spacing w:after="0" w:line="208" w:lineRule="exact"/>
        <w:rPr>
          <w:sz w:val="20"/>
          <w:szCs w:val="20"/>
          <w:color w:val="auto"/>
        </w:rPr>
      </w:pPr>
    </w:p>
    <w:p>
      <w:pPr>
        <w:ind w:left="337"/>
        <w:spacing w:after="0"/>
        <w:rPr>
          <w:sz w:val="20"/>
          <w:szCs w:val="20"/>
          <w:color w:val="auto"/>
        </w:rPr>
      </w:pPr>
      <w:r>
        <w:rPr>
          <w:rFonts w:ascii="Arial" w:cs="Arial" w:eastAsia="Arial" w:hAnsi="Arial"/>
          <w:sz w:val="19"/>
          <w:szCs w:val="19"/>
          <w:color w:val="auto"/>
        </w:rPr>
        <w:t>If to the Company or any other member of the Company, to:</w:t>
      </w:r>
    </w:p>
    <w:p>
      <w:pPr>
        <w:spacing w:after="0" w:line="208" w:lineRule="exact"/>
        <w:rPr>
          <w:sz w:val="20"/>
          <w:szCs w:val="20"/>
          <w:color w:val="auto"/>
        </w:rPr>
      </w:pPr>
    </w:p>
    <w:p>
      <w:pPr>
        <w:ind w:left="337"/>
        <w:spacing w:after="0"/>
        <w:rPr>
          <w:sz w:val="20"/>
          <w:szCs w:val="20"/>
          <w:color w:val="auto"/>
        </w:rPr>
      </w:pPr>
      <w:r>
        <w:rPr>
          <w:rFonts w:ascii="Arial" w:cs="Arial" w:eastAsia="Arial" w:hAnsi="Arial"/>
          <w:sz w:val="19"/>
          <w:szCs w:val="19"/>
          <w:color w:val="auto"/>
        </w:rPr>
        <w:t>Eastman Kodak Company</w:t>
      </w:r>
    </w:p>
    <w:p>
      <w:pPr>
        <w:spacing w:after="0" w:line="6" w:lineRule="exact"/>
        <w:rPr>
          <w:sz w:val="20"/>
          <w:szCs w:val="20"/>
          <w:color w:val="auto"/>
        </w:rPr>
      </w:pPr>
    </w:p>
    <w:p>
      <w:pPr>
        <w:ind w:left="337"/>
        <w:spacing w:after="0"/>
        <w:rPr>
          <w:sz w:val="20"/>
          <w:szCs w:val="20"/>
          <w:color w:val="auto"/>
        </w:rPr>
      </w:pPr>
      <w:r>
        <w:rPr>
          <w:rFonts w:ascii="Arial" w:cs="Arial" w:eastAsia="Arial" w:hAnsi="Arial"/>
          <w:sz w:val="19"/>
          <w:szCs w:val="19"/>
          <w:color w:val="auto"/>
        </w:rPr>
        <w:t>343 State Street</w:t>
      </w:r>
    </w:p>
    <w:p>
      <w:pPr>
        <w:ind w:left="337"/>
        <w:spacing w:after="0" w:line="234" w:lineRule="auto"/>
        <w:rPr>
          <w:sz w:val="20"/>
          <w:szCs w:val="20"/>
          <w:color w:val="auto"/>
        </w:rPr>
      </w:pPr>
      <w:r>
        <w:rPr>
          <w:rFonts w:ascii="Arial" w:cs="Arial" w:eastAsia="Arial" w:hAnsi="Arial"/>
          <w:sz w:val="19"/>
          <w:szCs w:val="19"/>
          <w:color w:val="auto"/>
        </w:rPr>
        <w:t>Rochester, New York 14650</w:t>
      </w:r>
    </w:p>
    <w:p>
      <w:pPr>
        <w:ind w:left="337"/>
        <w:spacing w:after="0" w:line="234" w:lineRule="auto"/>
        <w:rPr>
          <w:sz w:val="20"/>
          <w:szCs w:val="20"/>
          <w:color w:val="auto"/>
        </w:rPr>
      </w:pPr>
      <w:r>
        <w:rPr>
          <w:rFonts w:ascii="Arial" w:cs="Arial" w:eastAsia="Arial" w:hAnsi="Arial"/>
          <w:sz w:val="19"/>
          <w:szCs w:val="19"/>
          <w:color w:val="auto"/>
        </w:rPr>
        <w:t>Attention: General Counsel</w:t>
      </w:r>
    </w:p>
    <w:p>
      <w:pPr>
        <w:spacing w:after="0" w:line="1" w:lineRule="exact"/>
        <w:rPr>
          <w:sz w:val="20"/>
          <w:szCs w:val="20"/>
          <w:color w:val="auto"/>
        </w:rPr>
      </w:pPr>
    </w:p>
    <w:p>
      <w:pPr>
        <w:ind w:left="337"/>
        <w:spacing w:after="0"/>
        <w:rPr>
          <w:sz w:val="20"/>
          <w:szCs w:val="20"/>
          <w:color w:val="auto"/>
        </w:rPr>
      </w:pPr>
      <w:r>
        <w:rPr>
          <w:rFonts w:ascii="Arial" w:cs="Arial" w:eastAsia="Arial" w:hAnsi="Arial"/>
          <w:sz w:val="19"/>
          <w:szCs w:val="19"/>
          <w:color w:val="auto"/>
        </w:rPr>
        <w:t>Facsimile: 585-724-9448</w:t>
      </w:r>
    </w:p>
    <w:p>
      <w:pPr>
        <w:spacing w:after="0" w:line="192" w:lineRule="exact"/>
        <w:rPr>
          <w:sz w:val="20"/>
          <w:szCs w:val="20"/>
          <w:color w:val="auto"/>
        </w:rPr>
      </w:pPr>
    </w:p>
    <w:p>
      <w:pPr>
        <w:ind w:left="-1183" w:firstLine="1183"/>
        <w:spacing w:after="0" w:line="279" w:lineRule="auto"/>
        <w:tabs>
          <w:tab w:leader="none" w:pos="1384"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Amendments and Waivers</w:t>
      </w:r>
      <w:r>
        <w:rPr>
          <w:rFonts w:ascii="Arial" w:cs="Arial" w:eastAsia="Arial" w:hAnsi="Arial"/>
          <w:sz w:val="17"/>
          <w:szCs w:val="17"/>
          <w:color w:val="auto"/>
        </w:rPr>
        <w:t>. Any provision of this Agreement may be amended or waived but only if the amendment or</w:t>
      </w:r>
      <w:r>
        <w:rPr>
          <w:rFonts w:ascii="Arial" w:cs="Arial" w:eastAsia="Arial" w:hAnsi="Arial"/>
          <w:sz w:val="17"/>
          <w:szCs w:val="17"/>
          <w:i w:val="1"/>
          <w:iCs w:val="1"/>
          <w:color w:val="auto"/>
        </w:rPr>
        <w:t xml:space="preserve"> </w:t>
      </w:r>
      <w:r>
        <w:rPr>
          <w:rFonts w:ascii="Arial" w:cs="Arial" w:eastAsia="Arial" w:hAnsi="Arial"/>
          <w:sz w:val="17"/>
          <w:szCs w:val="17"/>
          <w:color w:val="auto"/>
        </w:rPr>
        <w:t>waiver is in writing and signed, in the case of an amendment, by you and the Company or, in the case of a waiver, by the party that would have benefited from the provision waived. Except as this Agreement otherwise provides, no failure or delay by you or the Company to exercise any right or remedy under this Agreement will operate as a waiver, and no partial exercise of any right or remedy will preclude any further exercise.</w:t>
      </w:r>
    </w:p>
    <w:p>
      <w:pPr>
        <w:spacing w:after="0" w:line="157" w:lineRule="exact"/>
        <w:rPr>
          <w:rFonts w:ascii="Arial" w:cs="Arial" w:eastAsia="Arial" w:hAnsi="Arial"/>
          <w:sz w:val="17"/>
          <w:szCs w:val="17"/>
          <w:color w:val="auto"/>
        </w:rPr>
      </w:pPr>
    </w:p>
    <w:p>
      <w:pPr>
        <w:ind w:left="-1183" w:right="60" w:firstLine="1183"/>
        <w:spacing w:after="0" w:line="239" w:lineRule="auto"/>
        <w:tabs>
          <w:tab w:leader="none" w:pos="1384" w:val="left"/>
        </w:tabs>
        <w:numPr>
          <w:ilvl w:val="0"/>
          <w:numId w:val="253"/>
        </w:numPr>
        <w:rPr>
          <w:rFonts w:ascii="Arial" w:cs="Arial" w:eastAsia="Arial" w:hAnsi="Arial"/>
          <w:sz w:val="19"/>
          <w:szCs w:val="19"/>
          <w:color w:val="auto"/>
        </w:rPr>
      </w:pPr>
      <w:r>
        <w:rPr>
          <w:rFonts w:ascii="Arial" w:cs="Arial" w:eastAsia="Arial" w:hAnsi="Arial"/>
          <w:sz w:val="19"/>
          <w:szCs w:val="19"/>
          <w:i w:val="1"/>
          <w:iCs w:val="1"/>
          <w:color w:val="auto"/>
        </w:rPr>
        <w:t>Jurisdiction; Choice of Forum; Costs</w:t>
      </w:r>
      <w:r>
        <w:rPr>
          <w:rFonts w:ascii="Arial" w:cs="Arial" w:eastAsia="Arial" w:hAnsi="Arial"/>
          <w:sz w:val="19"/>
          <w:szCs w:val="19"/>
          <w:color w:val="auto"/>
        </w:rPr>
        <w:t>. You and the Company irrevocably submit to the exclusive</w:t>
      </w:r>
      <w:r>
        <w:rPr>
          <w:rFonts w:ascii="Arial" w:cs="Arial" w:eastAsia="Arial" w:hAnsi="Arial"/>
          <w:sz w:val="19"/>
          <w:szCs w:val="19"/>
          <w:i w:val="1"/>
          <w:iCs w:val="1"/>
          <w:color w:val="auto"/>
        </w:rPr>
        <w:t xml:space="preserve"> </w:t>
      </w:r>
      <w:r>
        <w:rPr>
          <w:rFonts w:ascii="Arial" w:cs="Arial" w:eastAsia="Arial" w:hAnsi="Arial"/>
          <w:sz w:val="19"/>
          <w:szCs w:val="19"/>
          <w:color w:val="auto"/>
        </w:rPr>
        <w:t>jurisdiction of any state or federal court located in the County of New York over any controversy or claim arising out of or relating to or concerning this Agreement or any aspect of your employment with the Company (together, an “</w:t>
      </w:r>
      <w:r>
        <w:rPr>
          <w:rFonts w:ascii="Arial" w:cs="Arial" w:eastAsia="Arial" w:hAnsi="Arial"/>
          <w:sz w:val="19"/>
          <w:szCs w:val="19"/>
          <w:i w:val="1"/>
          <w:iCs w:val="1"/>
          <w:color w:val="auto"/>
        </w:rPr>
        <w:t>Employment Matter</w:t>
      </w:r>
      <w:r>
        <w:rPr>
          <w:rFonts w:ascii="Arial" w:cs="Arial" w:eastAsia="Arial" w:hAnsi="Arial"/>
          <w:sz w:val="19"/>
          <w:szCs w:val="19"/>
          <w:color w:val="auto"/>
        </w:rPr>
        <w:t>”). Both you and the Company (1) acknowledge that the forum stated in this Section 9(h) has a reasonable relation to this Agreement and to the relationship between you and the Company and that the submission to the forum will apply even if the forum chooses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335280</wp:posOffset>
            </wp:positionV>
            <wp:extent cx="729043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37"/>
          </w:cols>
          <w:pgMar w:left="1423" w:top="118" w:right="239" w:bottom="1440" w:gutter="0" w:footer="0" w:header="0"/>
        </w:sectPr>
      </w:pPr>
    </w:p>
    <w:bookmarkStart w:id="293" w:name="page294"/>
    <w:bookmarkEnd w:id="293"/>
    <w:p>
      <w:pPr>
        <w:ind w:left="8380"/>
        <w:spacing w:after="0"/>
        <w:rPr>
          <w:sz w:val="20"/>
          <w:szCs w:val="20"/>
          <w:color w:val="auto"/>
        </w:rPr>
      </w:pPr>
      <w:r>
        <w:rPr>
          <w:rFonts w:ascii="Arial" w:cs="Arial" w:eastAsia="Arial" w:hAnsi="Arial"/>
          <w:sz w:val="19"/>
          <w:szCs w:val="19"/>
          <w:color w:val="auto"/>
        </w:rPr>
        <w:t>-10-</w:t>
      </w:r>
    </w:p>
    <w:p>
      <w:pPr>
        <w:spacing w:after="0" w:line="221" w:lineRule="exact"/>
        <w:rPr>
          <w:sz w:val="20"/>
          <w:szCs w:val="20"/>
          <w:color w:val="auto"/>
        </w:rPr>
      </w:pPr>
    </w:p>
    <w:p>
      <w:pPr>
        <w:ind w:right="260"/>
        <w:spacing w:after="0" w:line="238" w:lineRule="auto"/>
        <w:rPr>
          <w:sz w:val="20"/>
          <w:szCs w:val="20"/>
          <w:color w:val="auto"/>
        </w:rPr>
      </w:pPr>
      <w:r>
        <w:rPr>
          <w:rFonts w:ascii="Arial" w:cs="Arial" w:eastAsia="Arial" w:hAnsi="Arial"/>
          <w:sz w:val="19"/>
          <w:szCs w:val="19"/>
          <w:color w:val="auto"/>
        </w:rPr>
        <w:t>non-forum law, (2) waive, to the extent permitted by law, any objection to personal jurisdiction or to the laying of venue of any action or proceeding covered by this Section 9(h) in the forum stated in this Section, (3) agree not to commence any such action or proceeding in any forum other than the forum stated in this Section 9(h) , and (4)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9(h). To the extent permitted by law, the Company will pay or reimburse any reasonable expenses, including reasonable attorney’s fees, you incur as a result of any Employment Matter.</w:t>
      </w:r>
    </w:p>
    <w:p>
      <w:pPr>
        <w:spacing w:after="0" w:line="190" w:lineRule="exact"/>
        <w:rPr>
          <w:sz w:val="20"/>
          <w:szCs w:val="20"/>
          <w:color w:val="auto"/>
        </w:rPr>
      </w:pPr>
    </w:p>
    <w:p>
      <w:pPr>
        <w:ind w:right="300" w:firstLine="1183"/>
        <w:spacing w:after="0" w:line="256" w:lineRule="auto"/>
        <w:tabs>
          <w:tab w:leader="none" w:pos="2526" w:val="left"/>
        </w:tabs>
        <w:numPr>
          <w:ilvl w:val="0"/>
          <w:numId w:val="254"/>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This Agreement will be governed by and construed in accordance with the law of the State of New</w:t>
      </w:r>
      <w:r>
        <w:rPr>
          <w:rFonts w:ascii="Arial" w:cs="Arial" w:eastAsia="Arial" w:hAnsi="Arial"/>
          <w:sz w:val="19"/>
          <w:szCs w:val="19"/>
          <w:i w:val="1"/>
          <w:iCs w:val="1"/>
          <w:color w:val="auto"/>
        </w:rPr>
        <w:t xml:space="preserve"> </w:t>
      </w:r>
      <w:r>
        <w:rPr>
          <w:rFonts w:ascii="Arial" w:cs="Arial" w:eastAsia="Arial" w:hAnsi="Arial"/>
          <w:sz w:val="19"/>
          <w:szCs w:val="19"/>
          <w:color w:val="auto"/>
        </w:rPr>
        <w:t>York applicable to contracts made and to be performed entirely within that state.</w:t>
      </w:r>
    </w:p>
    <w:p>
      <w:pPr>
        <w:spacing w:after="0" w:line="173" w:lineRule="exact"/>
        <w:rPr>
          <w:rFonts w:ascii="Arial" w:cs="Arial" w:eastAsia="Arial" w:hAnsi="Arial"/>
          <w:sz w:val="19"/>
          <w:szCs w:val="19"/>
          <w:color w:val="auto"/>
        </w:rPr>
      </w:pPr>
    </w:p>
    <w:p>
      <w:pPr>
        <w:ind w:right="340" w:firstLine="1183"/>
        <w:spacing w:after="0" w:line="256" w:lineRule="auto"/>
        <w:tabs>
          <w:tab w:leader="none" w:pos="2526" w:val="left"/>
        </w:tabs>
        <w:numPr>
          <w:ilvl w:val="0"/>
          <w:numId w:val="254"/>
        </w:numPr>
        <w:rPr>
          <w:rFonts w:ascii="Arial" w:cs="Arial" w:eastAsia="Arial" w:hAnsi="Arial"/>
          <w:sz w:val="19"/>
          <w:szCs w:val="19"/>
          <w:color w:val="auto"/>
        </w:rPr>
      </w:pPr>
      <w:r>
        <w:rPr>
          <w:rFonts w:ascii="Arial" w:cs="Arial" w:eastAsia="Arial" w:hAnsi="Arial"/>
          <w:sz w:val="19"/>
          <w:szCs w:val="19"/>
          <w:i w:val="1"/>
          <w:iCs w:val="1"/>
          <w:color w:val="auto"/>
        </w:rPr>
        <w:t>Counterparts</w:t>
      </w:r>
      <w:r>
        <w:rPr>
          <w:rFonts w:ascii="Arial" w:cs="Arial" w:eastAsia="Arial" w:hAnsi="Arial"/>
          <w:sz w:val="19"/>
          <w:szCs w:val="19"/>
          <w:color w:val="auto"/>
        </w:rPr>
        <w:t>. This Agreement may be executed in counterparts, each of which will constitute an original and all of</w:t>
      </w:r>
      <w:r>
        <w:rPr>
          <w:rFonts w:ascii="Arial" w:cs="Arial" w:eastAsia="Arial" w:hAnsi="Arial"/>
          <w:sz w:val="19"/>
          <w:szCs w:val="19"/>
          <w:i w:val="1"/>
          <w:iCs w:val="1"/>
          <w:color w:val="auto"/>
        </w:rPr>
        <w:t xml:space="preserve"> </w:t>
      </w:r>
      <w:r>
        <w:rPr>
          <w:rFonts w:ascii="Arial" w:cs="Arial" w:eastAsia="Arial" w:hAnsi="Arial"/>
          <w:sz w:val="19"/>
          <w:szCs w:val="19"/>
          <w:color w:val="auto"/>
        </w:rPr>
        <w:t>which, when taken together, will constitute one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40"/>
        <w:spacing w:after="0"/>
        <w:rPr>
          <w:sz w:val="20"/>
          <w:szCs w:val="20"/>
          <w:color w:val="auto"/>
        </w:rPr>
      </w:pPr>
      <w:r>
        <w:rPr>
          <w:rFonts w:ascii="Arial" w:cs="Arial" w:eastAsia="Arial" w:hAnsi="Arial"/>
          <w:sz w:val="19"/>
          <w:szCs w:val="19"/>
          <w:b w:val="1"/>
          <w:bCs w:val="1"/>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5740" w:type="dxa"/>
        <w:tblCellMar>
          <w:top w:w="0" w:type="dxa"/>
          <w:left w:w="0" w:type="dxa"/>
          <w:bottom w:w="0" w:type="dxa"/>
          <w:right w:w="0" w:type="dxa"/>
        </w:tblCellMar>
      </w:tblPr>
      <w:tr>
        <w:trPr>
          <w:trHeight w:val="236"/>
        </w:trPr>
        <w:tc>
          <w:tcPr>
            <w:tcW w:w="880" w:type="dxa"/>
            <w:vAlign w:val="bottom"/>
          </w:tcPr>
          <w:p>
            <w:pPr>
              <w:spacing w:after="0"/>
              <w:rPr>
                <w:sz w:val="20"/>
                <w:szCs w:val="20"/>
                <w:color w:val="auto"/>
              </w:rPr>
            </w:pPr>
            <w:r>
              <w:rPr>
                <w:rFonts w:ascii="Arial" w:cs="Arial" w:eastAsia="Arial" w:hAnsi="Arial"/>
                <w:sz w:val="19"/>
                <w:szCs w:val="19"/>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Jeffrey J. Clarke</w:t>
            </w:r>
          </w:p>
        </w:tc>
      </w:tr>
      <w:tr>
        <w:trPr>
          <w:trHeight w:val="198"/>
        </w:trPr>
        <w:tc>
          <w:tcPr>
            <w:tcW w:w="880" w:type="dxa"/>
            <w:vAlign w:val="bottom"/>
          </w:tcPr>
          <w:p>
            <w:pPr>
              <w:spacing w:after="0"/>
              <w:rPr>
                <w:sz w:val="17"/>
                <w:szCs w:val="17"/>
                <w:color w:val="auto"/>
              </w:rPr>
            </w:pPr>
          </w:p>
        </w:tc>
        <w:tc>
          <w:tcPr>
            <w:tcW w:w="700" w:type="dxa"/>
            <w:vAlign w:val="bottom"/>
          </w:tcPr>
          <w:p>
            <w:pPr>
              <w:spacing w:after="0" w:line="198" w:lineRule="exact"/>
              <w:rPr>
                <w:sz w:val="20"/>
                <w:szCs w:val="20"/>
                <w:color w:val="auto"/>
              </w:rPr>
            </w:pPr>
            <w:r>
              <w:rPr>
                <w:rFonts w:ascii="Arial" w:cs="Arial" w:eastAsia="Arial" w:hAnsi="Arial"/>
                <w:sz w:val="19"/>
                <w:szCs w:val="19"/>
                <w:color w:val="auto"/>
              </w:rPr>
              <w:t>Name</w:t>
            </w:r>
          </w:p>
        </w:tc>
        <w:tc>
          <w:tcPr>
            <w:tcW w:w="4200" w:type="dxa"/>
            <w:vAlign w:val="bottom"/>
          </w:tcPr>
          <w:p>
            <w:pPr>
              <w:ind w:left="260"/>
              <w:spacing w:after="0" w:line="198" w:lineRule="exact"/>
              <w:rPr>
                <w:sz w:val="20"/>
                <w:szCs w:val="20"/>
                <w:color w:val="auto"/>
              </w:rPr>
            </w:pPr>
            <w:r>
              <w:rPr>
                <w:rFonts w:ascii="Arial" w:cs="Arial" w:eastAsia="Arial" w:hAnsi="Arial"/>
                <w:sz w:val="19"/>
                <w:szCs w:val="19"/>
                <w:color w:val="auto"/>
              </w:rPr>
              <w:t>Jeffrey J. Clarke</w:t>
            </w:r>
          </w:p>
        </w:tc>
      </w:tr>
      <w:tr>
        <w:trPr>
          <w:trHeight w:val="238"/>
        </w:trPr>
        <w:tc>
          <w:tcPr>
            <w:tcW w:w="8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9"/>
                <w:szCs w:val="19"/>
                <w:color w:val="auto"/>
              </w:rPr>
              <w:t>Title</w:t>
            </w:r>
          </w:p>
        </w:tc>
        <w:tc>
          <w:tcPr>
            <w:tcW w:w="4200" w:type="dxa"/>
            <w:vAlign w:val="bottom"/>
          </w:tcPr>
          <w:p>
            <w:pPr>
              <w:ind w:left="260"/>
              <w:spacing w:after="0"/>
              <w:rPr>
                <w:sz w:val="20"/>
                <w:szCs w:val="20"/>
                <w:color w:val="auto"/>
              </w:rPr>
            </w:pPr>
            <w:r>
              <w:rPr>
                <w:rFonts w:ascii="Arial" w:cs="Arial" w:eastAsia="Arial" w:hAnsi="Arial"/>
                <w:sz w:val="19"/>
                <w:szCs w:val="19"/>
                <w:color w:val="auto"/>
              </w:rPr>
              <w:t>Chief Executive Officer</w:t>
            </w:r>
          </w:p>
        </w:tc>
      </w:tr>
    </w:tbl>
    <w:p>
      <w:pPr>
        <w:spacing w:after="0" w:line="200" w:lineRule="exact"/>
        <w:rPr>
          <w:sz w:val="20"/>
          <w:szCs w:val="20"/>
          <w:color w:val="auto"/>
        </w:rPr>
      </w:pP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9"/>
          <w:szCs w:val="19"/>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10795</wp:posOffset>
            </wp:positionV>
            <wp:extent cx="26924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9"/>
          <w:szCs w:val="19"/>
          <w:color w:val="auto"/>
        </w:rPr>
        <w:t>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617220</wp:posOffset>
            </wp:positionV>
            <wp:extent cx="729043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9"/>
          <w:szCs w:val="19"/>
          <w:color w:val="auto"/>
        </w:rPr>
        <w:t>Exhibit 10.3</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80" w:type="dxa"/>
            <w:vAlign w:val="bottom"/>
            <w:gridSpan w:val="4"/>
          </w:tcPr>
          <w:p>
            <w:pPr>
              <w:jc w:val="center"/>
              <w:ind w:right="1740"/>
              <w:spacing w:after="0"/>
              <w:rPr>
                <w:sz w:val="20"/>
                <w:szCs w:val="20"/>
                <w:color w:val="auto"/>
              </w:rPr>
            </w:pPr>
            <w:r>
              <w:rPr>
                <w:rFonts w:ascii="Arial" w:cs="Arial" w:eastAsia="Arial" w:hAnsi="Arial"/>
                <w:sz w:val="19"/>
                <w:szCs w:val="19"/>
                <w:b w:val="1"/>
                <w:bCs w:val="1"/>
                <w:color w:val="auto"/>
              </w:rPr>
              <w:t>D</w:t>
            </w:r>
            <w:r>
              <w:rPr>
                <w:rFonts w:ascii="Arial" w:cs="Arial" w:eastAsia="Arial" w:hAnsi="Arial"/>
                <w:sz w:val="13"/>
                <w:szCs w:val="13"/>
                <w:b w:val="1"/>
                <w:bCs w:val="1"/>
                <w:color w:val="auto"/>
              </w:rPr>
              <w:t>AVID E BULLWINKLE</w:t>
            </w:r>
          </w:p>
        </w:tc>
        <w:tc>
          <w:tcPr>
            <w:tcW w:w="0" w:type="dxa"/>
            <w:vAlign w:val="bottom"/>
          </w:tcPr>
          <w:p>
            <w:pPr>
              <w:spacing w:after="0"/>
              <w:rPr>
                <w:sz w:val="1"/>
                <w:szCs w:val="1"/>
                <w:color w:val="auto"/>
              </w:rPr>
            </w:pPr>
          </w:p>
        </w:tc>
      </w:tr>
      <w:tr>
        <w:trPr>
          <w:trHeight w:val="242"/>
        </w:trPr>
        <w:tc>
          <w:tcPr>
            <w:tcW w:w="1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20" w:type="dxa"/>
            <w:vAlign w:val="bottom"/>
            <w:gridSpan w:val="6"/>
          </w:tcPr>
          <w:p>
            <w:pPr>
              <w:jc w:val="center"/>
              <w:ind w:right="720"/>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3"/>
                <w:szCs w:val="13"/>
                <w:b w:val="1"/>
                <w:bCs w:val="1"/>
                <w:color w:val="auto"/>
              </w:rPr>
              <w:t>MPLOYMENT</w:t>
            </w:r>
            <w:r>
              <w:rPr>
                <w:rFonts w:ascii="Arial" w:cs="Arial" w:eastAsia="Arial" w:hAnsi="Arial"/>
                <w:sz w:val="19"/>
                <w:szCs w:val="19"/>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ERMS</w:t>
            </w:r>
            <w:r>
              <w:rPr>
                <w:rFonts w:ascii="Arial" w:cs="Arial" w:eastAsia="Arial" w:hAnsi="Arial"/>
                <w:sz w:val="19"/>
                <w:szCs w:val="19"/>
                <w:b w:val="1"/>
                <w:bCs w:val="1"/>
                <w:color w:val="auto"/>
              </w:rPr>
              <w:t xml:space="preserve"> S</w:t>
            </w:r>
            <w:r>
              <w:rPr>
                <w:rFonts w:ascii="Arial" w:cs="Arial" w:eastAsia="Arial" w:hAnsi="Arial"/>
                <w:sz w:val="13"/>
                <w:szCs w:val="13"/>
                <w:b w:val="1"/>
                <w:bCs w:val="1"/>
                <w:color w:val="auto"/>
              </w:rPr>
              <w:t>CHEDULE</w:t>
            </w:r>
          </w:p>
        </w:tc>
        <w:tc>
          <w:tcPr>
            <w:tcW w:w="0" w:type="dxa"/>
            <w:vAlign w:val="bottom"/>
          </w:tcPr>
          <w:p>
            <w:pPr>
              <w:spacing w:after="0"/>
              <w:rPr>
                <w:sz w:val="1"/>
                <w:szCs w:val="1"/>
                <w:color w:val="auto"/>
              </w:rPr>
            </w:pPr>
          </w:p>
        </w:tc>
      </w:tr>
      <w:tr>
        <w:trPr>
          <w:trHeight w:val="224"/>
        </w:trPr>
        <w:tc>
          <w:tcPr>
            <w:tcW w:w="1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840" w:type="dxa"/>
            <w:vAlign w:val="bottom"/>
            <w:tcBorders>
              <w:bottom w:val="single" w:sz="8" w:color="auto"/>
              <w:right w:val="single" w:sz="8" w:color="auto"/>
            </w:tcBorders>
          </w:tcPr>
          <w:p>
            <w:pPr>
              <w:spacing w:after="0"/>
              <w:rPr>
                <w:sz w:val="17"/>
                <w:szCs w:val="17"/>
                <w:color w:val="auto"/>
              </w:rPr>
            </w:pPr>
          </w:p>
        </w:tc>
        <w:tc>
          <w:tcPr>
            <w:tcW w:w="7040" w:type="dxa"/>
            <w:vAlign w:val="bottom"/>
            <w:tcBorders>
              <w:bottom w:val="single" w:sz="8" w:color="auto"/>
              <w:right w:val="single" w:sz="8" w:color="auto"/>
            </w:tcBorders>
            <w:gridSpan w:val="8"/>
          </w:tcPr>
          <w:p>
            <w:pPr>
              <w:spacing w:after="0" w:line="207" w:lineRule="exact"/>
              <w:rPr>
                <w:sz w:val="20"/>
                <w:szCs w:val="20"/>
                <w:color w:val="auto"/>
              </w:rPr>
            </w:pPr>
            <w:r>
              <w:rPr>
                <w:rFonts w:ascii="Arial" w:cs="Arial" w:eastAsia="Arial" w:hAnsi="Arial"/>
                <w:sz w:val="19"/>
                <w:szCs w:val="19"/>
                <w:color w:val="auto"/>
              </w:rPr>
              <w:t>Chief Financial Officer and Senior Vice President, Eastman Kodak Company</w:t>
            </w:r>
          </w:p>
        </w:tc>
        <w:tc>
          <w:tcPr>
            <w:tcW w:w="0" w:type="dxa"/>
            <w:vAlign w:val="bottom"/>
          </w:tcPr>
          <w:p>
            <w:pPr>
              <w:spacing w:after="0"/>
              <w:rPr>
                <w:sz w:val="1"/>
                <w:szCs w:val="1"/>
                <w:color w:val="auto"/>
              </w:rPr>
            </w:pPr>
          </w:p>
        </w:tc>
      </w:tr>
      <w:tr>
        <w:trPr>
          <w:trHeight w:val="167"/>
        </w:trPr>
        <w:tc>
          <w:tcPr>
            <w:tcW w:w="1840" w:type="dxa"/>
            <w:vAlign w:val="bottom"/>
            <w:tcBorders>
              <w:right w:val="single" w:sz="8" w:color="auto"/>
            </w:tcBorders>
          </w:tcPr>
          <w:p>
            <w:pPr>
              <w:spacing w:after="0" w:line="167" w:lineRule="exact"/>
              <w:rPr>
                <w:sz w:val="20"/>
                <w:szCs w:val="20"/>
                <w:color w:val="auto"/>
              </w:rPr>
            </w:pPr>
            <w:r>
              <w:rPr>
                <w:rFonts w:ascii="Arial" w:cs="Arial" w:eastAsia="Arial" w:hAnsi="Arial"/>
                <w:sz w:val="19"/>
                <w:szCs w:val="19"/>
                <w:i w:val="1"/>
                <w:iCs w:val="1"/>
                <w:color w:val="auto"/>
              </w:rPr>
              <w:t>y</w:t>
            </w:r>
          </w:p>
        </w:tc>
        <w:tc>
          <w:tcPr>
            <w:tcW w:w="700" w:type="dxa"/>
            <w:vAlign w:val="bottom"/>
            <w:tcBorders>
              <w:bottom w:val="single" w:sz="8" w:color="auto"/>
            </w:tcBorders>
          </w:tcPr>
          <w:p>
            <w:pPr>
              <w:spacing w:after="0" w:line="167" w:lineRule="exact"/>
              <w:rPr>
                <w:sz w:val="20"/>
                <w:szCs w:val="20"/>
                <w:color w:val="auto"/>
              </w:rPr>
            </w:pPr>
            <w:r>
              <w:rPr>
                <w:rFonts w:ascii="Arial" w:cs="Arial" w:eastAsia="Arial" w:hAnsi="Arial"/>
                <w:sz w:val="19"/>
                <w:szCs w:val="19"/>
                <w:b w:val="1"/>
                <w:bCs w:val="1"/>
                <w:u w:val="single" w:color="auto"/>
                <w:color w:val="auto"/>
                <w:w w:val="85"/>
              </w:rPr>
              <w:t>$</w:t>
            </w:r>
            <w:r>
              <w:rPr>
                <w:rFonts w:ascii="Arial" w:cs="Arial" w:eastAsia="Arial" w:hAnsi="Arial"/>
                <w:sz w:val="19"/>
                <w:szCs w:val="19"/>
                <w:b w:val="1"/>
                <w:bCs w:val="1"/>
                <w:color w:val="auto"/>
                <w:w w:val="85"/>
              </w:rPr>
              <w:t>400,000</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840" w:type="dxa"/>
            <w:vAlign w:val="bottom"/>
            <w:tcBorders>
              <w:right w:val="single" w:sz="8" w:color="auto"/>
            </w:tcBorders>
          </w:tcPr>
          <w:p>
            <w:pPr>
              <w:spacing w:after="0" w:line="167" w:lineRule="exact"/>
              <w:rPr>
                <w:sz w:val="20"/>
                <w:szCs w:val="20"/>
                <w:color w:val="auto"/>
              </w:rPr>
            </w:pPr>
            <w:r>
              <w:rPr>
                <w:rFonts w:ascii="Arial" w:cs="Arial" w:eastAsia="Arial" w:hAnsi="Arial"/>
                <w:sz w:val="19"/>
                <w:szCs w:val="19"/>
                <w:i w:val="1"/>
                <w:iCs w:val="1"/>
                <w:color w:val="auto"/>
              </w:rPr>
              <w:t>sh Performance</w:t>
            </w:r>
          </w:p>
        </w:tc>
        <w:tc>
          <w:tcPr>
            <w:tcW w:w="7040" w:type="dxa"/>
            <w:vAlign w:val="bottom"/>
            <w:tcBorders>
              <w:right w:val="single" w:sz="8" w:color="auto"/>
            </w:tcBorders>
            <w:gridSpan w:val="8"/>
          </w:tcPr>
          <w:p>
            <w:pPr>
              <w:spacing w:after="0" w:line="167" w:lineRule="exact"/>
              <w:rPr>
                <w:sz w:val="20"/>
                <w:szCs w:val="20"/>
                <w:color w:val="auto"/>
              </w:rPr>
            </w:pPr>
            <w:r>
              <w:rPr>
                <w:rFonts w:ascii="Arial" w:cs="Arial" w:eastAsia="Arial" w:hAnsi="Arial"/>
                <w:sz w:val="19"/>
                <w:szCs w:val="19"/>
                <w:color w:val="auto"/>
              </w:rPr>
              <w:t xml:space="preserve">The target level for your Annual Incentive will be </w:t>
            </w:r>
            <w:r>
              <w:rPr>
                <w:rFonts w:ascii="Arial" w:cs="Arial" w:eastAsia="Arial" w:hAnsi="Arial"/>
                <w:sz w:val="19"/>
                <w:szCs w:val="19"/>
                <w:b w:val="1"/>
                <w:bCs w:val="1"/>
                <w:color w:val="auto"/>
              </w:rPr>
              <w:t>65%</w:t>
            </w:r>
            <w:r>
              <w:rPr>
                <w:rFonts w:ascii="Arial" w:cs="Arial" w:eastAsia="Arial" w:hAnsi="Arial"/>
                <w:sz w:val="19"/>
                <w:szCs w:val="19"/>
                <w:color w:val="auto"/>
              </w:rPr>
              <w:t xml:space="preserve"> of your Base Salary.</w:t>
            </w:r>
          </w:p>
        </w:tc>
        <w:tc>
          <w:tcPr>
            <w:tcW w:w="0" w:type="dxa"/>
            <w:vAlign w:val="bottom"/>
          </w:tcPr>
          <w:p>
            <w:pPr>
              <w:spacing w:after="0"/>
              <w:rPr>
                <w:sz w:val="1"/>
                <w:szCs w:val="1"/>
                <w:color w:val="auto"/>
              </w:rPr>
            </w:pPr>
          </w:p>
        </w:tc>
      </w:tr>
      <w:tr>
        <w:trPr>
          <w:trHeight w:val="211"/>
        </w:trPr>
        <w:tc>
          <w:tcPr>
            <w:tcW w:w="1840" w:type="dxa"/>
            <w:vAlign w:val="bottom"/>
            <w:tcBorders>
              <w:right w:val="single" w:sz="8" w:color="auto"/>
            </w:tcBorders>
          </w:tcPr>
          <w:p>
            <w:pPr>
              <w:spacing w:after="0" w:line="211" w:lineRule="exact"/>
              <w:rPr>
                <w:sz w:val="20"/>
                <w:szCs w:val="20"/>
                <w:color w:val="auto"/>
              </w:rPr>
            </w:pPr>
            <w:r>
              <w:rPr>
                <w:rFonts w:ascii="Arial" w:cs="Arial" w:eastAsia="Arial" w:hAnsi="Arial"/>
                <w:sz w:val="19"/>
                <w:szCs w:val="19"/>
                <w:i w:val="1"/>
                <w:iCs w:val="1"/>
                <w:color w:val="auto"/>
              </w:rPr>
              <w:t>nder Company’s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tcBorders>
              <w:right w:val="single" w:sz="8" w:color="auto"/>
            </w:tcBorders>
          </w:tcPr>
          <w:p>
            <w:pPr>
              <w:spacing w:after="0" w:line="214" w:lineRule="exact"/>
              <w:rPr>
                <w:sz w:val="20"/>
                <w:szCs w:val="20"/>
                <w:color w:val="auto"/>
              </w:rPr>
            </w:pPr>
            <w:r>
              <w:rPr>
                <w:rFonts w:ascii="Arial" w:cs="Arial" w:eastAsia="Arial" w:hAnsi="Arial"/>
                <w:sz w:val="19"/>
                <w:szCs w:val="19"/>
                <w:i w:val="1"/>
                <w:iCs w:val="1"/>
                <w:color w:val="auto"/>
              </w:rPr>
              <w:t>Compensation for</w:t>
            </w:r>
          </w:p>
        </w:tc>
        <w:tc>
          <w:tcPr>
            <w:tcW w:w="7040" w:type="dxa"/>
            <w:vAlign w:val="bottom"/>
            <w:tcBorders>
              <w:right w:val="single" w:sz="8" w:color="auto"/>
            </w:tcBorders>
            <w:gridSpan w:val="8"/>
          </w:tcPr>
          <w:p>
            <w:pPr>
              <w:spacing w:after="0" w:line="214" w:lineRule="exact"/>
              <w:rPr>
                <w:sz w:val="20"/>
                <w:szCs w:val="20"/>
                <w:color w:val="auto"/>
              </w:rPr>
            </w:pPr>
            <w:r>
              <w:rPr>
                <w:rFonts w:ascii="Arial" w:cs="Arial" w:eastAsia="Arial" w:hAnsi="Arial"/>
                <w:sz w:val="19"/>
                <w:szCs w:val="19"/>
                <w:color w:val="auto"/>
              </w:rPr>
              <w:t>The maximum payout under the EXCEL Plan is 200%.</w:t>
            </w:r>
          </w:p>
        </w:tc>
        <w:tc>
          <w:tcPr>
            <w:tcW w:w="0" w:type="dxa"/>
            <w:vAlign w:val="bottom"/>
          </w:tcPr>
          <w:p>
            <w:pPr>
              <w:spacing w:after="0"/>
              <w:rPr>
                <w:sz w:val="1"/>
                <w:szCs w:val="1"/>
                <w:color w:val="auto"/>
              </w:rPr>
            </w:pPr>
          </w:p>
        </w:tc>
      </w:tr>
      <w:tr>
        <w:trPr>
          <w:trHeight w:val="227"/>
        </w:trPr>
        <w:tc>
          <w:tcPr>
            <w:tcW w:w="1840" w:type="dxa"/>
            <w:vAlign w:val="bottom"/>
            <w:tcBorders>
              <w:right w:val="single" w:sz="8" w:color="auto"/>
            </w:tcBorders>
          </w:tcPr>
          <w:p>
            <w:pPr>
              <w:ind w:left="40"/>
              <w:spacing w:after="0"/>
              <w:rPr>
                <w:sz w:val="20"/>
                <w:szCs w:val="20"/>
                <w:color w:val="auto"/>
              </w:rPr>
            </w:pPr>
            <w:r>
              <w:rPr>
                <w:rFonts w:ascii="Arial" w:cs="Arial" w:eastAsia="Arial" w:hAnsi="Arial"/>
                <w:sz w:val="19"/>
                <w:szCs w:val="19"/>
                <w:i w:val="1"/>
                <w:iCs w:val="1"/>
                <w:color w:val="auto"/>
              </w:rPr>
              <w:t>and Leadership</w:t>
            </w: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840" w:type="dxa"/>
            <w:vAlign w:val="bottom"/>
            <w:tcBorders>
              <w:right w:val="single" w:sz="8" w:color="auto"/>
            </w:tcBorders>
          </w:tcPr>
          <w:p>
            <w:pPr>
              <w:ind w:left="280"/>
              <w:spacing w:after="0" w:line="155" w:lineRule="exact"/>
              <w:rPr>
                <w:sz w:val="20"/>
                <w:szCs w:val="20"/>
                <w:color w:val="auto"/>
              </w:rPr>
            </w:pPr>
            <w:r>
              <w:rPr>
                <w:rFonts w:ascii="Arial" w:cs="Arial" w:eastAsia="Arial" w:hAnsi="Arial"/>
                <w:sz w:val="16"/>
                <w:szCs w:val="16"/>
                <w:i w:val="1"/>
                <w:iCs w:val="1"/>
                <w:color w:val="auto"/>
              </w:rPr>
              <w:t>1</w:t>
            </w:r>
          </w:p>
        </w:tc>
        <w:tc>
          <w:tcPr>
            <w:tcW w:w="7040" w:type="dxa"/>
            <w:vAlign w:val="bottom"/>
            <w:tcBorders>
              <w:right w:val="single" w:sz="8" w:color="auto"/>
            </w:tcBorders>
            <w:gridSpan w:val="8"/>
            <w:vMerge w:val="restart"/>
          </w:tcPr>
          <w:p>
            <w:pPr>
              <w:spacing w:after="0" w:line="209" w:lineRule="exact"/>
              <w:rPr>
                <w:sz w:val="20"/>
                <w:szCs w:val="20"/>
                <w:color w:val="auto"/>
              </w:rPr>
            </w:pPr>
            <w:r>
              <w:rPr>
                <w:rFonts w:ascii="Arial" w:cs="Arial" w:eastAsia="Arial" w:hAnsi="Arial"/>
                <w:sz w:val="19"/>
                <w:szCs w:val="19"/>
                <w:color w:val="auto"/>
              </w:rPr>
              <w:t xml:space="preserve">Total Target Cash Compensation is </w:t>
            </w:r>
            <w:r>
              <w:rPr>
                <w:rFonts w:ascii="Arial" w:cs="Arial" w:eastAsia="Arial" w:hAnsi="Arial"/>
                <w:sz w:val="19"/>
                <w:szCs w:val="19"/>
                <w:b w:val="1"/>
                <w:bCs w:val="1"/>
                <w:u w:val="single" w:color="auto"/>
                <w:color w:val="auto"/>
              </w:rPr>
              <w:t>$</w:t>
            </w:r>
            <w:r>
              <w:rPr>
                <w:rFonts w:ascii="Arial" w:cs="Arial" w:eastAsia="Arial" w:hAnsi="Arial"/>
                <w:sz w:val="19"/>
                <w:szCs w:val="19"/>
                <w:b w:val="1"/>
                <w:bCs w:val="1"/>
                <w:color w:val="auto"/>
              </w:rPr>
              <w:t>660,000</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53"/>
        </w:trPr>
        <w:tc>
          <w:tcPr>
            <w:tcW w:w="1840" w:type="dxa"/>
            <w:vAlign w:val="bottom"/>
            <w:tcBorders>
              <w:right w:val="single" w:sz="8" w:color="auto"/>
            </w:tcBorders>
          </w:tcPr>
          <w:p>
            <w:pPr>
              <w:ind w:left="40"/>
              <w:spacing w:after="0" w:line="54" w:lineRule="exact"/>
              <w:rPr>
                <w:sz w:val="20"/>
                <w:szCs w:val="20"/>
                <w:color w:val="auto"/>
              </w:rPr>
            </w:pPr>
            <w:r>
              <w:rPr>
                <w:rFonts w:ascii="Arial" w:cs="Arial" w:eastAsia="Arial" w:hAnsi="Arial"/>
                <w:sz w:val="6"/>
                <w:szCs w:val="6"/>
                <w:i w:val="1"/>
                <w:iCs w:val="1"/>
                <w:color w:val="auto"/>
              </w:rPr>
              <w:t>lan</w:t>
            </w:r>
          </w:p>
        </w:tc>
        <w:tc>
          <w:tcPr>
            <w:tcW w:w="7040" w:type="dxa"/>
            <w:vAlign w:val="bottom"/>
            <w:tcBorders>
              <w:right w:val="single" w:sz="8" w:color="auto"/>
            </w:tcBorders>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8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4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9"/>
                <w:szCs w:val="19"/>
                <w:i w:val="1"/>
                <w:iCs w:val="1"/>
                <w:color w:val="auto"/>
              </w:rPr>
              <w:t>Incentive</w:t>
            </w:r>
          </w:p>
        </w:tc>
        <w:tc>
          <w:tcPr>
            <w:tcW w:w="7040" w:type="dxa"/>
            <w:vAlign w:val="bottom"/>
            <w:tcBorders>
              <w:right w:val="single" w:sz="8" w:color="auto"/>
            </w:tcBorders>
            <w:gridSpan w:val="8"/>
          </w:tcPr>
          <w:p>
            <w:pPr>
              <w:spacing w:after="0" w:line="184" w:lineRule="exact"/>
              <w:rPr>
                <w:sz w:val="20"/>
                <w:szCs w:val="20"/>
                <w:color w:val="auto"/>
              </w:rPr>
            </w:pPr>
            <w:r>
              <w:rPr>
                <w:rFonts w:ascii="Arial" w:cs="Arial" w:eastAsia="Arial" w:hAnsi="Arial"/>
                <w:sz w:val="19"/>
                <w:szCs w:val="19"/>
                <w:color w:val="auto"/>
                <w:w w:val="89"/>
              </w:rPr>
              <w:t>Annual equity grants are determined by the Executive Compensation Committee each year at</w:t>
            </w:r>
          </w:p>
        </w:tc>
        <w:tc>
          <w:tcPr>
            <w:tcW w:w="0" w:type="dxa"/>
            <w:vAlign w:val="bottom"/>
          </w:tcPr>
          <w:p>
            <w:pPr>
              <w:spacing w:after="0"/>
              <w:rPr>
                <w:sz w:val="1"/>
                <w:szCs w:val="1"/>
                <w:color w:val="auto"/>
              </w:rPr>
            </w:pPr>
          </w:p>
        </w:tc>
      </w:tr>
      <w:tr>
        <w:trPr>
          <w:trHeight w:val="236"/>
        </w:trPr>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i w:val="1"/>
                <w:iCs w:val="1"/>
                <w:color w:val="auto"/>
              </w:rPr>
              <w:t>ion</w:t>
            </w:r>
          </w:p>
        </w:tc>
        <w:tc>
          <w:tcPr>
            <w:tcW w:w="704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9"/>
                <w:szCs w:val="19"/>
                <w:color w:val="auto"/>
              </w:rPr>
              <w:t>its discretion.</w:t>
            </w:r>
          </w:p>
        </w:tc>
        <w:tc>
          <w:tcPr>
            <w:tcW w:w="0" w:type="dxa"/>
            <w:vAlign w:val="bottom"/>
          </w:tcPr>
          <w:p>
            <w:pPr>
              <w:spacing w:after="0"/>
              <w:rPr>
                <w:sz w:val="1"/>
                <w:szCs w:val="1"/>
                <w:color w:val="auto"/>
              </w:rPr>
            </w:pPr>
          </w:p>
        </w:tc>
      </w:tr>
      <w:tr>
        <w:trPr>
          <w:trHeight w:val="167"/>
        </w:trPr>
        <w:tc>
          <w:tcPr>
            <w:tcW w:w="18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9"/>
                <w:szCs w:val="19"/>
                <w:i w:val="1"/>
                <w:iCs w:val="1"/>
                <w:color w:val="auto"/>
              </w:rPr>
              <w:t>Equity Grant</w:t>
            </w:r>
          </w:p>
        </w:tc>
        <w:tc>
          <w:tcPr>
            <w:tcW w:w="7040" w:type="dxa"/>
            <w:vAlign w:val="bottom"/>
            <w:tcBorders>
              <w:right w:val="single" w:sz="8" w:color="auto"/>
            </w:tcBorders>
            <w:gridSpan w:val="8"/>
          </w:tcPr>
          <w:p>
            <w:pPr>
              <w:spacing w:after="0" w:line="167" w:lineRule="exact"/>
              <w:rPr>
                <w:sz w:val="20"/>
                <w:szCs w:val="20"/>
                <w:color w:val="auto"/>
              </w:rPr>
            </w:pPr>
            <w:r>
              <w:rPr>
                <w:rFonts w:ascii="Arial" w:cs="Arial" w:eastAsia="Arial" w:hAnsi="Arial"/>
                <w:sz w:val="19"/>
                <w:szCs w:val="19"/>
                <w:color w:val="auto"/>
              </w:rPr>
              <w:t xml:space="preserve">Target Award Value: </w:t>
            </w:r>
            <w:r>
              <w:rPr>
                <w:rFonts w:ascii="Arial" w:cs="Arial" w:eastAsia="Arial" w:hAnsi="Arial"/>
                <w:sz w:val="19"/>
                <w:szCs w:val="19"/>
                <w:b w:val="1"/>
                <w:bCs w:val="1"/>
                <w:u w:val="single" w:color="auto"/>
                <w:color w:val="auto"/>
              </w:rPr>
              <w:t>$</w:t>
            </w:r>
            <w:r>
              <w:rPr>
                <w:rFonts w:ascii="Arial" w:cs="Arial" w:eastAsia="Arial" w:hAnsi="Arial"/>
                <w:sz w:val="19"/>
                <w:szCs w:val="19"/>
                <w:b w:val="1"/>
                <w:bCs w:val="1"/>
                <w:color w:val="auto"/>
              </w:rPr>
              <w:t>600,000</w:t>
            </w:r>
          </w:p>
        </w:tc>
        <w:tc>
          <w:tcPr>
            <w:tcW w:w="0" w:type="dxa"/>
            <w:vAlign w:val="bottom"/>
          </w:tcPr>
          <w:p>
            <w:pPr>
              <w:spacing w:after="0"/>
              <w:rPr>
                <w:sz w:val="1"/>
                <w:szCs w:val="1"/>
                <w:color w:val="auto"/>
              </w:rPr>
            </w:pPr>
          </w:p>
        </w:tc>
      </w:tr>
      <w:tr>
        <w:trPr>
          <w:trHeight w:val="20"/>
        </w:trPr>
        <w:tc>
          <w:tcPr>
            <w:tcW w:w="1840" w:type="dxa"/>
            <w:vAlign w:val="bottom"/>
            <w:tcBorders>
              <w:right w:val="single" w:sz="8" w:color="auto"/>
            </w:tcBorders>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84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gridSpan w:val="8"/>
          </w:tcPr>
          <w:p>
            <w:pPr>
              <w:spacing w:after="0"/>
              <w:rPr>
                <w:sz w:val="20"/>
                <w:szCs w:val="20"/>
                <w:color w:val="auto"/>
              </w:rPr>
            </w:pPr>
            <w:r>
              <w:rPr>
                <w:rFonts w:ascii="Arial" w:cs="Arial" w:eastAsia="Arial" w:hAnsi="Arial"/>
                <w:sz w:val="19"/>
                <w:szCs w:val="19"/>
                <w:color w:val="auto"/>
                <w:w w:val="93"/>
              </w:rPr>
              <w:t>Your promotion equity grant will be comprised of 50% Restricted Stock Units (RSUs) and</w:t>
            </w:r>
          </w:p>
        </w:tc>
        <w:tc>
          <w:tcPr>
            <w:tcW w:w="0" w:type="dxa"/>
            <w:vAlign w:val="bottom"/>
          </w:tcPr>
          <w:p>
            <w:pPr>
              <w:spacing w:after="0"/>
              <w:rPr>
                <w:sz w:val="1"/>
                <w:szCs w:val="1"/>
                <w:color w:val="auto"/>
              </w:rPr>
            </w:pPr>
          </w:p>
        </w:tc>
      </w:tr>
      <w:tr>
        <w:trPr>
          <w:trHeight w:val="213"/>
        </w:trPr>
        <w:tc>
          <w:tcPr>
            <w:tcW w:w="184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gridSpan w:val="8"/>
          </w:tcPr>
          <w:p>
            <w:pPr>
              <w:spacing w:after="0" w:line="214" w:lineRule="exact"/>
              <w:rPr>
                <w:sz w:val="20"/>
                <w:szCs w:val="20"/>
                <w:color w:val="auto"/>
              </w:rPr>
            </w:pPr>
            <w:r>
              <w:rPr>
                <w:rFonts w:ascii="Arial" w:cs="Arial" w:eastAsia="Arial" w:hAnsi="Arial"/>
                <w:sz w:val="19"/>
                <w:szCs w:val="19"/>
                <w:color w:val="auto"/>
                <w:w w:val="92"/>
              </w:rPr>
              <w:t>50% Non-Qualified Stock Options (NQSOs), each with vesting in three substantially equal</w:t>
            </w:r>
          </w:p>
        </w:tc>
        <w:tc>
          <w:tcPr>
            <w:tcW w:w="0" w:type="dxa"/>
            <w:vAlign w:val="bottom"/>
          </w:tcPr>
          <w:p>
            <w:pPr>
              <w:spacing w:after="0"/>
              <w:rPr>
                <w:sz w:val="1"/>
                <w:szCs w:val="1"/>
                <w:color w:val="auto"/>
              </w:rPr>
            </w:pPr>
          </w:p>
        </w:tc>
      </w:tr>
      <w:tr>
        <w:trPr>
          <w:trHeight w:val="213"/>
        </w:trPr>
        <w:tc>
          <w:tcPr>
            <w:tcW w:w="184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gridSpan w:val="8"/>
          </w:tcPr>
          <w:p>
            <w:pPr>
              <w:spacing w:after="0" w:line="214" w:lineRule="exact"/>
              <w:rPr>
                <w:sz w:val="20"/>
                <w:szCs w:val="20"/>
                <w:color w:val="auto"/>
              </w:rPr>
            </w:pPr>
            <w:r>
              <w:rPr>
                <w:rFonts w:ascii="Arial" w:cs="Arial" w:eastAsia="Arial" w:hAnsi="Arial"/>
                <w:sz w:val="19"/>
                <w:szCs w:val="19"/>
                <w:color w:val="auto"/>
                <w:w w:val="92"/>
              </w:rPr>
              <w:t>annual installments on the first, second and third anniversaries of the grant date. An award</w:t>
            </w:r>
          </w:p>
        </w:tc>
        <w:tc>
          <w:tcPr>
            <w:tcW w:w="0" w:type="dxa"/>
            <w:vAlign w:val="bottom"/>
          </w:tcPr>
          <w:p>
            <w:pPr>
              <w:spacing w:after="0"/>
              <w:rPr>
                <w:sz w:val="1"/>
                <w:szCs w:val="1"/>
                <w:color w:val="auto"/>
              </w:rPr>
            </w:pPr>
          </w:p>
        </w:tc>
      </w:tr>
      <w:tr>
        <w:trPr>
          <w:trHeight w:val="236"/>
        </w:trPr>
        <w:tc>
          <w:tcPr>
            <w:tcW w:w="184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9"/>
                <w:szCs w:val="19"/>
                <w:color w:val="auto"/>
              </w:rPr>
              <w:t>notice will be issued to you within 20 days of the grant date.</w:t>
            </w:r>
          </w:p>
        </w:tc>
        <w:tc>
          <w:tcPr>
            <w:tcW w:w="0" w:type="dxa"/>
            <w:vAlign w:val="bottom"/>
          </w:tcPr>
          <w:p>
            <w:pPr>
              <w:spacing w:after="0"/>
              <w:rPr>
                <w:sz w:val="1"/>
                <w:szCs w:val="1"/>
                <w:color w:val="auto"/>
              </w:rPr>
            </w:pPr>
          </w:p>
        </w:tc>
      </w:tr>
      <w:tr>
        <w:trPr>
          <w:trHeight w:val="207"/>
        </w:trPr>
        <w:tc>
          <w:tcPr>
            <w:tcW w:w="1840" w:type="dxa"/>
            <w:vAlign w:val="bottom"/>
            <w:tcBorders>
              <w:right w:val="single" w:sz="8" w:color="auto"/>
            </w:tcBorders>
          </w:tcPr>
          <w:p>
            <w:pPr>
              <w:spacing w:after="0" w:line="207" w:lineRule="exact"/>
              <w:rPr>
                <w:sz w:val="20"/>
                <w:szCs w:val="20"/>
                <w:color w:val="auto"/>
              </w:rPr>
            </w:pPr>
            <w:r>
              <w:rPr>
                <w:rFonts w:ascii="Arial" w:cs="Arial" w:eastAsia="Arial" w:hAnsi="Arial"/>
                <w:sz w:val="19"/>
                <w:szCs w:val="19"/>
                <w:i w:val="1"/>
                <w:iCs w:val="1"/>
                <w:color w:val="auto"/>
              </w:rPr>
              <w:t>Multiplier</w:t>
            </w:r>
          </w:p>
        </w:tc>
        <w:tc>
          <w:tcPr>
            <w:tcW w:w="7040" w:type="dxa"/>
            <w:vAlign w:val="bottom"/>
            <w:tcBorders>
              <w:right w:val="single" w:sz="8" w:color="auto"/>
            </w:tcBorders>
            <w:gridSpan w:val="8"/>
          </w:tcPr>
          <w:p>
            <w:pPr>
              <w:spacing w:after="0" w:line="207" w:lineRule="exact"/>
              <w:rPr>
                <w:sz w:val="20"/>
                <w:szCs w:val="20"/>
                <w:color w:val="auto"/>
              </w:rPr>
            </w:pPr>
            <w:r>
              <w:rPr>
                <w:rFonts w:ascii="Arial" w:cs="Arial" w:eastAsia="Arial" w:hAnsi="Arial"/>
                <w:sz w:val="19"/>
                <w:szCs w:val="19"/>
                <w:b w:val="1"/>
                <w:bCs w:val="1"/>
                <w:color w:val="auto"/>
              </w:rPr>
              <w:t xml:space="preserve">1X </w:t>
            </w:r>
            <w:r>
              <w:rPr>
                <w:rFonts w:ascii="Arial" w:cs="Arial" w:eastAsia="Arial" w:hAnsi="Arial"/>
                <w:sz w:val="19"/>
                <w:szCs w:val="19"/>
                <w:color w:val="auto"/>
              </w:rPr>
              <w:t>Base Salary</w:t>
            </w:r>
          </w:p>
        </w:tc>
        <w:tc>
          <w:tcPr>
            <w:tcW w:w="0" w:type="dxa"/>
            <w:vAlign w:val="bottom"/>
          </w:tcPr>
          <w:p>
            <w:pPr>
              <w:spacing w:after="0"/>
              <w:rPr>
                <w:sz w:val="1"/>
                <w:szCs w:val="1"/>
                <w:color w:val="auto"/>
              </w:rPr>
            </w:pPr>
          </w:p>
        </w:tc>
      </w:tr>
      <w:tr>
        <w:trPr>
          <w:trHeight w:val="19"/>
        </w:trPr>
        <w:tc>
          <w:tcPr>
            <w:tcW w:w="1840" w:type="dxa"/>
            <w:vAlign w:val="bottom"/>
            <w:tcBorders>
              <w:right w:val="single" w:sz="8" w:color="auto"/>
            </w:tcBorders>
            <w:shd w:val="clear" w:color="auto" w:fill="000000"/>
          </w:tcPr>
          <w:p>
            <w:pPr>
              <w:spacing w:after="0" w:line="19" w:lineRule="exact"/>
              <w:rPr>
                <w:sz w:val="20"/>
                <w:szCs w:val="20"/>
                <w:color w:val="auto"/>
              </w:rPr>
            </w:pPr>
            <w:r>
              <w:rPr>
                <w:rFonts w:ascii="Arial" w:cs="Arial" w:eastAsia="Arial" w:hAnsi="Arial"/>
                <w:sz w:val="2"/>
                <w:szCs w:val="2"/>
                <w:i w:val="1"/>
                <w:iCs w:val="1"/>
                <w:color w:val="auto"/>
              </w:rPr>
              <w:t>Control</w:t>
            </w:r>
          </w:p>
        </w:tc>
        <w:tc>
          <w:tcPr>
            <w:tcW w:w="7040" w:type="dxa"/>
            <w:vAlign w:val="bottom"/>
            <w:tcBorders>
              <w:right w:val="single" w:sz="8" w:color="auto"/>
            </w:tcBorders>
            <w:gridSpan w:val="8"/>
            <w:shd w:val="clear" w:color="auto" w:fill="000000"/>
          </w:tcPr>
          <w:p>
            <w:pPr>
              <w:spacing w:after="0" w:line="19" w:lineRule="exact"/>
              <w:rPr>
                <w:sz w:val="20"/>
                <w:szCs w:val="20"/>
                <w:color w:val="auto"/>
              </w:rPr>
            </w:pPr>
            <w:r>
              <w:rPr>
                <w:rFonts w:ascii="Arial" w:cs="Arial" w:eastAsia="Arial" w:hAnsi="Arial"/>
                <w:sz w:val="2"/>
                <w:szCs w:val="2"/>
                <w:color w:val="auto"/>
              </w:rPr>
              <w:t>In the case of a Change of Control event followed by an involuntary termination  within two</w:t>
            </w:r>
          </w:p>
        </w:tc>
        <w:tc>
          <w:tcPr>
            <w:tcW w:w="0" w:type="dxa"/>
            <w:vAlign w:val="bottom"/>
          </w:tcPr>
          <w:p>
            <w:pPr>
              <w:spacing w:after="0" w:line="20" w:lineRule="exact"/>
              <w:rPr>
                <w:sz w:val="1"/>
                <w:szCs w:val="1"/>
                <w:color w:val="auto"/>
              </w:rPr>
            </w:pPr>
          </w:p>
        </w:tc>
      </w:tr>
      <w:tr>
        <w:trPr>
          <w:trHeight w:val="186"/>
        </w:trPr>
        <w:tc>
          <w:tcPr>
            <w:tcW w:w="1840" w:type="dxa"/>
            <w:vAlign w:val="bottom"/>
            <w:tcBorders>
              <w:right w:val="single" w:sz="8" w:color="auto"/>
            </w:tcBorders>
          </w:tcPr>
          <w:p>
            <w:pPr>
              <w:spacing w:after="0"/>
              <w:rPr>
                <w:sz w:val="16"/>
                <w:szCs w:val="16"/>
                <w:color w:val="auto"/>
              </w:rPr>
            </w:pPr>
          </w:p>
        </w:tc>
        <w:tc>
          <w:tcPr>
            <w:tcW w:w="7040" w:type="dxa"/>
            <w:vAlign w:val="bottom"/>
            <w:tcBorders>
              <w:right w:val="single" w:sz="8" w:color="auto"/>
            </w:tcBorders>
            <w:gridSpan w:val="8"/>
          </w:tcPr>
          <w:p>
            <w:pPr>
              <w:ind w:left="60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184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gridSpan w:val="8"/>
          </w:tcPr>
          <w:p>
            <w:pPr>
              <w:spacing w:after="0" w:line="214" w:lineRule="exact"/>
              <w:rPr>
                <w:sz w:val="20"/>
                <w:szCs w:val="20"/>
                <w:color w:val="auto"/>
              </w:rPr>
            </w:pPr>
            <w:r>
              <w:rPr>
                <w:rFonts w:ascii="Arial" w:cs="Arial" w:eastAsia="Arial" w:hAnsi="Arial"/>
                <w:sz w:val="19"/>
                <w:szCs w:val="19"/>
                <w:color w:val="auto"/>
                <w:w w:val="94"/>
              </w:rPr>
              <w:t>years following the Change of Control, severance would be paid after the 409(a) waiting</w:t>
            </w:r>
          </w:p>
        </w:tc>
        <w:tc>
          <w:tcPr>
            <w:tcW w:w="0" w:type="dxa"/>
            <w:vAlign w:val="bottom"/>
          </w:tcPr>
          <w:p>
            <w:pPr>
              <w:spacing w:after="0"/>
              <w:rPr>
                <w:sz w:val="1"/>
                <w:szCs w:val="1"/>
                <w:color w:val="auto"/>
              </w:rPr>
            </w:pPr>
          </w:p>
        </w:tc>
      </w:tr>
      <w:tr>
        <w:trPr>
          <w:trHeight w:val="236"/>
        </w:trPr>
        <w:tc>
          <w:tcPr>
            <w:tcW w:w="184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9"/>
                <w:szCs w:val="19"/>
                <w:color w:val="auto"/>
              </w:rPr>
              <w:t>period.</w:t>
            </w:r>
          </w:p>
        </w:tc>
        <w:tc>
          <w:tcPr>
            <w:tcW w:w="0" w:type="dxa"/>
            <w:vAlign w:val="bottom"/>
          </w:tcPr>
          <w:p>
            <w:pPr>
              <w:spacing w:after="0"/>
              <w:rPr>
                <w:sz w:val="1"/>
                <w:szCs w:val="1"/>
                <w:color w:val="auto"/>
              </w:rPr>
            </w:pPr>
          </w:p>
        </w:tc>
      </w:tr>
      <w:tr>
        <w:trPr>
          <w:trHeight w:val="207"/>
        </w:trPr>
        <w:tc>
          <w:tcPr>
            <w:tcW w:w="184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9"/>
                <w:szCs w:val="19"/>
                <w:i w:val="1"/>
                <w:iCs w:val="1"/>
                <w:color w:val="auto"/>
              </w:rPr>
              <w:t>Benefits</w:t>
            </w:r>
          </w:p>
        </w:tc>
        <w:tc>
          <w:tcPr>
            <w:tcW w:w="7040" w:type="dxa"/>
            <w:vAlign w:val="bottom"/>
            <w:tcBorders>
              <w:bottom w:val="single" w:sz="8" w:color="auto"/>
              <w:right w:val="single" w:sz="8" w:color="auto"/>
            </w:tcBorders>
            <w:gridSpan w:val="8"/>
          </w:tcPr>
          <w:p>
            <w:pPr>
              <w:spacing w:after="0" w:line="207" w:lineRule="exact"/>
              <w:rPr>
                <w:sz w:val="20"/>
                <w:szCs w:val="20"/>
                <w:color w:val="auto"/>
              </w:rPr>
            </w:pPr>
            <w:r>
              <w:rPr>
                <w:rFonts w:ascii="Arial" w:cs="Arial" w:eastAsia="Arial" w:hAnsi="Arial"/>
                <w:sz w:val="19"/>
                <w:szCs w:val="19"/>
                <w:color w:val="auto"/>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1</w:t>
      </w:r>
      <w:r>
        <w:rPr>
          <w:rFonts w:ascii="Arial" w:cs="Arial" w:eastAsia="Arial" w:hAnsi="Arial"/>
          <w:sz w:val="19"/>
          <w:szCs w:val="19"/>
          <w:i w:val="1"/>
          <w:iCs w:val="1"/>
          <w:color w:val="auto"/>
        </w:rPr>
        <w:t>EXCEL Plan performance metrics are determined annually by the Executive Compensation Committee</w:t>
      </w:r>
    </w:p>
    <w:p>
      <w:pPr>
        <w:spacing w:after="0" w:line="24" w:lineRule="exact"/>
        <w:rPr>
          <w:sz w:val="20"/>
          <w:szCs w:val="20"/>
          <w:color w:val="auto"/>
        </w:rPr>
      </w:pPr>
    </w:p>
    <w:p>
      <w:pPr>
        <w:ind w:left="240" w:hanging="133"/>
        <w:spacing w:after="0"/>
        <w:tabs>
          <w:tab w:leader="none" w:pos="240" w:val="left"/>
        </w:tabs>
        <w:numPr>
          <w:ilvl w:val="0"/>
          <w:numId w:val="255"/>
        </w:numPr>
        <w:rPr>
          <w:rFonts w:ascii="Arial" w:cs="Arial" w:eastAsia="Arial" w:hAnsi="Arial"/>
          <w:sz w:val="17"/>
          <w:szCs w:val="17"/>
          <w:i w:val="1"/>
          <w:iCs w:val="1"/>
          <w:color w:val="auto"/>
        </w:rPr>
      </w:pPr>
      <w:r>
        <w:rPr>
          <w:rFonts w:ascii="Arial" w:cs="Arial" w:eastAsia="Arial" w:hAnsi="Arial"/>
          <w:sz w:val="20"/>
          <w:szCs w:val="20"/>
          <w:i w:val="1"/>
          <w:iCs w:val="1"/>
          <w:color w:val="auto"/>
        </w:rPr>
        <w:t>Leaving Reasons and associated eligibility are reviewed and approved by the Executive Compensation Committee</w:t>
      </w:r>
    </w:p>
    <w:p>
      <w:pPr>
        <w:sectPr>
          <w:pgSz w:w="11900" w:h="16838" w:orient="portrait"/>
          <w:cols w:equalWidth="0" w:num="1">
            <w:col w:w="11520"/>
          </w:cols>
          <w:pgMar w:left="140" w:top="118"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20"/>
          <w:szCs w:val="20"/>
          <w:color w:val="auto"/>
        </w:rPr>
        <w:t>Exhibit 10.4</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Personal and Confidential</w:t>
      </w:r>
    </w:p>
    <w:p>
      <w:pPr>
        <w:spacing w:after="0" w:line="394"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Eysins, May 24th, 2016</w:t>
      </w:r>
    </w:p>
    <w:p>
      <w:pPr>
        <w:spacing w:after="0" w:line="212" w:lineRule="exact"/>
        <w:rPr>
          <w:sz w:val="20"/>
          <w:szCs w:val="20"/>
          <w:color w:val="auto"/>
        </w:rPr>
      </w:pPr>
    </w:p>
    <w:p>
      <w:pPr>
        <w:spacing w:after="0"/>
        <w:tabs>
          <w:tab w:leader="none" w:pos="920" w:val="left"/>
          <w:tab w:leader="none" w:pos="906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Project Voyager Retention Incentive and Continuation of Existing Severance Contractual</w:t>
      </w:r>
      <w:r>
        <w:rPr>
          <w:sz w:val="20"/>
          <w:szCs w:val="20"/>
          <w:color w:val="auto"/>
        </w:rPr>
        <w:tab/>
      </w:r>
      <w:r>
        <w:rPr>
          <w:rFonts w:ascii="Arial" w:cs="Arial" w:eastAsia="Arial" w:hAnsi="Arial"/>
          <w:sz w:val="17"/>
          <w:szCs w:val="17"/>
          <w:b w:val="1"/>
          <w:bCs w:val="1"/>
          <w:color w:val="auto"/>
        </w:rPr>
        <w:t>Terms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Dear Philip</w:t>
      </w:r>
    </w:p>
    <w:p>
      <w:pPr>
        <w:spacing w:after="0" w:line="170" w:lineRule="exact"/>
        <w:rPr>
          <w:sz w:val="20"/>
          <w:szCs w:val="20"/>
          <w:color w:val="auto"/>
        </w:rPr>
      </w:pPr>
    </w:p>
    <w:p>
      <w:pPr>
        <w:ind w:right="600"/>
        <w:spacing w:after="0" w:line="246" w:lineRule="auto"/>
        <w:rPr>
          <w:sz w:val="20"/>
          <w:szCs w:val="20"/>
          <w:color w:val="auto"/>
        </w:rPr>
      </w:pPr>
      <w:r>
        <w:rPr>
          <w:rFonts w:ascii="Arial" w:cs="Arial" w:eastAsia="Arial" w:hAnsi="Arial"/>
          <w:sz w:val="20"/>
          <w:szCs w:val="20"/>
          <w:color w:val="auto"/>
        </w:rPr>
        <w:t>In recognition of your critical contributions to the Enterprise Inkjet Systems Division, I am pleased to inform you of your eligibility for an individualized special retention award and continuation of your existing severance contractual terms, each as described in this letter. For purposes of this letter, “</w:t>
      </w:r>
      <w:r>
        <w:rPr>
          <w:rFonts w:ascii="Arial" w:cs="Arial" w:eastAsia="Arial" w:hAnsi="Arial"/>
          <w:sz w:val="20"/>
          <w:szCs w:val="20"/>
          <w:u w:val="single" w:color="auto"/>
          <w:color w:val="auto"/>
        </w:rPr>
        <w:t>Kodak</w:t>
      </w:r>
      <w:r>
        <w:rPr>
          <w:rFonts w:ascii="Arial" w:cs="Arial" w:eastAsia="Arial" w:hAnsi="Arial"/>
          <w:sz w:val="20"/>
          <w:szCs w:val="20"/>
          <w:color w:val="auto"/>
        </w:rPr>
        <w:t>” refers to Eastman Kodak Sàrl and its related affiliates.</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If you agree with the terms of this letter, and you execute and return this letter, this letter will constitute an “</w:t>
      </w:r>
      <w:r>
        <w:rPr>
          <w:rFonts w:ascii="Arial" w:cs="Arial" w:eastAsia="Arial" w:hAnsi="Arial"/>
          <w:sz w:val="20"/>
          <w:szCs w:val="20"/>
          <w:u w:val="single" w:color="auto"/>
          <w:color w:val="auto"/>
        </w:rPr>
        <w:t>Agreement</w:t>
      </w:r>
      <w:r>
        <w:rPr>
          <w:rFonts w:ascii="Arial" w:cs="Arial" w:eastAsia="Arial" w:hAnsi="Arial"/>
          <w:sz w:val="20"/>
          <w:szCs w:val="20"/>
          <w:color w:val="auto"/>
        </w:rPr>
        <w:t>” between you and Kodak, effective as of the date that the executed Agreement is received by Kodak.</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Background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Agreement, you have a contract of employment with Eastman Kodak Sàrl, effective January 1, 2011, which was modified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by an addendum effective January 1, 2013, and which was amended by Amendment No. 1 dated September 9, 2013 (collectively, your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Contract</w:t>
      </w:r>
      <w:r>
        <w:rPr>
          <w:rFonts w:ascii="Arial" w:cs="Arial" w:eastAsia="Arial" w:hAnsi="Arial"/>
          <w:sz w:val="18"/>
          <w:szCs w:val="18"/>
          <w:color w:val="auto"/>
        </w:rPr>
        <w:t>”). By its terms, your Employment Contract will expire on September 3, 2016 at the latest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being noted that you or Kodak may terminate your employment early by providing to the other party a Termination Notice at least one month</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prior to the Expiration Date.</w:t>
      </w:r>
    </w:p>
    <w:p>
      <w:pPr>
        <w:spacing w:after="0" w:line="167"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Under your Employment Contract, you are entitled to contractual severance in the event of the termination of your Employment Contract by Kodak without “Cause” or by you for “Good Reason” (each term, as defined in your Employment Contract), in accordance with the terms and conditions specified by your Employment Contract. The contractual severance to which you are entitled to receive under your Employment Contract in the event of a qualifying termination of your employment is (A) the sum of your salary and your target annual incentive under Executive Compensation for Excellence and Leadership (“</w:t>
      </w:r>
      <w:r>
        <w:rPr>
          <w:rFonts w:ascii="Arial" w:cs="Arial" w:eastAsia="Arial" w:hAnsi="Arial"/>
          <w:sz w:val="18"/>
          <w:szCs w:val="18"/>
          <w:u w:val="single" w:color="auto"/>
          <w:color w:val="auto"/>
        </w:rPr>
        <w:t>EXCEL</w:t>
      </w:r>
      <w:r>
        <w:rPr>
          <w:rFonts w:ascii="Arial" w:cs="Arial" w:eastAsia="Arial" w:hAnsi="Arial"/>
          <w:sz w:val="18"/>
          <w:szCs w:val="18"/>
          <w:color w:val="auto"/>
        </w:rPr>
        <w:t>”) for the fiscal year in which the termination notice is given (or if such target has not yet been established for such fiscal year, the target annual incentive under EXCEL for the fiscal year prior to the year in which the termination notice is given) multiplied by (B) one (the “</w:t>
      </w:r>
      <w:r>
        <w:rPr>
          <w:rFonts w:ascii="Arial" w:cs="Arial" w:eastAsia="Arial" w:hAnsi="Arial"/>
          <w:sz w:val="18"/>
          <w:szCs w:val="18"/>
          <w:u w:val="single" w:color="auto"/>
          <w:color w:val="auto"/>
        </w:rPr>
        <w:t>Severance Payments</w:t>
      </w:r>
      <w:r>
        <w:rPr>
          <w:rFonts w:ascii="Arial" w:cs="Arial" w:eastAsia="Arial" w:hAnsi="Arial"/>
          <w:sz w:val="18"/>
          <w:szCs w:val="18"/>
          <w:color w:val="auto"/>
        </w:rPr>
        <w:t>”).</w:t>
      </w:r>
    </w:p>
    <w:p>
      <w:pPr>
        <w:spacing w:after="0" w:line="130"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As you know, Kodak is currently in talks to sell its Prosper enterprise inkjet printing business (“</w:t>
      </w:r>
      <w:r>
        <w:rPr>
          <w:rFonts w:ascii="Arial" w:cs="Arial" w:eastAsia="Arial" w:hAnsi="Arial"/>
          <w:sz w:val="20"/>
          <w:szCs w:val="20"/>
          <w:u w:val="single" w:color="auto"/>
          <w:color w:val="auto"/>
        </w:rPr>
        <w:t>Project Voyager</w:t>
      </w:r>
      <w:r>
        <w:rPr>
          <w:rFonts w:ascii="Arial" w:cs="Arial" w:eastAsia="Arial" w:hAnsi="Arial"/>
          <w:sz w:val="20"/>
          <w:szCs w:val="20"/>
          <w:color w:val="auto"/>
        </w:rPr>
        <w:t>”). The purpose of the retention award and the extension of your existing severance contractual terms is to provide you, in your capacity as the President of the Enterprise Inkjet Systems Division and President of the Micro 3D Printing and Packaging Division, an incentive to remain employed with Kodak and to successfully manage the sale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63500</wp:posOffset>
            </wp:positionV>
            <wp:extent cx="729043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20"/>
          <w:szCs w:val="20"/>
          <w:color w:val="auto"/>
        </w:rPr>
        <w:t>Exhibit 10.4</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process in Project Voyager, the launch of the Ultrastream writing system at Drupa and the exit of the silver metal mesh program.</w:t>
      </w:r>
    </w:p>
    <w:p>
      <w:pPr>
        <w:spacing w:after="0" w:line="148" w:lineRule="exact"/>
        <w:rPr>
          <w:sz w:val="20"/>
          <w:szCs w:val="20"/>
          <w:color w:val="auto"/>
        </w:rPr>
      </w:pPr>
    </w:p>
    <w:p>
      <w:pPr>
        <w:ind w:left="640" w:hanging="633"/>
        <w:spacing w:after="0"/>
        <w:tabs>
          <w:tab w:leader="none" w:pos="640" w:val="left"/>
        </w:tabs>
        <w:numPr>
          <w:ilvl w:val="0"/>
          <w:numId w:val="256"/>
        </w:numPr>
        <w:rPr>
          <w:rFonts w:ascii="Arial" w:cs="Arial" w:eastAsia="Arial" w:hAnsi="Arial"/>
          <w:sz w:val="20"/>
          <w:szCs w:val="20"/>
          <w:b w:val="1"/>
          <w:bCs w:val="1"/>
          <w:color w:val="auto"/>
        </w:rPr>
      </w:pPr>
      <w:r>
        <w:rPr>
          <w:rFonts w:ascii="Arial" w:cs="Arial" w:eastAsia="Arial" w:hAnsi="Arial"/>
          <w:sz w:val="20"/>
          <w:szCs w:val="20"/>
          <w:b w:val="1"/>
          <w:bCs w:val="1"/>
          <w:color w:val="auto"/>
        </w:rPr>
        <w:t>Retention Incentive</w:t>
      </w:r>
    </w:p>
    <w:p>
      <w:pPr>
        <w:spacing w:after="0" w:line="189" w:lineRule="exact"/>
        <w:rPr>
          <w:rFonts w:ascii="Arial" w:cs="Arial" w:eastAsia="Arial" w:hAnsi="Arial"/>
          <w:sz w:val="20"/>
          <w:szCs w:val="20"/>
          <w:b w:val="1"/>
          <w:bCs w:val="1"/>
          <w:color w:val="auto"/>
        </w:rPr>
      </w:pPr>
    </w:p>
    <w:p>
      <w:pPr>
        <w:jc w:val="both"/>
        <w:ind w:left="1080" w:right="320" w:hanging="420"/>
        <w:spacing w:after="0" w:line="246" w:lineRule="auto"/>
        <w:tabs>
          <w:tab w:leader="none" w:pos="1080" w:val="left"/>
        </w:tabs>
        <w:numPr>
          <w:ilvl w:val="1"/>
          <w:numId w:val="256"/>
        </w:numPr>
        <w:rPr>
          <w:rFonts w:ascii="Arial" w:cs="Arial" w:eastAsia="Arial" w:hAnsi="Arial"/>
          <w:sz w:val="20"/>
          <w:szCs w:val="20"/>
          <w:color w:val="auto"/>
        </w:rPr>
      </w:pPr>
      <w:r>
        <w:rPr>
          <w:rFonts w:ascii="Arial" w:cs="Arial" w:eastAsia="Arial" w:hAnsi="Arial"/>
          <w:sz w:val="20"/>
          <w:szCs w:val="20"/>
          <w:u w:val="single" w:color="auto"/>
          <w:color w:val="auto"/>
        </w:rPr>
        <w:t>Success Fee</w:t>
      </w:r>
      <w:r>
        <w:rPr>
          <w:rFonts w:ascii="Arial" w:cs="Arial" w:eastAsia="Arial" w:hAnsi="Arial"/>
          <w:sz w:val="20"/>
          <w:szCs w:val="20"/>
          <w:color w:val="auto"/>
        </w:rPr>
        <w:t>. Kodak will pay you a one-time individualized special retention incentive in the amount set forth on Schedule A to this Agreement (the “</w:t>
      </w:r>
      <w:r>
        <w:rPr>
          <w:rFonts w:ascii="Arial" w:cs="Arial" w:eastAsia="Arial" w:hAnsi="Arial"/>
          <w:sz w:val="20"/>
          <w:szCs w:val="20"/>
          <w:u w:val="single" w:color="auto"/>
          <w:color w:val="auto"/>
        </w:rPr>
        <w:t>Success Fee</w:t>
      </w:r>
      <w:r>
        <w:rPr>
          <w:rFonts w:ascii="Arial" w:cs="Arial" w:eastAsia="Arial" w:hAnsi="Arial"/>
          <w:sz w:val="20"/>
          <w:szCs w:val="20"/>
          <w:color w:val="auto"/>
        </w:rPr>
        <w:t>”) if you satisfy the continuous employment requirement set forth in Section 1.B and provided that all other conditions of this Agreement have been satisfied.</w:t>
      </w:r>
    </w:p>
    <w:p>
      <w:pPr>
        <w:spacing w:after="0" w:line="146" w:lineRule="exact"/>
        <w:rPr>
          <w:rFonts w:ascii="Arial" w:cs="Arial" w:eastAsia="Arial" w:hAnsi="Arial"/>
          <w:sz w:val="20"/>
          <w:szCs w:val="20"/>
          <w:color w:val="auto"/>
        </w:rPr>
      </w:pPr>
    </w:p>
    <w:p>
      <w:pPr>
        <w:ind w:left="1080" w:right="140" w:hanging="420"/>
        <w:spacing w:after="0" w:line="241" w:lineRule="auto"/>
        <w:tabs>
          <w:tab w:leader="none" w:pos="1080" w:val="left"/>
        </w:tabs>
        <w:numPr>
          <w:ilvl w:val="1"/>
          <w:numId w:val="256"/>
        </w:numPr>
        <w:rPr>
          <w:rFonts w:ascii="Arial" w:cs="Arial" w:eastAsia="Arial" w:hAnsi="Arial"/>
          <w:sz w:val="20"/>
          <w:szCs w:val="20"/>
          <w:color w:val="auto"/>
        </w:rPr>
      </w:pPr>
      <w:r>
        <w:rPr>
          <w:rFonts w:ascii="Arial" w:cs="Arial" w:eastAsia="Arial" w:hAnsi="Arial"/>
          <w:sz w:val="20"/>
          <w:szCs w:val="20"/>
          <w:u w:val="single" w:color="auto"/>
          <w:color w:val="auto"/>
        </w:rPr>
        <w:t>Continuous Employment</w:t>
      </w:r>
      <w:r>
        <w:rPr>
          <w:rFonts w:ascii="Arial" w:cs="Arial" w:eastAsia="Arial" w:hAnsi="Arial"/>
          <w:sz w:val="20"/>
          <w:szCs w:val="20"/>
          <w:color w:val="auto"/>
        </w:rPr>
        <w:t>. To be eligible for the Success Fee, you must remain continuously and actively employed with Kodak in good standing through the successful closing of the transactions contemplated in Project Voyager (the “</w:t>
      </w:r>
      <w:r>
        <w:rPr>
          <w:rFonts w:ascii="Arial" w:cs="Arial" w:eastAsia="Arial" w:hAnsi="Arial"/>
          <w:sz w:val="20"/>
          <w:szCs w:val="20"/>
          <w:u w:val="single" w:color="auto"/>
          <w:color w:val="auto"/>
        </w:rPr>
        <w:t>Success Date</w:t>
      </w:r>
      <w:r>
        <w:rPr>
          <w:rFonts w:ascii="Arial" w:cs="Arial" w:eastAsia="Arial" w:hAnsi="Arial"/>
          <w:sz w:val="20"/>
          <w:szCs w:val="20"/>
          <w:color w:val="auto"/>
        </w:rPr>
        <w:t>”). In the event of the termination of your employment for any reason before the Success Date, or if all other conditions of this Agreement have not been satisfied, no Success Fee shall be payable to you. In addition, no partial Success Fee shall be payable for achievement of any partial milestones.</w:t>
      </w:r>
    </w:p>
    <w:p>
      <w:pPr>
        <w:spacing w:after="0" w:line="152" w:lineRule="exact"/>
        <w:rPr>
          <w:rFonts w:ascii="Arial" w:cs="Arial" w:eastAsia="Arial" w:hAnsi="Arial"/>
          <w:sz w:val="20"/>
          <w:szCs w:val="20"/>
          <w:color w:val="auto"/>
        </w:rPr>
      </w:pPr>
    </w:p>
    <w:p>
      <w:pPr>
        <w:ind w:left="1080" w:right="380" w:hanging="420"/>
        <w:spacing w:after="0" w:line="255" w:lineRule="auto"/>
        <w:tabs>
          <w:tab w:leader="none" w:pos="1080" w:val="left"/>
        </w:tabs>
        <w:numPr>
          <w:ilvl w:val="1"/>
          <w:numId w:val="256"/>
        </w:numPr>
        <w:rPr>
          <w:rFonts w:ascii="Arial" w:cs="Arial" w:eastAsia="Arial" w:hAnsi="Arial"/>
          <w:sz w:val="20"/>
          <w:szCs w:val="20"/>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 Payment of the Success Fee will be made by Kodak in a lump sum with the next payroll cycle following the Success Date.</w:t>
      </w:r>
    </w:p>
    <w:p>
      <w:pPr>
        <w:spacing w:after="0" w:line="138" w:lineRule="exact"/>
        <w:rPr>
          <w:rFonts w:ascii="Arial" w:cs="Arial" w:eastAsia="Arial" w:hAnsi="Arial"/>
          <w:sz w:val="20"/>
          <w:szCs w:val="20"/>
          <w:color w:val="auto"/>
        </w:rPr>
      </w:pPr>
    </w:p>
    <w:p>
      <w:pPr>
        <w:ind w:left="1080" w:right="20" w:hanging="420"/>
        <w:spacing w:after="0" w:line="310" w:lineRule="auto"/>
        <w:tabs>
          <w:tab w:leader="none" w:pos="1080"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Tax Withholding/Social Security</w:t>
      </w:r>
      <w:r>
        <w:rPr>
          <w:rFonts w:ascii="Arial" w:cs="Arial" w:eastAsia="Arial" w:hAnsi="Arial"/>
          <w:sz w:val="18"/>
          <w:szCs w:val="18"/>
          <w:color w:val="auto"/>
        </w:rPr>
        <w:t>. Kodak will withhold from the payment of the Success Fee all income, payroll, employment taxes and compulsory social security contributions required by applicable law or regulation to be withheld.</w:t>
      </w:r>
    </w:p>
    <w:p>
      <w:pPr>
        <w:spacing w:after="0" w:line="92" w:lineRule="exact"/>
        <w:rPr>
          <w:rFonts w:ascii="Arial" w:cs="Arial" w:eastAsia="Arial" w:hAnsi="Arial"/>
          <w:sz w:val="18"/>
          <w:szCs w:val="18"/>
          <w:color w:val="auto"/>
        </w:rPr>
      </w:pPr>
    </w:p>
    <w:p>
      <w:pPr>
        <w:ind w:left="1080" w:right="100" w:hanging="420"/>
        <w:spacing w:after="0" w:line="242" w:lineRule="auto"/>
        <w:tabs>
          <w:tab w:leader="none" w:pos="1080" w:val="left"/>
        </w:tabs>
        <w:numPr>
          <w:ilvl w:val="1"/>
          <w:numId w:val="256"/>
        </w:numPr>
        <w:rPr>
          <w:rFonts w:ascii="Arial" w:cs="Arial" w:eastAsia="Arial" w:hAnsi="Arial"/>
          <w:sz w:val="20"/>
          <w:szCs w:val="20"/>
          <w:color w:val="auto"/>
        </w:rPr>
      </w:pPr>
      <w:r>
        <w:rPr>
          <w:rFonts w:ascii="Arial" w:cs="Arial" w:eastAsia="Arial" w:hAnsi="Arial"/>
          <w:sz w:val="20"/>
          <w:szCs w:val="20"/>
          <w:u w:val="single" w:color="auto"/>
          <w:color w:val="auto"/>
        </w:rPr>
        <w:t>Not Benefits Bearing</w:t>
      </w:r>
      <w:r>
        <w:rPr>
          <w:rFonts w:ascii="Arial" w:cs="Arial" w:eastAsia="Arial" w:hAnsi="Arial"/>
          <w:sz w:val="20"/>
          <w:szCs w:val="20"/>
          <w:color w:val="auto"/>
        </w:rPr>
        <w:t>. The Success Fee will not be “benefits bearing” for Kodak purposes. That is, the amount will not be taken into account, or considered for any reason, for purposes of determining any company-provided benefits or compensation for which you are or may become eligible, including by way of illustration, and not by way of limitation, any pension or other retirement benefit.</w:t>
      </w:r>
    </w:p>
    <w:p>
      <w:pPr>
        <w:spacing w:after="0" w:line="153" w:lineRule="exact"/>
        <w:rPr>
          <w:sz w:val="20"/>
          <w:szCs w:val="20"/>
          <w:color w:val="auto"/>
        </w:rPr>
      </w:pPr>
    </w:p>
    <w:p>
      <w:pPr>
        <w:ind w:left="1080" w:right="260" w:hanging="420"/>
        <w:spacing w:after="0" w:line="242" w:lineRule="auto"/>
        <w:tabs>
          <w:tab w:leader="none" w:pos="1080" w:val="left"/>
        </w:tabs>
        <w:numPr>
          <w:ilvl w:val="1"/>
          <w:numId w:val="257"/>
        </w:numPr>
        <w:rPr>
          <w:rFonts w:ascii="Arial" w:cs="Arial" w:eastAsia="Arial" w:hAnsi="Arial"/>
          <w:sz w:val="20"/>
          <w:szCs w:val="20"/>
          <w:color w:val="auto"/>
        </w:rPr>
      </w:pPr>
      <w:r>
        <w:rPr>
          <w:rFonts w:ascii="Arial" w:cs="Arial" w:eastAsia="Arial" w:hAnsi="Arial"/>
          <w:sz w:val="20"/>
          <w:szCs w:val="20"/>
          <w:u w:val="single" w:color="auto"/>
          <w:color w:val="auto"/>
        </w:rPr>
        <w:t>Forfeiture</w:t>
      </w:r>
      <w:r>
        <w:rPr>
          <w:rFonts w:ascii="Arial" w:cs="Arial" w:eastAsia="Arial" w:hAnsi="Arial"/>
          <w:sz w:val="20"/>
          <w:szCs w:val="20"/>
          <w:color w:val="auto"/>
        </w:rPr>
        <w:t>. In the event you breach any of the terms of your Employment Contract, this Agreement, or the waiver and release required by Section 2.C, in addition to and not in lieu of any other remedies that Kodak may pursue against you, you shall forfeit your right to the Success Fee, and if the Success Fee has already been paid to you, you agree to immediately repay to Kodak the Success Fee.</w:t>
      </w:r>
    </w:p>
    <w:p>
      <w:pPr>
        <w:spacing w:after="0" w:line="146" w:lineRule="exact"/>
        <w:rPr>
          <w:rFonts w:ascii="Arial" w:cs="Arial" w:eastAsia="Arial" w:hAnsi="Arial"/>
          <w:sz w:val="20"/>
          <w:szCs w:val="20"/>
          <w:color w:val="auto"/>
        </w:rPr>
      </w:pPr>
    </w:p>
    <w:p>
      <w:pPr>
        <w:ind w:left="640" w:hanging="633"/>
        <w:spacing w:after="0"/>
        <w:tabs>
          <w:tab w:leader="none" w:pos="640" w:val="left"/>
        </w:tabs>
        <w:numPr>
          <w:ilvl w:val="0"/>
          <w:numId w:val="258"/>
        </w:numPr>
        <w:rPr>
          <w:rFonts w:ascii="Arial" w:cs="Arial" w:eastAsia="Arial" w:hAnsi="Arial"/>
          <w:sz w:val="20"/>
          <w:szCs w:val="20"/>
          <w:b w:val="1"/>
          <w:bCs w:val="1"/>
          <w:color w:val="auto"/>
        </w:rPr>
      </w:pPr>
      <w:r>
        <w:rPr>
          <w:rFonts w:ascii="Arial" w:cs="Arial" w:eastAsia="Arial" w:hAnsi="Arial"/>
          <w:sz w:val="20"/>
          <w:szCs w:val="20"/>
          <w:b w:val="1"/>
          <w:bCs w:val="1"/>
          <w:color w:val="auto"/>
        </w:rPr>
        <w:t>Continuation of Existing Severance Contractual Terms</w:t>
      </w:r>
    </w:p>
    <w:p>
      <w:pPr>
        <w:spacing w:after="0" w:line="176" w:lineRule="exact"/>
        <w:rPr>
          <w:rFonts w:ascii="Arial" w:cs="Arial" w:eastAsia="Arial" w:hAnsi="Arial"/>
          <w:sz w:val="20"/>
          <w:szCs w:val="20"/>
          <w:b w:val="1"/>
          <w:bCs w:val="1"/>
          <w:color w:val="auto"/>
        </w:rPr>
      </w:pPr>
    </w:p>
    <w:p>
      <w:pPr>
        <w:ind w:left="1080" w:hanging="420"/>
        <w:spacing w:after="0" w:line="278" w:lineRule="auto"/>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Existing Severance Contractual Terms</w:t>
      </w:r>
      <w:r>
        <w:rPr>
          <w:rFonts w:ascii="Arial" w:cs="Arial" w:eastAsia="Arial" w:hAnsi="Arial"/>
          <w:sz w:val="18"/>
          <w:szCs w:val="18"/>
          <w:color w:val="auto"/>
        </w:rPr>
        <w:t>. In the event of the termination of your employment by Kodak without Cause or by you for Good Reason at any time after the date on which this Agreement becomes effective, regardless of whether such date is later than the Expiration Date of your Employment Contract, and you satisfy the requirements of Section 2.C, Kodak will pay to you the Severance Payments. The Severance Payments will be made in lieu of any severance benefits under any other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63500</wp:posOffset>
            </wp:positionV>
            <wp:extent cx="729043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7" w:name="page298"/>
    <w:bookmarkEnd w:id="297"/>
    <w:p>
      <w:pPr>
        <w:ind w:left="9800"/>
        <w:spacing w:after="0"/>
        <w:rPr>
          <w:sz w:val="20"/>
          <w:szCs w:val="20"/>
          <w:color w:val="auto"/>
        </w:rPr>
      </w:pPr>
      <w:r>
        <w:rPr>
          <w:rFonts w:ascii="Arial" w:cs="Arial" w:eastAsia="Arial" w:hAnsi="Arial"/>
          <w:sz w:val="18"/>
          <w:szCs w:val="18"/>
          <w:color w:val="auto"/>
        </w:rPr>
        <w:t>Exhibit 10.4</w:t>
      </w:r>
    </w:p>
    <w:p>
      <w:pPr>
        <w:spacing w:after="0" w:line="37" w:lineRule="exact"/>
        <w:rPr>
          <w:sz w:val="20"/>
          <w:szCs w:val="20"/>
          <w:color w:val="auto"/>
        </w:rPr>
      </w:pPr>
    </w:p>
    <w:p>
      <w:pPr>
        <w:ind w:left="420" w:right="100"/>
        <w:spacing w:after="0" w:line="266" w:lineRule="auto"/>
        <w:rPr>
          <w:sz w:val="20"/>
          <w:szCs w:val="20"/>
          <w:color w:val="auto"/>
        </w:rPr>
      </w:pPr>
      <w:r>
        <w:rPr>
          <w:rFonts w:ascii="Arial" w:cs="Arial" w:eastAsia="Arial" w:hAnsi="Arial"/>
          <w:sz w:val="18"/>
          <w:szCs w:val="18"/>
          <w:color w:val="auto"/>
        </w:rPr>
        <w:t>agreement or arrangement with Kodak, as well as in lieu of any benefits under any local severance provisions applicable to employees in Switzerland, unless the benefits under any local severance provisions applicable to employees in Switzerland would be more than the Severance Payments, in which case you would be entitled to the benefits under any local severance provisions applicable to employees in Switzerland. If after the effective date of this Agreement, you are entitled to severance benefits under your Employment Contract, other agreement or arrangement with Kodak, or under any local severance provisions applicable to employees in Switzerland, then the amount of the Severance Payments payable under this Agreement shall be reduced accordingly by the amounts of such other severance benefits. In addition to the Severance Payments, your Emergence Award and Long-Term Equity Awards (as described in your Employment Contract) granted on or before the Expiration Date will continue to vest and remain exercisable according to the terms of the applicable award, in each case without any regard to any continued employment condition (your “</w:t>
      </w:r>
      <w:r>
        <w:rPr>
          <w:rFonts w:ascii="Arial" w:cs="Arial" w:eastAsia="Arial" w:hAnsi="Arial"/>
          <w:sz w:val="18"/>
          <w:szCs w:val="18"/>
          <w:u w:val="single" w:color="auto"/>
          <w:color w:val="auto"/>
        </w:rPr>
        <w:t>Continued Vesting</w:t>
      </w:r>
      <w:r>
        <w:rPr>
          <w:rFonts w:ascii="Arial" w:cs="Arial" w:eastAsia="Arial" w:hAnsi="Arial"/>
          <w:sz w:val="18"/>
          <w:szCs w:val="18"/>
          <w:color w:val="auto"/>
        </w:rPr>
        <w:t>” benefits).</w:t>
      </w:r>
    </w:p>
    <w:p>
      <w:pPr>
        <w:spacing w:after="0" w:line="130" w:lineRule="exact"/>
        <w:rPr>
          <w:sz w:val="20"/>
          <w:szCs w:val="20"/>
          <w:color w:val="auto"/>
        </w:rPr>
      </w:pPr>
    </w:p>
    <w:p>
      <w:pPr>
        <w:ind w:left="420" w:right="80" w:hanging="420"/>
        <w:spacing w:after="0" w:line="272" w:lineRule="auto"/>
        <w:tabs>
          <w:tab w:leader="none" w:pos="42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Additional Event for Continuation of Existing Severance Contractual Terms</w:t>
      </w:r>
      <w:r>
        <w:rPr>
          <w:rFonts w:ascii="Arial" w:cs="Arial" w:eastAsia="Arial" w:hAnsi="Arial"/>
          <w:sz w:val="18"/>
          <w:szCs w:val="18"/>
          <w:color w:val="auto"/>
        </w:rPr>
        <w:t>. In the event that, in connection with Project Voyager, you terminate your employment with Kodak and become employed by the acquirer of the Prosper business (directly or indirectly), and you are not otherwise eligible for the Severance Payments under Section 2.A of this Agreement, and you satisfy the requirements of Section 2.C, such termination of your employment shall be deemed to be a termination of your employment for Good Reason, and you shall be entitled to receive the Severance Payments and your Continued Vesting benefits in accordance with Section 2.A as a result of such termination.</w:t>
      </w:r>
    </w:p>
    <w:p>
      <w:pPr>
        <w:spacing w:after="0" w:line="126" w:lineRule="exact"/>
        <w:rPr>
          <w:rFonts w:ascii="Arial" w:cs="Arial" w:eastAsia="Arial" w:hAnsi="Arial"/>
          <w:sz w:val="18"/>
          <w:szCs w:val="18"/>
          <w:color w:val="auto"/>
        </w:rPr>
      </w:pPr>
    </w:p>
    <w:p>
      <w:pPr>
        <w:jc w:val="both"/>
        <w:ind w:left="420" w:right="240" w:hanging="420"/>
        <w:spacing w:after="0" w:line="246" w:lineRule="auto"/>
        <w:tabs>
          <w:tab w:leader="none" w:pos="420"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Waiver and Release Requirement</w:t>
      </w:r>
      <w:r>
        <w:rPr>
          <w:rFonts w:ascii="Arial" w:cs="Arial" w:eastAsia="Arial" w:hAnsi="Arial"/>
          <w:sz w:val="20"/>
          <w:szCs w:val="20"/>
          <w:color w:val="auto"/>
        </w:rPr>
        <w:t>. The Severance Payments and your Continued Vesting benefits will only be provided if, at the time of your termination, you provide a waiver and release of any and all claims you may have with respect to Kodak in the form attached hereto as Exhibit 1.</w:t>
      </w:r>
    </w:p>
    <w:p>
      <w:pPr>
        <w:spacing w:after="0" w:line="146" w:lineRule="exact"/>
        <w:rPr>
          <w:rFonts w:ascii="Arial" w:cs="Arial" w:eastAsia="Arial" w:hAnsi="Arial"/>
          <w:sz w:val="20"/>
          <w:szCs w:val="20"/>
          <w:color w:val="auto"/>
        </w:rPr>
      </w:pPr>
    </w:p>
    <w:p>
      <w:pPr>
        <w:jc w:val="both"/>
        <w:ind w:left="420" w:right="260" w:hanging="420"/>
        <w:spacing w:after="0" w:line="246" w:lineRule="auto"/>
        <w:tabs>
          <w:tab w:leader="none" w:pos="420"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Time of Payment of Severance Benefits</w:t>
      </w:r>
      <w:r>
        <w:rPr>
          <w:rFonts w:ascii="Arial" w:cs="Arial" w:eastAsia="Arial" w:hAnsi="Arial"/>
          <w:sz w:val="20"/>
          <w:szCs w:val="20"/>
          <w:color w:val="auto"/>
        </w:rPr>
        <w:t>. The Severance Payments will be made by Kodak in a lump sum within the next payroll cycle following the later of the date of your termination of employment or the date on which you provide Kodak with the waiver and release required by Section 2.C.</w:t>
      </w:r>
    </w:p>
    <w:p>
      <w:pPr>
        <w:spacing w:after="0" w:line="146" w:lineRule="exact"/>
        <w:rPr>
          <w:rFonts w:ascii="Arial" w:cs="Arial" w:eastAsia="Arial" w:hAnsi="Arial"/>
          <w:sz w:val="20"/>
          <w:szCs w:val="20"/>
          <w:color w:val="auto"/>
        </w:rPr>
      </w:pPr>
    </w:p>
    <w:p>
      <w:pPr>
        <w:ind w:left="420" w:right="840" w:hanging="420"/>
        <w:spacing w:after="0" w:line="310" w:lineRule="auto"/>
        <w:tabs>
          <w:tab w:leader="none" w:pos="42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Tax Withholding/Social Security</w:t>
      </w:r>
      <w:r>
        <w:rPr>
          <w:rFonts w:ascii="Arial" w:cs="Arial" w:eastAsia="Arial" w:hAnsi="Arial"/>
          <w:sz w:val="18"/>
          <w:szCs w:val="18"/>
          <w:color w:val="auto"/>
        </w:rPr>
        <w:t>. Kodak will withhold from the payment of the Severance Payments all income, payroll, employment taxes and compulsory social security contributions required by applicable law or regulation to be withheld.</w:t>
      </w:r>
    </w:p>
    <w:p>
      <w:pPr>
        <w:spacing w:after="0" w:line="92" w:lineRule="exact"/>
        <w:rPr>
          <w:rFonts w:ascii="Arial" w:cs="Arial" w:eastAsia="Arial" w:hAnsi="Arial"/>
          <w:sz w:val="18"/>
          <w:szCs w:val="18"/>
          <w:color w:val="auto"/>
        </w:rPr>
      </w:pPr>
    </w:p>
    <w:p>
      <w:pPr>
        <w:ind w:left="420" w:right="520" w:hanging="420"/>
        <w:spacing w:after="0" w:line="246" w:lineRule="auto"/>
        <w:tabs>
          <w:tab w:leader="none" w:pos="420"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Forfeiture</w:t>
      </w:r>
      <w:r>
        <w:rPr>
          <w:rFonts w:ascii="Arial" w:cs="Arial" w:eastAsia="Arial" w:hAnsi="Arial"/>
          <w:sz w:val="20"/>
          <w:szCs w:val="20"/>
          <w:color w:val="auto"/>
        </w:rPr>
        <w:t>. In the event you breach any of the terms of your Employment Contract, this Agreement, or the waiver and release required by Section 2.C, in addition to and not in lieu of any other remedies that Kodak may pursue against you, you will immediately forfeit your right to the Severance Payments under your Employment</w:t>
      </w:r>
    </w:p>
    <w:p>
      <w:pPr>
        <w:spacing w:after="0" w:line="360"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63500</wp:posOffset>
            </wp:positionV>
            <wp:extent cx="729043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760"/>
          </w:cols>
          <w:pgMar w:left="900" w:top="122" w:right="239" w:bottom="1440" w:gutter="0" w:footer="0" w:header="0"/>
        </w:sectPr>
      </w:pPr>
    </w:p>
    <w:bookmarkStart w:id="298" w:name="page299"/>
    <w:bookmarkEnd w:id="298"/>
    <w:p>
      <w:pPr>
        <w:ind w:left="10460"/>
        <w:spacing w:after="0"/>
        <w:rPr>
          <w:sz w:val="20"/>
          <w:szCs w:val="20"/>
          <w:color w:val="auto"/>
        </w:rPr>
      </w:pPr>
      <w:r>
        <w:rPr>
          <w:rFonts w:ascii="Arial" w:cs="Arial" w:eastAsia="Arial" w:hAnsi="Arial"/>
          <w:sz w:val="18"/>
          <w:szCs w:val="18"/>
          <w:color w:val="auto"/>
        </w:rPr>
        <w:t>Exhibit 10.4</w:t>
      </w:r>
    </w:p>
    <w:p>
      <w:pPr>
        <w:spacing w:after="0" w:line="37" w:lineRule="exact"/>
        <w:rPr>
          <w:sz w:val="20"/>
          <w:szCs w:val="20"/>
          <w:color w:val="auto"/>
        </w:rPr>
      </w:pPr>
    </w:p>
    <w:p>
      <w:pPr>
        <w:ind w:left="1080" w:right="540"/>
        <w:spacing w:after="0" w:line="292" w:lineRule="auto"/>
        <w:rPr>
          <w:sz w:val="20"/>
          <w:szCs w:val="20"/>
          <w:color w:val="auto"/>
        </w:rPr>
      </w:pPr>
      <w:r>
        <w:rPr>
          <w:rFonts w:ascii="Arial" w:cs="Arial" w:eastAsia="Arial" w:hAnsi="Arial"/>
          <w:sz w:val="18"/>
          <w:szCs w:val="18"/>
          <w:color w:val="auto"/>
        </w:rPr>
        <w:t>Contract or this Agreement, and if the Severance Payments have already been paid to you, you agree to immediately repay to Kodak the Severance Payments, and your Continued Vesting benefits shall immediately cease.</w:t>
      </w:r>
    </w:p>
    <w:p>
      <w:pPr>
        <w:spacing w:after="0" w:line="107" w:lineRule="exact"/>
        <w:rPr>
          <w:sz w:val="20"/>
          <w:szCs w:val="20"/>
          <w:color w:val="auto"/>
        </w:rPr>
      </w:pPr>
    </w:p>
    <w:p>
      <w:pPr>
        <w:ind w:left="1080" w:right="20" w:hanging="420"/>
        <w:spacing w:after="0" w:line="255" w:lineRule="auto"/>
        <w:tabs>
          <w:tab w:leader="none" w:pos="1080" w:val="left"/>
        </w:tabs>
        <w:numPr>
          <w:ilvl w:val="1"/>
          <w:numId w:val="260"/>
        </w:numPr>
        <w:rPr>
          <w:rFonts w:ascii="Arial" w:cs="Arial" w:eastAsia="Arial" w:hAnsi="Arial"/>
          <w:sz w:val="20"/>
          <w:szCs w:val="20"/>
          <w:color w:val="auto"/>
        </w:rPr>
      </w:pPr>
      <w:r>
        <w:rPr>
          <w:rFonts w:ascii="Arial" w:cs="Arial" w:eastAsia="Arial" w:hAnsi="Arial"/>
          <w:sz w:val="20"/>
          <w:szCs w:val="20"/>
          <w:u w:val="single" w:color="auto"/>
          <w:color w:val="auto"/>
        </w:rPr>
        <w:t>Employment Reference</w:t>
      </w:r>
      <w:r>
        <w:rPr>
          <w:rFonts w:ascii="Arial" w:cs="Arial" w:eastAsia="Arial" w:hAnsi="Arial"/>
          <w:sz w:val="20"/>
          <w:szCs w:val="20"/>
          <w:color w:val="auto"/>
        </w:rPr>
        <w:t>. Kodak will provide you with an employment reference promptly following the date of your termination of employment.</w:t>
      </w:r>
    </w:p>
    <w:p>
      <w:pPr>
        <w:spacing w:after="0" w:line="138" w:lineRule="exact"/>
        <w:rPr>
          <w:rFonts w:ascii="Arial" w:cs="Arial" w:eastAsia="Arial" w:hAnsi="Arial"/>
          <w:sz w:val="20"/>
          <w:szCs w:val="20"/>
          <w:color w:val="auto"/>
        </w:rPr>
      </w:pPr>
    </w:p>
    <w:p>
      <w:pPr>
        <w:ind w:left="1080" w:right="100" w:hanging="420"/>
        <w:spacing w:after="0" w:line="299" w:lineRule="auto"/>
        <w:tabs>
          <w:tab w:leader="none" w:pos="1080"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Non-Duplication of Severance Payments</w:t>
      </w:r>
      <w:r>
        <w:rPr>
          <w:rFonts w:ascii="Arial" w:cs="Arial" w:eastAsia="Arial" w:hAnsi="Arial"/>
          <w:sz w:val="17"/>
          <w:szCs w:val="17"/>
          <w:color w:val="auto"/>
        </w:rPr>
        <w:t>. Under no circumstances shall you be entitled to receive your Severance Payments under this Agreement and severance payments under your Employment Contract, any other agreement with Kodak or an affiliate thereof or any applicable employment statute. In the event that you are entitled to receive severance payments outside of this Agreement, your Severance Payments payable under this Agreement shall be reduced by the amount of such other severance payments.</w:t>
      </w:r>
    </w:p>
    <w:p>
      <w:pPr>
        <w:spacing w:after="0" w:line="100" w:lineRule="exact"/>
        <w:rPr>
          <w:rFonts w:ascii="Arial" w:cs="Arial" w:eastAsia="Arial" w:hAnsi="Arial"/>
          <w:sz w:val="17"/>
          <w:szCs w:val="17"/>
          <w:color w:val="auto"/>
        </w:rPr>
      </w:pPr>
    </w:p>
    <w:p>
      <w:pPr>
        <w:ind w:left="640" w:hanging="633"/>
        <w:spacing w:after="0"/>
        <w:tabs>
          <w:tab w:leader="none" w:pos="640" w:val="left"/>
        </w:tabs>
        <w:numPr>
          <w:ilvl w:val="0"/>
          <w:numId w:val="261"/>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w:t>
      </w:r>
    </w:p>
    <w:p>
      <w:pPr>
        <w:spacing w:after="0" w:line="176" w:lineRule="exact"/>
        <w:rPr>
          <w:rFonts w:ascii="Arial" w:cs="Arial" w:eastAsia="Arial" w:hAnsi="Arial"/>
          <w:sz w:val="20"/>
          <w:szCs w:val="20"/>
          <w:b w:val="1"/>
          <w:bCs w:val="1"/>
          <w:color w:val="auto"/>
        </w:rPr>
      </w:pPr>
    </w:p>
    <w:p>
      <w:pPr>
        <w:ind w:left="1080" w:hanging="420"/>
        <w:spacing w:after="0"/>
        <w:tabs>
          <w:tab w:leader="none" w:pos="1080" w:val="left"/>
        </w:tabs>
        <w:numPr>
          <w:ilvl w:val="1"/>
          <w:numId w:val="261"/>
        </w:numPr>
        <w:rPr>
          <w:rFonts w:ascii="Arial" w:cs="Arial" w:eastAsia="Arial" w:hAnsi="Arial"/>
          <w:sz w:val="20"/>
          <w:szCs w:val="20"/>
          <w:color w:val="auto"/>
        </w:rPr>
      </w:pPr>
      <w:r>
        <w:rPr>
          <w:rFonts w:ascii="Arial" w:cs="Arial" w:eastAsia="Arial" w:hAnsi="Arial"/>
          <w:sz w:val="20"/>
          <w:szCs w:val="20"/>
          <w:u w:val="single" w:color="auto"/>
          <w:color w:val="auto"/>
        </w:rPr>
        <w:t>Assignment by You</w:t>
      </w:r>
      <w:r>
        <w:rPr>
          <w:rFonts w:ascii="Arial" w:cs="Arial" w:eastAsia="Arial" w:hAnsi="Arial"/>
          <w:sz w:val="20"/>
          <w:szCs w:val="20"/>
          <w:color w:val="auto"/>
        </w:rPr>
        <w:t>. You may not assign your rights or obligations under this Agreement.</w:t>
      </w:r>
    </w:p>
    <w:p>
      <w:pPr>
        <w:spacing w:after="0" w:line="170" w:lineRule="exact"/>
        <w:rPr>
          <w:rFonts w:ascii="Arial" w:cs="Arial" w:eastAsia="Arial" w:hAnsi="Arial"/>
          <w:sz w:val="20"/>
          <w:szCs w:val="20"/>
          <w:color w:val="auto"/>
        </w:rPr>
      </w:pPr>
    </w:p>
    <w:p>
      <w:pPr>
        <w:jc w:val="both"/>
        <w:ind w:left="1080" w:right="100" w:hanging="420"/>
        <w:spacing w:after="0" w:line="286" w:lineRule="auto"/>
        <w:tabs>
          <w:tab w:leader="none" w:pos="1080"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Assignment by Kodak</w:t>
      </w:r>
      <w:r>
        <w:rPr>
          <w:rFonts w:ascii="Arial" w:cs="Arial" w:eastAsia="Arial" w:hAnsi="Arial"/>
          <w:sz w:val="18"/>
          <w:szCs w:val="18"/>
          <w:color w:val="auto"/>
        </w:rPr>
        <w:t>. Kodak may assign its rights and obligations under this Agreement to a third party, including its obligations to make payment to you of the Success Fee or Severance Payments; provided, however, Kodak shall remain liable for the payment of the Success Fee and Severance Payments in the event that such third party fails to make such payments to you.</w:t>
      </w:r>
    </w:p>
    <w:p>
      <w:pPr>
        <w:spacing w:after="0" w:line="113" w:lineRule="exact"/>
        <w:rPr>
          <w:rFonts w:ascii="Arial" w:cs="Arial" w:eastAsia="Arial" w:hAnsi="Arial"/>
          <w:sz w:val="18"/>
          <w:szCs w:val="18"/>
          <w:color w:val="auto"/>
        </w:rPr>
      </w:pPr>
    </w:p>
    <w:p>
      <w:pPr>
        <w:ind w:left="1080" w:right="780" w:hanging="420"/>
        <w:spacing w:after="0" w:line="255" w:lineRule="auto"/>
        <w:tabs>
          <w:tab w:leader="none" w:pos="1080" w:val="left"/>
        </w:tabs>
        <w:numPr>
          <w:ilvl w:val="1"/>
          <w:numId w:val="261"/>
        </w:numPr>
        <w:rPr>
          <w:rFonts w:ascii="Arial" w:cs="Arial" w:eastAsia="Arial" w:hAnsi="Arial"/>
          <w:sz w:val="20"/>
          <w:szCs w:val="20"/>
          <w:color w:val="auto"/>
        </w:rPr>
      </w:pPr>
      <w:r>
        <w:rPr>
          <w:rFonts w:ascii="Arial" w:cs="Arial" w:eastAsia="Arial" w:hAnsi="Arial"/>
          <w:sz w:val="20"/>
          <w:szCs w:val="20"/>
          <w:u w:val="single" w:color="auto"/>
          <w:color w:val="auto"/>
        </w:rPr>
        <w:t>Kodak Successors</w:t>
      </w:r>
      <w:r>
        <w:rPr>
          <w:rFonts w:ascii="Arial" w:cs="Arial" w:eastAsia="Arial" w:hAnsi="Arial"/>
          <w:sz w:val="20"/>
          <w:szCs w:val="20"/>
          <w:color w:val="auto"/>
        </w:rPr>
        <w:t>. The rights and obligations of Kodak hereunder will inure to the benefit of and will be binding upon its successors and assigns.</w:t>
      </w:r>
    </w:p>
    <w:p>
      <w:pPr>
        <w:spacing w:after="0" w:line="132" w:lineRule="exact"/>
        <w:rPr>
          <w:rFonts w:ascii="Arial" w:cs="Arial" w:eastAsia="Arial" w:hAnsi="Arial"/>
          <w:sz w:val="20"/>
          <w:szCs w:val="20"/>
          <w:color w:val="auto"/>
        </w:rPr>
      </w:pPr>
    </w:p>
    <w:p>
      <w:pPr>
        <w:ind w:left="640" w:hanging="633"/>
        <w:spacing w:after="0"/>
        <w:tabs>
          <w:tab w:leader="none" w:pos="640" w:val="left"/>
        </w:tabs>
        <w:numPr>
          <w:ilvl w:val="0"/>
          <w:numId w:val="261"/>
        </w:numPr>
        <w:rPr>
          <w:rFonts w:ascii="Arial" w:cs="Arial" w:eastAsia="Arial" w:hAnsi="Arial"/>
          <w:sz w:val="20"/>
          <w:szCs w:val="20"/>
          <w:b w:val="1"/>
          <w:bCs w:val="1"/>
          <w:color w:val="auto"/>
        </w:rPr>
      </w:pPr>
      <w:r>
        <w:rPr>
          <w:rFonts w:ascii="Arial" w:cs="Arial" w:eastAsia="Arial" w:hAnsi="Arial"/>
          <w:sz w:val="20"/>
          <w:szCs w:val="20"/>
          <w:b w:val="1"/>
          <w:bCs w:val="1"/>
          <w:color w:val="auto"/>
        </w:rPr>
        <w:t>Effect of Agreement on Employment Contract</w:t>
      </w:r>
    </w:p>
    <w:p>
      <w:pPr>
        <w:spacing w:after="0" w:line="189"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The terms of your Employment Contract other than those regarding severance (including, but not limited to compensation, benefits, data protection, obligations of confidentiality, and non-competition and non-solicitation restrictions, etc.) remain in effect and continue in accordance with their terms under the Employment Contract until the Expiration Date, and for certain terms (e.g., obligations of confidentiality, and non-competition and non-solicitation restrictions), beyond the Expiration Date to the extent and for the period provided by the Employment Contract. Notwithstanding the foregoing, your employment with the acquirer of the Prosper business on or after the Success Date shall not be considered engagement in a business which is in competition with the Business (as defined in your Employment Contract).</w:t>
      </w:r>
    </w:p>
    <w:p>
      <w:pPr>
        <w:spacing w:after="0" w:line="120" w:lineRule="exact"/>
        <w:rPr>
          <w:sz w:val="20"/>
          <w:szCs w:val="20"/>
          <w:color w:val="auto"/>
        </w:rPr>
      </w:pPr>
    </w:p>
    <w:p>
      <w:pPr>
        <w:ind w:left="640" w:hanging="633"/>
        <w:spacing w:after="0"/>
        <w:tabs>
          <w:tab w:leader="none" w:pos="640" w:val="left"/>
        </w:tabs>
        <w:numPr>
          <w:ilvl w:val="0"/>
          <w:numId w:val="262"/>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 Provisions</w:t>
      </w:r>
    </w:p>
    <w:p>
      <w:pPr>
        <w:spacing w:after="0" w:line="176" w:lineRule="exact"/>
        <w:rPr>
          <w:rFonts w:ascii="Arial" w:cs="Arial" w:eastAsia="Arial" w:hAnsi="Arial"/>
          <w:sz w:val="20"/>
          <w:szCs w:val="20"/>
          <w:b w:val="1"/>
          <w:bCs w:val="1"/>
          <w:color w:val="auto"/>
        </w:rPr>
      </w:pPr>
    </w:p>
    <w:p>
      <w:pPr>
        <w:ind w:left="1080" w:right="340" w:hanging="420"/>
        <w:spacing w:after="0" w:line="310"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You agree to keep the existence and content of this Agreement confidential, except that you may review it with your supervisor, attorney, financial advisor, spouse, and/or with me or my designee. Prior to any such disclosure, you</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63500</wp:posOffset>
            </wp:positionV>
            <wp:extent cx="729043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99" w:name="page300"/>
    <w:bookmarkEnd w:id="299"/>
    <w:p>
      <w:pPr>
        <w:ind w:left="9800"/>
        <w:spacing w:after="0"/>
        <w:rPr>
          <w:sz w:val="20"/>
          <w:szCs w:val="20"/>
          <w:color w:val="auto"/>
        </w:rPr>
      </w:pPr>
      <w:r>
        <w:rPr>
          <w:rFonts w:ascii="Arial" w:cs="Arial" w:eastAsia="Arial" w:hAnsi="Arial"/>
          <w:sz w:val="18"/>
          <w:szCs w:val="18"/>
          <w:color w:val="auto"/>
        </w:rPr>
        <w:t>Exhibit 10.4</w:t>
      </w:r>
    </w:p>
    <w:p>
      <w:pPr>
        <w:spacing w:after="0" w:line="37" w:lineRule="exact"/>
        <w:rPr>
          <w:sz w:val="20"/>
          <w:szCs w:val="20"/>
          <w:color w:val="auto"/>
        </w:rPr>
      </w:pPr>
    </w:p>
    <w:p>
      <w:pPr>
        <w:ind w:left="420" w:right="240"/>
        <w:spacing w:after="0" w:line="268" w:lineRule="auto"/>
        <w:rPr>
          <w:sz w:val="20"/>
          <w:szCs w:val="20"/>
          <w:color w:val="auto"/>
        </w:rPr>
      </w:pPr>
      <w:r>
        <w:rPr>
          <w:rFonts w:ascii="Arial" w:cs="Arial" w:eastAsia="Arial" w:hAnsi="Arial"/>
          <w:sz w:val="18"/>
          <w:szCs w:val="18"/>
          <w:color w:val="auto"/>
        </w:rPr>
        <w:t>agree to advise these individuals of the confidential nature of this Agreement and the facts giving rise to it as well as their obligations to maintain the confidentiality of this Agreement and the facts giving rise to it. Nonetheless, either party to this Agreement (that is, you and Kodak) may disclose to any and all persons, without limitation of any kind, the tax treatment and tax structure of this transaction and all materials of any kind (including opinions or other tax analysis) that may be provided to that party relating to tax treatment and tax structure. In addition, Kodak may disclose this Agreement as required by applicable law (including filing a copy of this Agreement with the U.S. Securities and Exchange Commission).</w:t>
      </w:r>
    </w:p>
    <w:p>
      <w:pPr>
        <w:spacing w:after="0" w:line="131" w:lineRule="exact"/>
        <w:rPr>
          <w:sz w:val="20"/>
          <w:szCs w:val="20"/>
          <w:color w:val="auto"/>
        </w:rPr>
      </w:pPr>
    </w:p>
    <w:p>
      <w:pPr>
        <w:ind w:left="420" w:right="120" w:hanging="420"/>
        <w:spacing w:after="0" w:line="246" w:lineRule="auto"/>
        <w:tabs>
          <w:tab w:leader="none" w:pos="420" w:val="left"/>
        </w:tabs>
        <w:numPr>
          <w:ilvl w:val="0"/>
          <w:numId w:val="263"/>
        </w:numPr>
        <w:rPr>
          <w:rFonts w:ascii="Arial" w:cs="Arial" w:eastAsia="Arial" w:hAnsi="Arial"/>
          <w:sz w:val="20"/>
          <w:szCs w:val="20"/>
          <w:color w:val="auto"/>
        </w:rPr>
      </w:pPr>
      <w:r>
        <w:rPr>
          <w:rFonts w:ascii="Arial" w:cs="Arial" w:eastAsia="Arial" w:hAnsi="Arial"/>
          <w:sz w:val="20"/>
          <w:szCs w:val="20"/>
          <w:u w:val="single" w:color="auto"/>
          <w:color w:val="auto"/>
        </w:rPr>
        <w:t>Unenforceability</w:t>
      </w:r>
      <w:r>
        <w:rPr>
          <w:rFonts w:ascii="Arial" w:cs="Arial" w:eastAsia="Arial" w:hAnsi="Arial"/>
          <w:sz w:val="20"/>
          <w:szCs w:val="20"/>
          <w:color w:val="auto"/>
        </w:rPr>
        <w:t>. If any portion of this Agreement is deemed to be void or unenforceable by a court of competent jurisdiction, the remaining portions will remain in full force and effect to the maximum extent allowed by law. The parties intend and desire that each portion of this Agreement be given the maximum possible effect allowed by law.</w:t>
      </w:r>
    </w:p>
    <w:p>
      <w:pPr>
        <w:spacing w:after="0" w:line="146" w:lineRule="exact"/>
        <w:rPr>
          <w:rFonts w:ascii="Arial" w:cs="Arial" w:eastAsia="Arial" w:hAnsi="Arial"/>
          <w:sz w:val="20"/>
          <w:szCs w:val="20"/>
          <w:color w:val="auto"/>
        </w:rPr>
      </w:pPr>
    </w:p>
    <w:p>
      <w:pPr>
        <w:ind w:left="420" w:right="80" w:hanging="420"/>
        <w:spacing w:after="0" w:line="272" w:lineRule="auto"/>
        <w:tabs>
          <w:tab w:leader="none" w:pos="42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Kodak Right to Set-off</w:t>
      </w:r>
      <w:r>
        <w:rPr>
          <w:rFonts w:ascii="Arial" w:cs="Arial" w:eastAsia="Arial" w:hAnsi="Arial"/>
          <w:sz w:val="18"/>
          <w:szCs w:val="18"/>
          <w:color w:val="auto"/>
        </w:rPr>
        <w:t>. By accepting this Agreement, you agree that except as prohibited by law, your obligations to repay Kodak under the terms of this Agreement or other agreement with Kodak may be satisfied by Kodak, at its option and without prior notice to you, by its set-off against amounts payable by Kodak to you, including compensation or benefits, at the time of your termination of employment for or on account of any reason. Kodak will advise you of any set-off effected under this Section. This Section shall be without prejudice and in addition to any right of set-off, combination of accounts, lien or other right to which Kodak is at any time otherwise entitled (whether by operation of law, contract or otherwise).</w:t>
      </w:r>
    </w:p>
    <w:p>
      <w:pPr>
        <w:spacing w:after="0" w:line="126" w:lineRule="exact"/>
        <w:rPr>
          <w:rFonts w:ascii="Arial" w:cs="Arial" w:eastAsia="Arial" w:hAnsi="Arial"/>
          <w:sz w:val="18"/>
          <w:szCs w:val="18"/>
          <w:color w:val="auto"/>
        </w:rPr>
      </w:pPr>
    </w:p>
    <w:p>
      <w:pPr>
        <w:ind w:left="420" w:right="40" w:hanging="420"/>
        <w:spacing w:after="0" w:line="310" w:lineRule="auto"/>
        <w:tabs>
          <w:tab w:leader="none" w:pos="42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several sections of this Agreement have been prepared for convenience and reference only and shall not control, affect the meaning or be taken as the interpretation of any provision of this Agreement.</w:t>
      </w:r>
    </w:p>
    <w:p>
      <w:pPr>
        <w:spacing w:after="0" w:line="92" w:lineRule="exact"/>
        <w:rPr>
          <w:rFonts w:ascii="Arial" w:cs="Arial" w:eastAsia="Arial" w:hAnsi="Arial"/>
          <w:sz w:val="18"/>
          <w:szCs w:val="18"/>
          <w:color w:val="auto"/>
        </w:rPr>
      </w:pPr>
    </w:p>
    <w:p>
      <w:pPr>
        <w:ind w:left="420" w:right="720" w:hanging="420"/>
        <w:spacing w:after="0" w:line="255" w:lineRule="auto"/>
        <w:tabs>
          <w:tab w:leader="none" w:pos="420" w:val="left"/>
        </w:tabs>
        <w:numPr>
          <w:ilvl w:val="0"/>
          <w:numId w:val="263"/>
        </w:numPr>
        <w:rPr>
          <w:rFonts w:ascii="Arial" w:cs="Arial" w:eastAsia="Arial" w:hAnsi="Arial"/>
          <w:sz w:val="20"/>
          <w:szCs w:val="20"/>
          <w:color w:val="auto"/>
        </w:rPr>
      </w:pPr>
      <w:r>
        <w:rPr>
          <w:rFonts w:ascii="Arial" w:cs="Arial" w:eastAsia="Arial" w:hAnsi="Arial"/>
          <w:sz w:val="20"/>
          <w:szCs w:val="20"/>
          <w:u w:val="single" w:color="auto"/>
          <w:color w:val="auto"/>
        </w:rPr>
        <w:t>Applicable Law and Jurisdiction</w:t>
      </w:r>
      <w:r>
        <w:rPr>
          <w:rFonts w:ascii="Arial" w:cs="Arial" w:eastAsia="Arial" w:hAnsi="Arial"/>
          <w:sz w:val="20"/>
          <w:szCs w:val="20"/>
          <w:color w:val="auto"/>
        </w:rPr>
        <w:t>. This Agreement shall be governed by substantive Swiss law. Disputes arising under this Agreement shall be subject to the competent courts of the canton of Geneva.</w:t>
      </w:r>
    </w:p>
    <w:p>
      <w:pPr>
        <w:spacing w:after="0" w:line="138" w:lineRule="exact"/>
        <w:rPr>
          <w:rFonts w:ascii="Arial" w:cs="Arial" w:eastAsia="Arial" w:hAnsi="Arial"/>
          <w:sz w:val="20"/>
          <w:szCs w:val="20"/>
          <w:color w:val="auto"/>
        </w:rPr>
      </w:pPr>
    </w:p>
    <w:p>
      <w:pPr>
        <w:ind w:left="420" w:right="180" w:hanging="420"/>
        <w:spacing w:after="0" w:line="255" w:lineRule="auto"/>
        <w:tabs>
          <w:tab w:leader="none" w:pos="420" w:val="left"/>
        </w:tabs>
        <w:numPr>
          <w:ilvl w:val="0"/>
          <w:numId w:val="263"/>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not be changed, modified, or amended, except in a writing signed by both you and Kodak that expressly acknowledges that it is changing, modifying or amending this Agreement.</w:t>
      </w:r>
    </w:p>
    <w:p>
      <w:pPr>
        <w:spacing w:after="0" w:line="138" w:lineRule="exact"/>
        <w:rPr>
          <w:rFonts w:ascii="Arial" w:cs="Arial" w:eastAsia="Arial" w:hAnsi="Arial"/>
          <w:sz w:val="20"/>
          <w:szCs w:val="20"/>
          <w:color w:val="auto"/>
        </w:rPr>
      </w:pPr>
    </w:p>
    <w:p>
      <w:pPr>
        <w:ind w:left="420" w:right="480" w:hanging="420"/>
        <w:spacing w:after="0" w:line="278" w:lineRule="auto"/>
        <w:tabs>
          <w:tab w:leader="none" w:pos="42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Created</w:t>
      </w:r>
      <w:r>
        <w:rPr>
          <w:rFonts w:ascii="Arial" w:cs="Arial" w:eastAsia="Arial" w:hAnsi="Arial"/>
          <w:sz w:val="18"/>
          <w:szCs w:val="18"/>
          <w:color w:val="auto"/>
        </w:rPr>
        <w:t>. This Agreement does not provide you with any right to remain in the continued employment of Kodak for any specified period of time. As agreed in the Employment Contract, you or the Company may terminate your employment early at any time for any reason, or for no reason, provided that you or the Company provides a Termination Notice to the other at least one month prior to any termination.</w:t>
      </w:r>
    </w:p>
    <w:p>
      <w:pPr>
        <w:spacing w:after="0" w:line="33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63500</wp:posOffset>
            </wp:positionV>
            <wp:extent cx="729043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20"/>
          <w:szCs w:val="20"/>
          <w:color w:val="auto"/>
        </w:rPr>
        <w:t>Exhibit 10.4</w:t>
      </w:r>
    </w:p>
    <w:p>
      <w:pPr>
        <w:spacing w:after="0" w:line="14" w:lineRule="exact"/>
        <w:rPr>
          <w:sz w:val="20"/>
          <w:szCs w:val="20"/>
          <w:color w:val="auto"/>
        </w:rPr>
      </w:pPr>
    </w:p>
    <w:p>
      <w:pPr>
        <w:ind w:left="1080" w:right="620" w:hanging="420"/>
        <w:spacing w:after="0" w:line="300" w:lineRule="auto"/>
        <w:tabs>
          <w:tab w:leader="none" w:pos="1080"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Complete Agreement</w:t>
      </w:r>
      <w:r>
        <w:rPr>
          <w:rFonts w:ascii="Arial" w:cs="Arial" w:eastAsia="Arial" w:hAnsi="Arial"/>
          <w:sz w:val="17"/>
          <w:szCs w:val="17"/>
          <w:color w:val="auto"/>
        </w:rPr>
        <w:t>. By accepting this Agreement, you agree and acknowledge that this Agreement contains the entire understanding between Kodak and yourself with respect to your retention incentive and the severance payment benefits, and supersedes all previous written or oral negotiations, commitments, and agreements with respect to such subject matter.</w:t>
      </w:r>
    </w:p>
    <w:p>
      <w:pPr>
        <w:spacing w:after="0" w:line="104" w:lineRule="exact"/>
        <w:rPr>
          <w:rFonts w:ascii="Arial" w:cs="Arial" w:eastAsia="Arial" w:hAnsi="Arial"/>
          <w:sz w:val="17"/>
          <w:szCs w:val="17"/>
          <w:color w:val="auto"/>
        </w:rPr>
      </w:pPr>
    </w:p>
    <w:p>
      <w:pPr>
        <w:ind w:left="1080" w:right="220" w:hanging="420"/>
        <w:spacing w:after="0" w:line="286"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Tax Liability</w:t>
      </w:r>
      <w:r>
        <w:rPr>
          <w:rFonts w:ascii="Arial" w:cs="Arial" w:eastAsia="Arial" w:hAnsi="Arial"/>
          <w:sz w:val="18"/>
          <w:szCs w:val="18"/>
          <w:color w:val="auto"/>
        </w:rPr>
        <w:t>. By signing this Agreement you agree that Kodak has not provided you with advice regarding the tax treatment of any of the benefits or payments provided hereunder. In particular, you hereby acknowledge that Kodak makes no representations with respect to the tax consequences of the compensation arrangements described in this Agreement.</w:t>
      </w:r>
    </w:p>
    <w:p>
      <w:pPr>
        <w:spacing w:after="0" w:line="113" w:lineRule="exact"/>
        <w:rPr>
          <w:sz w:val="20"/>
          <w:szCs w:val="20"/>
          <w:color w:val="auto"/>
        </w:rPr>
      </w:pPr>
    </w:p>
    <w:p>
      <w:pPr>
        <w:ind w:left="5880" w:hanging="730"/>
        <w:spacing w:after="0"/>
        <w:tabs>
          <w:tab w:leader="none" w:pos="588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If you wish to accept the terms of this Agreement, please sign your name and complete the signature date in the spaces provided below and return the signed original to me.</w:t>
      </w:r>
    </w:p>
    <w:p>
      <w:pPr>
        <w:spacing w:after="0" w:line="151"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Sincerely,</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 Cendrine Saugy</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Cendrine Saugy</w:t>
      </w:r>
    </w:p>
    <w:p>
      <w:pPr>
        <w:spacing w:after="0" w:line="13"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HR Manager, Switzerland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Accepted by:</w:t>
      </w:r>
    </w:p>
    <w:p>
      <w:pPr>
        <w:sectPr>
          <w:pgSz w:w="11900" w:h="16838" w:orient="portrait"/>
          <w:cols w:equalWidth="0" w:num="1">
            <w:col w:w="11420"/>
          </w:cols>
          <w:pgMar w:left="240" w:top="122"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Philip Cullimore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25/5/16</w:t>
      </w:r>
    </w:p>
    <w:p>
      <w:pPr>
        <w:spacing w:after="0" w:line="204" w:lineRule="exact"/>
        <w:rPr>
          <w:sz w:val="20"/>
          <w:szCs w:val="20"/>
          <w:color w:val="auto"/>
        </w:rPr>
      </w:pPr>
    </w:p>
    <w:p>
      <w:pPr>
        <w:sectPr>
          <w:pgSz w:w="11900" w:h="16838" w:orient="portrait"/>
          <w:cols w:equalWidth="0" w:num="2">
            <w:col w:w="1540" w:space="640"/>
            <w:col w:w="9240"/>
          </w:cols>
          <w:pgMar w:left="240" w:top="122" w:right="239" w:bottom="1440" w:gutter="0" w:footer="0" w:header="0"/>
          <w:type w:val="continuous"/>
        </w:sectPr>
      </w:pPr>
    </w:p>
    <w:p>
      <w:pPr>
        <w:jc w:val="both"/>
        <w:spacing w:after="0" w:line="343" w:lineRule="auto"/>
        <w:rPr>
          <w:sz w:val="20"/>
          <w:szCs w:val="20"/>
          <w:color w:val="auto"/>
        </w:rPr>
      </w:pPr>
      <w:r>
        <w:rPr>
          <w:rFonts w:ascii="Arial" w:cs="Arial" w:eastAsia="Arial" w:hAnsi="Arial"/>
          <w:sz w:val="17"/>
          <w:szCs w:val="17"/>
          <w:color w:val="auto"/>
        </w:rPr>
        <w:t>_________________________ Philip Cullimore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____________</w:t>
      </w:r>
    </w:p>
    <w:p>
      <w:pPr>
        <w:spacing w:after="0" w:line="563" w:lineRule="exact"/>
        <w:rPr>
          <w:sz w:val="20"/>
          <w:szCs w:val="20"/>
          <w:color w:val="auto"/>
        </w:rPr>
      </w:pPr>
    </w:p>
    <w:p>
      <w:pPr>
        <w:sectPr>
          <w:pgSz w:w="11900" w:h="16838" w:orient="portrait"/>
          <w:cols w:equalWidth="0" w:num="2">
            <w:col w:w="2480" w:space="600"/>
            <w:col w:w="8340"/>
          </w:cols>
          <w:pgMar w:left="240" w:top="122" w:right="239" w:bottom="1440" w:gutter="0" w:footer="0" w:header="0"/>
          <w:type w:val="continuous"/>
        </w:sectPr>
      </w:pPr>
    </w:p>
    <w:p>
      <w:pPr>
        <w:spacing w:after="0" w:line="121" w:lineRule="exact"/>
        <w:rPr>
          <w:sz w:val="20"/>
          <w:szCs w:val="20"/>
          <w:color w:val="auto"/>
        </w:rPr>
      </w:pPr>
    </w:p>
    <w:p>
      <w:pPr>
        <w:ind w:left="880" w:hanging="873"/>
        <w:spacing w:after="0"/>
        <w:tabs>
          <w:tab w:leader="none" w:pos="8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Jeffrey J. Clarke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29043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01" w:name="page302"/>
    <w:bookmarkEnd w:id="301"/>
    <w:p>
      <w:pPr>
        <w:jc w:val="right"/>
        <w:spacing w:after="0"/>
        <w:rPr>
          <w:sz w:val="20"/>
          <w:szCs w:val="20"/>
          <w:color w:val="auto"/>
        </w:rPr>
      </w:pPr>
      <w:r>
        <w:rPr>
          <w:rFonts w:ascii="Arial" w:cs="Arial" w:eastAsia="Arial" w:hAnsi="Arial"/>
          <w:sz w:val="20"/>
          <w:szCs w:val="20"/>
          <w:color w:val="auto"/>
        </w:rPr>
        <w:t>Exhibit 10.4</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Letter Agreement with Philip Cullimore dated May 24, 2016</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63500</wp:posOffset>
            </wp:positionV>
            <wp:extent cx="729043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302" w:name="page303"/>
    <w:bookmarkEnd w:id="302"/>
    <w:p>
      <w:pPr>
        <w:jc w:val="right"/>
        <w:spacing w:after="0"/>
        <w:rPr>
          <w:sz w:val="20"/>
          <w:szCs w:val="20"/>
          <w:color w:val="auto"/>
        </w:rPr>
      </w:pPr>
      <w:r>
        <w:rPr>
          <w:rFonts w:ascii="Arial" w:cs="Arial" w:eastAsia="Arial" w:hAnsi="Arial"/>
          <w:sz w:val="20"/>
          <w:szCs w:val="20"/>
          <w:color w:val="auto"/>
        </w:rPr>
        <w:t>Exhibit 10.4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 Agreement with Philip Cullimore dated May 24, 2016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1</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Waiver and Release of Claims</w:t>
      </w:r>
    </w:p>
    <w:p>
      <w:pPr>
        <w:spacing w:after="0" w:line="200" w:lineRule="exact"/>
        <w:rPr>
          <w:sz w:val="20"/>
          <w:szCs w:val="20"/>
          <w:color w:val="auto"/>
        </w:rPr>
      </w:pPr>
    </w:p>
    <w:p>
      <w:pPr>
        <w:spacing w:after="0" w:line="21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Eastman Kodak Sàrl</w:t>
      </w:r>
    </w:p>
    <w:p>
      <w:pPr>
        <w:spacing w:after="0" w:line="9"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Cendrine Saugy</w:t>
      </w:r>
    </w:p>
    <w:p>
      <w:pPr>
        <w:ind w:left="6920"/>
        <w:spacing w:after="0" w:line="236" w:lineRule="auto"/>
        <w:rPr>
          <w:sz w:val="20"/>
          <w:szCs w:val="20"/>
          <w:color w:val="auto"/>
        </w:rPr>
      </w:pPr>
      <w:r>
        <w:rPr>
          <w:rFonts w:ascii="Arial" w:cs="Arial" w:eastAsia="Arial" w:hAnsi="Arial"/>
          <w:sz w:val="20"/>
          <w:szCs w:val="20"/>
          <w:color w:val="auto"/>
        </w:rPr>
        <w:t>Route de Crassier 21</w:t>
      </w:r>
    </w:p>
    <w:p>
      <w:pPr>
        <w:ind w:left="6920"/>
        <w:spacing w:after="0" w:line="237" w:lineRule="auto"/>
        <w:rPr>
          <w:sz w:val="20"/>
          <w:szCs w:val="20"/>
          <w:color w:val="auto"/>
        </w:rPr>
      </w:pPr>
      <w:r>
        <w:rPr>
          <w:rFonts w:ascii="Arial" w:cs="Arial" w:eastAsia="Arial" w:hAnsi="Arial"/>
          <w:sz w:val="20"/>
          <w:szCs w:val="20"/>
          <w:color w:val="auto"/>
        </w:rPr>
        <w:t>CH - 1262 Eysins</w:t>
      </w:r>
    </w:p>
    <w:p>
      <w:pPr>
        <w:ind w:left="6920"/>
        <w:spacing w:after="0"/>
        <w:rPr>
          <w:sz w:val="20"/>
          <w:szCs w:val="20"/>
          <w:color w:val="auto"/>
        </w:rPr>
      </w:pPr>
      <w:r>
        <w:rPr>
          <w:rFonts w:ascii="Arial" w:cs="Arial" w:eastAsia="Arial" w:hAnsi="Arial"/>
          <w:sz w:val="20"/>
          <w:szCs w:val="20"/>
          <w:color w:val="auto"/>
        </w:rPr>
        <w:t>Switzerland</w:t>
      </w:r>
    </w:p>
    <w:p>
      <w:pPr>
        <w:spacing w:after="0" w:line="221"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Eysins, May 24th 2016</w:t>
      </w:r>
    </w:p>
    <w:p>
      <w:pPr>
        <w:spacing w:after="0" w:line="23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Termination of my employment relationship with Eastman Kodak Sàrl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Reference is made to the termination of my employment relationship with the Company.</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 irrevocably and unconditionally release and forever discharge the Company and/or its affiliates, including without limitation their directors, officers, executives, partners, stakeholders, agents, attorneys, insurers and employees, past and present, and each of them, from any and all claims (including but not limited to potential claims regarding benefits, overtime, vacation, pension, social security or bonus) in full and final settlement of any rights or obligations that may exist on the date hereof or at any time hereafter, including in particular in connection with or arising out of my employment agreement and/or the termination thereof.</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Philip Cullimore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22" w:right="2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color w:val="auto"/>
        </w:rPr>
        <w:t>Exhibit 10.5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Eastman Kodak Company</w:t>
      </w:r>
    </w:p>
    <w:p>
      <w:pPr>
        <w:jc w:val="center"/>
        <w:spacing w:after="0" w:line="230" w:lineRule="auto"/>
        <w:rPr>
          <w:sz w:val="20"/>
          <w:szCs w:val="20"/>
          <w:color w:val="auto"/>
        </w:rPr>
      </w:pPr>
      <w:r>
        <w:rPr>
          <w:rFonts w:ascii="Arial" w:cs="Arial" w:eastAsia="Arial" w:hAnsi="Arial"/>
          <w:sz w:val="20"/>
          <w:szCs w:val="20"/>
          <w:b w:val="1"/>
          <w:bCs w:val="1"/>
          <w:color w:val="auto"/>
        </w:rPr>
        <w:t>Administrative Guide for the 2016 Performance Period</w:t>
      </w:r>
    </w:p>
    <w:p>
      <w:pPr>
        <w:jc w:val="center"/>
        <w:spacing w:after="0" w:line="223" w:lineRule="auto"/>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Executive Compensation for Excellence and Leadership Plan</w:t>
      </w:r>
    </w:p>
    <w:p>
      <w:pPr>
        <w:spacing w:after="0" w:line="386"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ARTICLE 1.</w:t>
      </w:r>
      <w:r>
        <w:rPr>
          <w:sz w:val="20"/>
          <w:szCs w:val="20"/>
          <w:color w:val="auto"/>
        </w:rPr>
        <w:tab/>
      </w:r>
      <w:r>
        <w:rPr>
          <w:rFonts w:ascii="Arial" w:cs="Arial" w:eastAsia="Arial" w:hAnsi="Arial"/>
          <w:sz w:val="18"/>
          <w:szCs w:val="18"/>
          <w:b w:val="1"/>
          <w:bCs w:val="1"/>
          <w:color w:val="auto"/>
        </w:rPr>
        <w:t>INTRODUCTION</w:t>
      </w:r>
    </w:p>
    <w:p>
      <w:pPr>
        <w:spacing w:after="0" w:line="197"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b w:val="1"/>
          <w:bCs w:val="1"/>
          <w:color w:val="auto"/>
        </w:rPr>
        <w:t>Background</w:t>
      </w:r>
    </w:p>
    <w:p>
      <w:pPr>
        <w:spacing w:after="0" w:line="22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Under Article 4 of the Executive Compensation for Excellence and Leadership Plan (the “Plan”), the Executive Compensation Committee (the “Committee”) has exclusive responsibility to control, operate, manage and administer the Plan in accordance with its terms.</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Purpose</w:t>
      </w:r>
    </w:p>
    <w:p>
      <w:pPr>
        <w:spacing w:after="0" w:line="22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Administrative Guide governs the Committee’s grant of Awards for the Plan’s 2016 Performance Period. Unless otherwise noted in this Administrative Guide or determined by the Committee, the terms of the Plan shall apply to Awards granted under the Plan.</w:t>
      </w:r>
    </w:p>
    <w:p>
      <w:pPr>
        <w:spacing w:after="0" w:line="168"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ARTICLE 2.</w:t>
      </w:r>
      <w:r>
        <w:rPr>
          <w:sz w:val="20"/>
          <w:szCs w:val="20"/>
          <w:color w:val="auto"/>
        </w:rPr>
        <w:tab/>
      </w:r>
      <w:r>
        <w:rPr>
          <w:rFonts w:ascii="Arial" w:cs="Arial" w:eastAsia="Arial" w:hAnsi="Arial"/>
          <w:sz w:val="18"/>
          <w:szCs w:val="18"/>
          <w:b w:val="1"/>
          <w:bCs w:val="1"/>
          <w:color w:val="auto"/>
        </w:rPr>
        <w:t>DEFINITIONS</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Any defined term used in this Administrative Guide, other than those specifically defined in this Administrative Guide, will have the same meaning as that given to it under the terms of the Plan.</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b w:val="1"/>
          <w:bCs w:val="1"/>
          <w:color w:val="auto"/>
        </w:rPr>
        <w:t>Form 10-K Filing Date</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term “Form 10-K Filing Date” means the date that the Company files, with the Security and Exchange Commission, its Form 10-K for the period ending December 31, 2016.</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Performance Gates</w:t>
      </w:r>
    </w:p>
    <w:p>
      <w:pPr>
        <w:spacing w:after="0" w:line="22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“Performance Gate” means a performance condition which must be achieved in order for performance against the Plan’s Performance Goal(s) to be considered. Failure to achieve a Performance Gate prevents the funding of any Award Pool regardless of performance against the Performance Goal(s).</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b w:val="1"/>
          <w:bCs w:val="1"/>
          <w:color w:val="auto"/>
        </w:rPr>
        <w:t>Performance Goal(s)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Definitions of the Performance Goal(s) are listed in Appendix A.</w:t>
      </w:r>
    </w:p>
    <w:p>
      <w:pPr>
        <w:spacing w:after="0" w:line="173"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Performance Period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“Performance Period” means the 2016 Performance Period that coincides with Kodak’s 2016 fiscal year.</w:t>
      </w:r>
    </w:p>
    <w:p>
      <w:pPr>
        <w:spacing w:after="0" w:line="173"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ARTICLE 3.</w:t>
      </w:r>
      <w:r>
        <w:rPr>
          <w:sz w:val="20"/>
          <w:szCs w:val="20"/>
          <w:color w:val="auto"/>
        </w:rPr>
        <w:tab/>
      </w:r>
      <w:r>
        <w:rPr>
          <w:rFonts w:ascii="Arial" w:cs="Arial" w:eastAsia="Arial" w:hAnsi="Arial"/>
          <w:sz w:val="18"/>
          <w:szCs w:val="18"/>
          <w:b w:val="1"/>
          <w:bCs w:val="1"/>
          <w:color w:val="auto"/>
        </w:rPr>
        <w:t>ELIGIBILITY</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Only Executives who are Officers under Section 16 of the Exchange Act shall be Participants in the Plan under this Administrative Guide for the 2016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315595</wp:posOffset>
            </wp:positionV>
            <wp:extent cx="729043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21"/>
          <w:szCs w:val="21"/>
          <w:b w:val="1"/>
          <w:bCs w:val="1"/>
          <w:u w:val="single" w:color="auto"/>
          <w:color w:val="auto"/>
        </w:rPr>
        <w:t>Confidential</w:t>
      </w:r>
    </w:p>
    <w:p>
      <w:pPr>
        <w:spacing w:after="0" w:line="200" w:lineRule="exact"/>
        <w:rPr>
          <w:sz w:val="20"/>
          <w:szCs w:val="20"/>
          <w:color w:val="auto"/>
        </w:rPr>
      </w:pPr>
    </w:p>
    <w:p>
      <w:pPr>
        <w:spacing w:after="0" w:line="25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Awards will be calculated using the base salary and target EXCEL percentage as of December 31 of the Performance Period. For purposes of Covered Employees as defined by Section 162(m) of the Code, the Committee shall have the authority to exercise Negative Discretion pursuant to Section 5.3.</w:t>
      </w:r>
    </w:p>
    <w:p>
      <w:pPr>
        <w:spacing w:after="0" w:line="19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Unless the Committee provides otherwise, an Executive who becomes a Participant as a result of a job change or promotion during the Performance Period will become a Participant effective on the date of his or her appointment to the new job and will be eligible for a pro-rata Award based on the number of days of participation in EXCEL during the Performance Period.</w:t>
      </w:r>
    </w:p>
    <w:p>
      <w:pPr>
        <w:spacing w:after="0" w:line="19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amount of any pro-rata Award under the Plan as referenced above will be calculated by multiplying the earned Award by a percentage, the numerator of which is the number of days in the Performance Period during which the executive is a Participant in EXCEL and the denominator of which is 365 days.</w:t>
      </w:r>
    </w:p>
    <w:p>
      <w:pPr>
        <w:spacing w:after="0" w:line="19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Designation of an executive as a Participant for the 2016 Performance Period will not in any manner entitle the Participant to receive payment of an Award for the 2016 Performance Period. The determination as to whether or not such Participant becomes entitled to payment of an Award for the 2016 Performance Period will be decided solely in accordance with the terms of this Administrative Guide and the Plan.</w:t>
      </w:r>
    </w:p>
    <w:p>
      <w:pPr>
        <w:spacing w:after="0" w:line="19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Subject to applicable local laws, regulations and processes, in order to be eligible for and to receive an Award, all eligible Participants must have signed an Employee Agreement in a form acceptable to the Chief Human Resources Officer, Eastman Kodak Company. Any Participant who fails to sign such an Employee Agreement on or prior to the Award Payment Date(s) will not receive an Award.</w:t>
      </w:r>
    </w:p>
    <w:p>
      <w:pPr>
        <w:spacing w:after="0" w:line="169"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ARTICLE 4.</w:t>
      </w:r>
      <w:r>
        <w:rPr>
          <w:sz w:val="20"/>
          <w:szCs w:val="20"/>
          <w:color w:val="auto"/>
        </w:rPr>
        <w:tab/>
      </w:r>
      <w:r>
        <w:rPr>
          <w:rFonts w:ascii="Arial" w:cs="Arial" w:eastAsia="Arial" w:hAnsi="Arial"/>
          <w:sz w:val="18"/>
          <w:szCs w:val="18"/>
          <w:b w:val="1"/>
          <w:bCs w:val="1"/>
          <w:color w:val="auto"/>
        </w:rPr>
        <w:t>AWARD DESCRIPTION</w:t>
      </w:r>
    </w:p>
    <w:p>
      <w:pPr>
        <w:spacing w:after="0" w:line="197"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b w:val="1"/>
          <w:bCs w:val="1"/>
          <w:color w:val="auto"/>
        </w:rPr>
        <w:t>Terms of Awards</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Any Award granted by the Committee under this Administrative Guide will be subject to the terms, conditions, restrictions and limitations contained in this Administrative Guide as well as those contained in the Plan.</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8"/>
          <w:szCs w:val="18"/>
          <w:b w:val="1"/>
          <w:bCs w:val="1"/>
          <w:color w:val="auto"/>
        </w:rPr>
        <w:t>Form of Awards</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Any Awards payable for the 2016 Performance Period will be paid on the Award Payment Date(s) determined by the Company, in cash, Common Stock or other property, or any combination thereof, as determined by the Committee. To the extent an Award is paid in Common Stock, such Common Stock will be issued under the Eastman Kodak Company 2013 Omnibus Incentive Compensation Plan (or any applicable successor plan thereto).</w:t>
      </w:r>
    </w:p>
    <w:p>
      <w:pPr>
        <w:spacing w:after="0" w:line="169"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ARTICLE 5.</w:t>
      </w:r>
      <w:r>
        <w:rPr>
          <w:sz w:val="20"/>
          <w:szCs w:val="20"/>
          <w:color w:val="auto"/>
        </w:rPr>
        <w:tab/>
      </w:r>
      <w:r>
        <w:rPr>
          <w:rFonts w:ascii="Arial" w:cs="Arial" w:eastAsia="Arial" w:hAnsi="Arial"/>
          <w:sz w:val="18"/>
          <w:szCs w:val="18"/>
          <w:b w:val="1"/>
          <w:bCs w:val="1"/>
          <w:color w:val="auto"/>
        </w:rPr>
        <w:t>AWARD DETERMINATION</w:t>
      </w:r>
    </w:p>
    <w:p>
      <w:pPr>
        <w:spacing w:after="0" w:line="197"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8"/>
          <w:szCs w:val="18"/>
          <w:b w:val="1"/>
          <w:bCs w:val="1"/>
          <w:color w:val="auto"/>
        </w:rPr>
        <w:t>Calculation of Award Pool</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Provided that the Performance Gate(s) have been achieved, the percentage derived from the Performance Goal(s) will be multiplied by the aggregate Target Award to determine the Award Pool for the 2016 Performance Period.</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043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21"/>
          <w:szCs w:val="21"/>
          <w:b w:val="1"/>
          <w:bCs w:val="1"/>
          <w:u w:val="single" w:color="auto"/>
          <w:color w:val="auto"/>
        </w:rPr>
        <w:t>Confidential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5.2 Performance Goal(s) and Performance Gate(s)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Goal(s) and Performance Gate(s) for the 2016 Performance Period are attached in Appendix A.</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Results between the dollar amounts for the Performance Goal(s) shown will be interpolated to derive a Performance Percentage for the Performance Period. The Performance Goal(s) are subject to a maximum payout limit of 200%, although, in the discretion of the CEO and subject to the terms of the Plan, individual Awards may exceed this maximum for any Participant except for the Award of a Covered Employee.</w:t>
      </w:r>
    </w:p>
    <w:p>
      <w:pPr>
        <w:spacing w:after="0" w:line="169"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8"/>
          <w:szCs w:val="18"/>
          <w:b w:val="1"/>
          <w:bCs w:val="1"/>
          <w:color w:val="auto"/>
        </w:rPr>
        <w:t>Allocation of Award Pool to Covered Employees</w:t>
      </w:r>
    </w:p>
    <w:p>
      <w:pPr>
        <w:spacing w:after="0" w:line="22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Subject to the Committee’s authority to exercise Negative Discretion with regard to the amount of the Award Pool allocated to any Covered Employee for the 2016 Performance Period, each Covered Employee will be allocated an Award no greater than the lesser of: (i) 10% of the Award Pool; or (ii) 500% of his or her annual base salary on December 31, 2015 (or if the Executive was not employed by the Company on such date, 500% of his or her base salary upon hire following December 31, 2014); or (iii) $5,000,000.</w:t>
      </w:r>
    </w:p>
    <w:p>
      <w:pPr>
        <w:spacing w:after="0" w:line="19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Solely for purposes of this Section 5.3, the “Award Pool” will be determined by using the definition of “Aggregate Target Award” as set forth in this Section 5.3.</w:t>
      </w:r>
    </w:p>
    <w:p>
      <w:pPr>
        <w:spacing w:after="0" w:line="19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For purposes of this Section 5.3, “Aggregate Target Award” means the sum of the Target Award amounts on May 23, 2016 for all of the Participants eligible to participate in the Plan on May 23, 2016.</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b w:val="1"/>
          <w:bCs w:val="1"/>
          <w:color w:val="auto"/>
        </w:rPr>
        <w:t>Certification</w:t>
      </w:r>
    </w:p>
    <w:p>
      <w:pPr>
        <w:spacing w:after="0" w:line="22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Following the completion of the Performance Period, the Committee shall meet to review and certify in writing whether, and to what extent, the Performance Goal(s) and Performance Gate(s) for the Performance Period have been achieved. If the Committee certifies that the Performance Gate(s) and minimum Performance Goal(s) have been achieved, it shall also calculate and certify in writing the Applicable Performance Percentage. By applying the Performance Formula, the Committee shall then determine and certify the total allocation that has been earned for the Performance Period. The Committee may, through the use of discretion, increase or reduce the amount that would otherwise be certified by application of the Performance Formula, if, in its sole judgment, such increase or reduction is appropriate.</w:t>
      </w:r>
    </w:p>
    <w:p>
      <w:pPr>
        <w:spacing w:after="0" w:line="174"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ARTICLE 6.</w:t>
      </w:r>
      <w:r>
        <w:rPr>
          <w:sz w:val="20"/>
          <w:szCs w:val="20"/>
          <w:color w:val="auto"/>
        </w:rPr>
        <w:tab/>
      </w:r>
      <w:r>
        <w:rPr>
          <w:rFonts w:ascii="Arial" w:cs="Arial" w:eastAsia="Arial" w:hAnsi="Arial"/>
          <w:sz w:val="18"/>
          <w:szCs w:val="18"/>
          <w:b w:val="1"/>
          <w:bCs w:val="1"/>
          <w:color w:val="auto"/>
        </w:rPr>
        <w:t>PAYMENT OF AWARDS</w:t>
      </w:r>
    </w:p>
    <w:p>
      <w:pPr>
        <w:spacing w:after="0" w:line="197"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Continued Employment</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Except as otherwise provided by this Article 6, to be eligible to be considered for an Award for the 2016 Performance Period, a Participant must be actively employed by the Company on the Form 10-K Filing Date.</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b w:val="1"/>
          <w:bCs w:val="1"/>
          <w:color w:val="auto"/>
        </w:rPr>
        <w:t>Termination During the Performance Period</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the event a Participant’s employment is terminated during the 2016 Performance Period, whether by the Company or the Participant, for any reason (including, but not limited to the</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043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06" w:name="page307"/>
    <w:bookmarkEnd w:id="306"/>
    <w:p>
      <w:pPr>
        <w:jc w:val="right"/>
        <w:spacing w:after="0"/>
        <w:rPr>
          <w:sz w:val="20"/>
          <w:szCs w:val="20"/>
          <w:color w:val="auto"/>
        </w:rPr>
      </w:pPr>
      <w:r>
        <w:rPr>
          <w:rFonts w:ascii="Arial" w:cs="Arial" w:eastAsia="Arial" w:hAnsi="Arial"/>
          <w:sz w:val="21"/>
          <w:szCs w:val="21"/>
          <w:b w:val="1"/>
          <w:bCs w:val="1"/>
          <w:u w:val="single" w:color="auto"/>
          <w:color w:val="auto"/>
        </w:rPr>
        <w:t>Confidential</w:t>
      </w:r>
    </w:p>
    <w:p>
      <w:pPr>
        <w:spacing w:after="0" w:line="200" w:lineRule="exact"/>
        <w:rPr>
          <w:sz w:val="20"/>
          <w:szCs w:val="20"/>
          <w:color w:val="auto"/>
        </w:rPr>
      </w:pPr>
    </w:p>
    <w:p>
      <w:pPr>
        <w:spacing w:after="0" w:line="25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Participant’s death or Disability) other than as part of a divestiture by the Company,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an Award for the 2016 Performance Period.</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If the termination during the 2016 Performance Period is part of a divestiture by the Company, the Participant will be eligible to be considered for a pro-rata Award paid by the Company based on the number of days of participation in EXCEL during the Performance Period before the date of the divestiture only if the successor company has not agreed to accept liability for the Award. The amount of any pro-rata Award will be calculated as described in Article 3 above.</w:t>
      </w:r>
    </w:p>
    <w:p>
      <w:pPr>
        <w:spacing w:after="0" w:line="169"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8"/>
          <w:szCs w:val="18"/>
          <w:b w:val="1"/>
          <w:bCs w:val="1"/>
          <w:color w:val="auto"/>
        </w:rPr>
        <w:t>Termination After Performance Period and Prior to Form 10-K Filing Date</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In the event that a Participant is terminated by the Company for Cause after the end of the Performance Period, but before the Form 10-K Filing Date,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an Award for the Performance Period.</w:t>
      </w:r>
    </w:p>
    <w:p>
      <w:pPr>
        <w:spacing w:after="0" w:line="19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In the event that a Participant is terminated by the Company after the end of the Performance Period and prior to the Form 10-K Filing Date for any reason other than Cause, the Participant will be eligible to be considered for an Award for the Performance Period, based on certification by the Committee as set forth in Section 5.4 and subsequent management discretion with respect to the Participant’s performance in the Performance Period. If the termination is part of a divestiture by the Company, the Participant will be eligible to be considered for an Award paid by the Company only if the successor company has not agreed to accept liability for the Award.</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In the event that a Participant voluntarily terminates his or her employment with the Company after the end of the Performance Period and prior to the Form 10-K Filing Date for any reason other than the death or Disability of the Participant,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an Award for the Performance Period.</w:t>
      </w:r>
    </w:p>
    <w:p>
      <w:pPr>
        <w:spacing w:after="0" w:line="19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the event of the death or Disability of a Participant after the end of the Performance Period and prior to the Form 10-K Filing Date, the Participant will be eligible to be considered for an Award for the Performance Period, based on certification by the Committee as set forth in Section 5.4 and subject to subsequent management discretion with respect to the Participant’s performance in the Performance Period.</w:t>
      </w:r>
    </w:p>
    <w:p>
      <w:pPr>
        <w:spacing w:after="0" w:line="169"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b w:val="1"/>
          <w:bCs w:val="1"/>
          <w:color w:val="auto"/>
        </w:rPr>
        <w:t>Forfeiture</w:t>
      </w:r>
    </w:p>
    <w:p>
      <w:pPr>
        <w:spacing w:after="0" w:line="22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If, at any time, a Participant breaches his or her Employee Agreement or performs any act or engages in any activity which the CEO, in the case of all Participants other than the CEO, or the Committee, in the case of the CEO, determines is inimical to the best interests of Kodak, the Participant will forfeit all of his or her Awards under the Plan.</w:t>
      </w:r>
    </w:p>
    <w:p>
      <w:pPr>
        <w:spacing w:after="0" w:line="168"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ARTICLE 7.</w:t>
      </w:r>
      <w:r>
        <w:rPr>
          <w:sz w:val="20"/>
          <w:szCs w:val="20"/>
          <w:color w:val="auto"/>
        </w:rPr>
        <w:tab/>
      </w:r>
      <w:r>
        <w:rPr>
          <w:rFonts w:ascii="Arial" w:cs="Arial" w:eastAsia="Arial" w:hAnsi="Arial"/>
          <w:sz w:val="18"/>
          <w:szCs w:val="18"/>
          <w:b w:val="1"/>
          <w:bCs w:val="1"/>
          <w:color w:val="auto"/>
        </w:rPr>
        <w:t>ADMINISTRATION</w:t>
      </w:r>
    </w:p>
    <w:p>
      <w:pPr>
        <w:spacing w:after="0" w:line="22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Administrative Guide shall be administered by the Committee. The Committee is authorized to interpret, construe and implement the Administrative Guide, to prescribe, amend and rescind rules and regulations relating to it, and to make all other determinations necessary, appropriate or advisable for its administration. Any determination by the Committee in carrying out, administering or construing this Administrative Guide will be final and binding for all purposes and upon all interested persons and their heirs, successors, and personal representatives.</w:t>
      </w:r>
    </w:p>
    <w:p>
      <w:pPr>
        <w:spacing w:after="0" w:line="169"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18"/>
          <w:szCs w:val="18"/>
          <w:b w:val="1"/>
          <w:bCs w:val="1"/>
          <w:color w:val="auto"/>
        </w:rPr>
        <w:t>MISCELLANEOUS</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043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21"/>
          <w:szCs w:val="21"/>
          <w:b w:val="1"/>
          <w:bCs w:val="1"/>
          <w:u w:val="single" w:color="auto"/>
          <w:color w:val="auto"/>
        </w:rPr>
        <w:t>Confidential</w:t>
      </w:r>
    </w:p>
    <w:p>
      <w:pPr>
        <w:spacing w:after="0" w:line="200" w:lineRule="exact"/>
        <w:rPr>
          <w:sz w:val="20"/>
          <w:szCs w:val="20"/>
          <w:color w:val="auto"/>
        </w:rPr>
      </w:pP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Termination/Amendment</w:t>
      </w:r>
    </w:p>
    <w:p>
      <w:pPr>
        <w:spacing w:after="0" w:line="22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Committee may amend, suspend or terminate this Administrative Guide in whole or in part at any time and for any reason, with or without prior notice. In addition, the Committee, or any person to whom the Committee has delegated the requisite authority, may, at any time and from time to time, amend this Administrative Guide in any manner and for any reason.</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8"/>
          <w:szCs w:val="18"/>
          <w:b w:val="1"/>
          <w:bCs w:val="1"/>
          <w:color w:val="auto"/>
        </w:rPr>
        <w:t>Section 409A Compliance</w:t>
      </w:r>
    </w:p>
    <w:p>
      <w:pPr>
        <w:spacing w:after="0" w:line="22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Notwithstanding Section 10.9 of the Plan, the Awards described in this Administrative Guide for the Performance Period are intended to comply with Section 409A of the Code to the extent such arrangements are subject to that law, and the Plan and this Administrative Guide shall be interpreted and administered accordingly.</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8"/>
          <w:szCs w:val="18"/>
          <w:b w:val="1"/>
          <w:bCs w:val="1"/>
          <w:color w:val="auto"/>
        </w:rPr>
        <w:t>Participant’s Rights Unsecured</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amounts payable under this Administrative Guide will be unfunded, and the right of any Participant or his or her estate to receive payment under this Administrative Guide will be an unsecured claim against the general assets of the Company.</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8"/>
          <w:szCs w:val="18"/>
          <w:b w:val="1"/>
          <w:bCs w:val="1"/>
          <w:color w:val="auto"/>
        </w:rPr>
        <w:t>No Guarantee of Tax Consequences</w:t>
      </w:r>
    </w:p>
    <w:p>
      <w:pPr>
        <w:spacing w:after="0" w:line="22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No person connected with this Administrative Guide in any capacity, including, but not limited to, the Company and its directors, officers, agents and employees makes any representation, commitment, or guarantee that any tax treatment, including, but not limited to, federal, state and local income, estate and gift tax treatment, will be applicable with respect to amounts deferred under this Administrative Guide, or paid to or for the benefit of a Participant under this Administrative Guide, or that such tax treatment will apply to or be available to a Participant on account of participation in this Administrative Guide.</w:t>
      </w:r>
    </w:p>
    <w:p>
      <w:pPr>
        <w:spacing w:after="0" w:line="184" w:lineRule="exact"/>
        <w:rPr>
          <w:sz w:val="20"/>
          <w:szCs w:val="20"/>
          <w:color w:val="auto"/>
        </w:rPr>
      </w:pPr>
    </w:p>
    <w:p>
      <w:pPr>
        <w:ind w:left="5900" w:hanging="728"/>
        <w:spacing w:after="0"/>
        <w:tabs>
          <w:tab w:leader="none" w:pos="5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043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21"/>
          <w:szCs w:val="21"/>
          <w:b w:val="1"/>
          <w:bCs w:val="1"/>
          <w:u w:val="single" w:color="auto"/>
          <w:color w:val="auto"/>
        </w:rPr>
        <w:t>Confidential</w:t>
      </w:r>
    </w:p>
    <w:p>
      <w:pPr>
        <w:spacing w:after="0" w:line="200" w:lineRule="exact"/>
        <w:rPr>
          <w:sz w:val="20"/>
          <w:szCs w:val="20"/>
          <w:color w:val="auto"/>
        </w:rPr>
      </w:pPr>
    </w:p>
    <w:p>
      <w:pPr>
        <w:spacing w:after="0" w:line="231" w:lineRule="exact"/>
        <w:rPr>
          <w:sz w:val="20"/>
          <w:szCs w:val="20"/>
          <w:color w:val="auto"/>
        </w:rPr>
      </w:pPr>
    </w:p>
    <w:p>
      <w:pPr>
        <w:jc w:val="center"/>
        <w:ind w:right="413"/>
        <w:spacing w:after="0"/>
        <w:rPr>
          <w:sz w:val="20"/>
          <w:szCs w:val="20"/>
          <w:color w:val="auto"/>
        </w:rPr>
      </w:pPr>
      <w:r>
        <w:rPr>
          <w:rFonts w:ascii="Arial" w:cs="Arial" w:eastAsia="Arial" w:hAnsi="Arial"/>
          <w:sz w:val="20"/>
          <w:szCs w:val="20"/>
          <w:b w:val="1"/>
          <w:bCs w:val="1"/>
          <w:color w:val="auto"/>
        </w:rPr>
        <w:t>APPENDIX A</w:t>
      </w:r>
    </w:p>
    <w:p>
      <w:pPr>
        <w:spacing w:after="0" w:line="197" w:lineRule="exact"/>
        <w:rPr>
          <w:sz w:val="20"/>
          <w:szCs w:val="20"/>
          <w:color w:val="auto"/>
        </w:rPr>
      </w:pPr>
    </w:p>
    <w:p>
      <w:pPr>
        <w:jc w:val="center"/>
        <w:ind w:right="413"/>
        <w:spacing w:after="0"/>
        <w:rPr>
          <w:sz w:val="20"/>
          <w:szCs w:val="20"/>
          <w:color w:val="auto"/>
        </w:rPr>
      </w:pPr>
      <w:r>
        <w:rPr>
          <w:rFonts w:ascii="Arial" w:cs="Arial" w:eastAsia="Arial" w:hAnsi="Arial"/>
          <w:sz w:val="20"/>
          <w:szCs w:val="20"/>
          <w:b w:val="1"/>
          <w:bCs w:val="1"/>
          <w:color w:val="auto"/>
        </w:rPr>
        <w:t>CONFIDENTIAL - DO NOT DISTRIBUTE</w:t>
      </w:r>
    </w:p>
    <w:p>
      <w:pPr>
        <w:spacing w:after="0" w:line="221" w:lineRule="exact"/>
        <w:rPr>
          <w:sz w:val="20"/>
          <w:szCs w:val="20"/>
          <w:color w:val="auto"/>
        </w:rPr>
      </w:pPr>
    </w:p>
    <w:p>
      <w:pPr>
        <w:ind w:left="427" w:hanging="427"/>
        <w:spacing w:after="0"/>
        <w:tabs>
          <w:tab w:leader="none" w:pos="427" w:val="left"/>
        </w:tabs>
        <w:numPr>
          <w:ilvl w:val="0"/>
          <w:numId w:val="268"/>
        </w:numPr>
        <w:rPr>
          <w:rFonts w:ascii="Arial" w:cs="Arial" w:eastAsia="Arial" w:hAnsi="Arial"/>
          <w:sz w:val="20"/>
          <w:szCs w:val="20"/>
          <w:color w:val="auto"/>
        </w:rPr>
      </w:pPr>
      <w:r>
        <w:rPr>
          <w:rFonts w:ascii="Arial" w:cs="Arial" w:eastAsia="Arial" w:hAnsi="Arial"/>
          <w:sz w:val="20"/>
          <w:szCs w:val="20"/>
          <w:color w:val="auto"/>
        </w:rPr>
        <w:t>Definitions of Performance Goal(s):</w:t>
      </w:r>
    </w:p>
    <w:p>
      <w:pPr>
        <w:spacing w:after="0" w:line="210" w:lineRule="exact"/>
        <w:rPr>
          <w:rFonts w:ascii="Arial" w:cs="Arial" w:eastAsia="Arial" w:hAnsi="Arial"/>
          <w:sz w:val="20"/>
          <w:szCs w:val="20"/>
          <w:color w:val="auto"/>
        </w:rPr>
      </w:pPr>
    </w:p>
    <w:p>
      <w:pPr>
        <w:ind w:left="427" w:hanging="427"/>
        <w:spacing w:after="0"/>
        <w:tabs>
          <w:tab w:leader="none" w:pos="427" w:val="left"/>
        </w:tabs>
        <w:numPr>
          <w:ilvl w:val="0"/>
          <w:numId w:val="268"/>
        </w:numPr>
        <w:rPr>
          <w:rFonts w:ascii="Arial" w:cs="Arial" w:eastAsia="Arial" w:hAnsi="Arial"/>
          <w:sz w:val="20"/>
          <w:szCs w:val="20"/>
          <w:color w:val="auto"/>
        </w:rPr>
      </w:pPr>
      <w:r>
        <w:rPr>
          <w:rFonts w:ascii="Arial" w:cs="Arial" w:eastAsia="Arial" w:hAnsi="Arial"/>
          <w:sz w:val="20"/>
          <w:szCs w:val="20"/>
          <w:color w:val="auto"/>
        </w:rPr>
        <w:t>Performance Gate(s):</w:t>
      </w:r>
    </w:p>
    <w:p>
      <w:pPr>
        <w:spacing w:after="0" w:line="210" w:lineRule="exact"/>
        <w:rPr>
          <w:rFonts w:ascii="Arial" w:cs="Arial" w:eastAsia="Arial" w:hAnsi="Arial"/>
          <w:sz w:val="20"/>
          <w:szCs w:val="20"/>
          <w:color w:val="auto"/>
        </w:rPr>
      </w:pPr>
    </w:p>
    <w:p>
      <w:pPr>
        <w:ind w:left="427" w:hanging="427"/>
        <w:spacing w:after="0"/>
        <w:tabs>
          <w:tab w:leader="none" w:pos="427" w:val="left"/>
        </w:tabs>
        <w:numPr>
          <w:ilvl w:val="0"/>
          <w:numId w:val="268"/>
        </w:numPr>
        <w:rPr>
          <w:rFonts w:ascii="Arial" w:cs="Arial" w:eastAsia="Arial" w:hAnsi="Arial"/>
          <w:sz w:val="20"/>
          <w:szCs w:val="20"/>
          <w:color w:val="auto"/>
        </w:rPr>
      </w:pPr>
      <w:r>
        <w:rPr>
          <w:rFonts w:ascii="Arial" w:cs="Arial" w:eastAsia="Arial" w:hAnsi="Arial"/>
          <w:sz w:val="20"/>
          <w:szCs w:val="20"/>
          <w:color w:val="auto"/>
        </w:rPr>
        <w:t>Performance Goal Matrices (as presented to the Committee on May 23, 2016).</w:t>
      </w:r>
    </w:p>
    <w:p>
      <w:pPr>
        <w:spacing w:after="0" w:line="200" w:lineRule="exact"/>
        <w:rPr>
          <w:sz w:val="20"/>
          <w:szCs w:val="20"/>
          <w:color w:val="auto"/>
        </w:rPr>
      </w:pPr>
    </w:p>
    <w:p>
      <w:pPr>
        <w:spacing w:after="0" w:line="226" w:lineRule="exact"/>
        <w:rPr>
          <w:sz w:val="20"/>
          <w:szCs w:val="20"/>
          <w:color w:val="auto"/>
        </w:rPr>
      </w:pPr>
    </w:p>
    <w:p>
      <w:pPr>
        <w:ind w:left="44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7"/>
          </w:cols>
          <w:pgMar w:left="673" w:top="105"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Jeffrey J. Clarke, certify that:</w:t>
      </w:r>
    </w:p>
    <w:p>
      <w:pPr>
        <w:spacing w:after="0" w:line="220" w:lineRule="exact"/>
        <w:rPr>
          <w:sz w:val="20"/>
          <w:szCs w:val="20"/>
          <w:color w:val="auto"/>
        </w:rPr>
      </w:pPr>
    </w:p>
    <w:p>
      <w:pPr>
        <w:ind w:left="460" w:hanging="453"/>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19" w:lineRule="exact"/>
        <w:rPr>
          <w:rFonts w:ascii="Arial" w:cs="Arial" w:eastAsia="Arial" w:hAnsi="Arial"/>
          <w:sz w:val="18"/>
          <w:szCs w:val="18"/>
          <w:color w:val="auto"/>
        </w:rPr>
      </w:pPr>
    </w:p>
    <w:p>
      <w:pPr>
        <w:ind w:left="460" w:right="120" w:hanging="453"/>
        <w:spacing w:after="0" w:line="331" w:lineRule="auto"/>
        <w:tabs>
          <w:tab w:leader="none" w:pos="46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460" w:right="580" w:hanging="453"/>
        <w:spacing w:after="0" w:line="297" w:lineRule="auto"/>
        <w:tabs>
          <w:tab w:leader="none" w:pos="46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460" w:right="80" w:hanging="453"/>
        <w:spacing w:after="0" w:line="257" w:lineRule="auto"/>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480" w:right="120" w:hanging="8"/>
        <w:spacing w:after="0" w:line="257" w:lineRule="auto"/>
        <w:tabs>
          <w:tab w:leader="none" w:pos="707" w:val="left"/>
        </w:tabs>
        <w:numPr>
          <w:ilvl w:val="1"/>
          <w:numId w:val="2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480" w:right="100" w:hanging="8"/>
        <w:spacing w:after="0" w:line="257" w:lineRule="auto"/>
        <w:tabs>
          <w:tab w:leader="none" w:pos="717" w:val="left"/>
        </w:tabs>
        <w:numPr>
          <w:ilvl w:val="1"/>
          <w:numId w:val="2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480" w:right="180" w:hanging="8"/>
        <w:spacing w:after="0" w:line="297" w:lineRule="auto"/>
        <w:tabs>
          <w:tab w:leader="none" w:pos="707" w:val="left"/>
        </w:tabs>
        <w:numPr>
          <w:ilvl w:val="1"/>
          <w:numId w:val="2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jc w:val="both"/>
        <w:ind w:left="480" w:right="220" w:hanging="8"/>
        <w:spacing w:after="0" w:line="257" w:lineRule="auto"/>
        <w:tabs>
          <w:tab w:leader="none" w:pos="717" w:val="left"/>
        </w:tabs>
        <w:numPr>
          <w:ilvl w:val="1"/>
          <w:numId w:val="2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60" w:right="520" w:hanging="453"/>
        <w:spacing w:after="0" w:line="331" w:lineRule="auto"/>
        <w:tabs>
          <w:tab w:leader="none" w:pos="46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6"/>
          <w:szCs w:val="16"/>
          <w:color w:val="auto"/>
        </w:rPr>
      </w:pPr>
    </w:p>
    <w:p>
      <w:pPr>
        <w:ind w:left="480" w:right="100" w:hanging="8"/>
        <w:spacing w:after="0" w:line="267" w:lineRule="auto"/>
        <w:tabs>
          <w:tab w:leader="none" w:pos="697"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480" w:right="160" w:hanging="8"/>
        <w:spacing w:after="0" w:line="267" w:lineRule="auto"/>
        <w:tabs>
          <w:tab w:leader="none" w:pos="707"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/s/Jeffrey J. Clarke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ectPr>
          <w:pgSz w:w="11900" w:h="16838" w:orient="portrait"/>
          <w:cols w:equalWidth="0" w:num="1">
            <w:col w:w="11420"/>
          </w:cols>
          <w:pgMar w:left="240" w:top="121" w:right="2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(31.2)</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0" w:lineRule="exact"/>
        <w:rPr>
          <w:sz w:val="20"/>
          <w:szCs w:val="20"/>
          <w:color w:val="auto"/>
        </w:rPr>
      </w:pPr>
    </w:p>
    <w:p>
      <w:pPr>
        <w:ind w:left="380" w:hanging="380"/>
        <w:spacing w:after="0"/>
        <w:tabs>
          <w:tab w:leader="none" w:pos="3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19" w:lineRule="exact"/>
        <w:rPr>
          <w:rFonts w:ascii="Arial" w:cs="Arial" w:eastAsia="Arial" w:hAnsi="Arial"/>
          <w:sz w:val="18"/>
          <w:szCs w:val="18"/>
          <w:color w:val="auto"/>
        </w:rPr>
      </w:pPr>
    </w:p>
    <w:p>
      <w:pPr>
        <w:jc w:val="both"/>
        <w:ind w:left="380" w:right="120" w:hanging="380"/>
        <w:spacing w:after="0" w:line="257" w:lineRule="auto"/>
        <w:tabs>
          <w:tab w:leader="none" w:pos="3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380" w:right="100" w:hanging="380"/>
        <w:spacing w:after="0" w:line="331" w:lineRule="auto"/>
        <w:tabs>
          <w:tab w:leader="none" w:pos="38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6"/>
          <w:szCs w:val="16"/>
          <w:color w:val="auto"/>
        </w:rPr>
      </w:pPr>
    </w:p>
    <w:p>
      <w:pPr>
        <w:ind w:left="380" w:right="80" w:hanging="380"/>
        <w:spacing w:after="0" w:line="285" w:lineRule="auto"/>
        <w:tabs>
          <w:tab w:leader="none" w:pos="38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08" w:lineRule="exact"/>
        <w:rPr>
          <w:rFonts w:ascii="Arial" w:cs="Arial" w:eastAsia="Arial" w:hAnsi="Arial"/>
          <w:sz w:val="16"/>
          <w:szCs w:val="16"/>
          <w:color w:val="auto"/>
        </w:rPr>
      </w:pPr>
    </w:p>
    <w:p>
      <w:pPr>
        <w:jc w:val="both"/>
        <w:ind w:left="380" w:firstLine="8"/>
        <w:spacing w:after="0" w:line="257" w:lineRule="auto"/>
        <w:tabs>
          <w:tab w:leader="none" w:pos="607"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380" w:right="260" w:firstLine="8"/>
        <w:spacing w:after="0" w:line="257" w:lineRule="auto"/>
        <w:tabs>
          <w:tab w:leader="none" w:pos="617"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380" w:right="400" w:firstLine="8"/>
        <w:spacing w:after="0" w:line="412" w:lineRule="auto"/>
        <w:tabs>
          <w:tab w:leader="none" w:pos="607" w:val="left"/>
        </w:tabs>
        <w:numPr>
          <w:ilvl w:val="1"/>
          <w:numId w:val="27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380" w:right="100" w:firstLine="8"/>
        <w:spacing w:after="0" w:line="257" w:lineRule="auto"/>
        <w:tabs>
          <w:tab w:leader="none" w:pos="617"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380" w:right="40" w:hanging="380"/>
        <w:spacing w:after="0" w:line="331" w:lineRule="auto"/>
        <w:tabs>
          <w:tab w:leader="none" w:pos="38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6"/>
          <w:szCs w:val="16"/>
          <w:color w:val="auto"/>
        </w:rPr>
      </w:pPr>
    </w:p>
    <w:p>
      <w:pPr>
        <w:ind w:left="480" w:right="460" w:firstLine="3"/>
        <w:spacing w:after="0" w:line="331" w:lineRule="auto"/>
        <w:tabs>
          <w:tab w:leader="none" w:pos="697" w:val="left"/>
        </w:tabs>
        <w:numPr>
          <w:ilvl w:val="2"/>
          <w:numId w:val="2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6"/>
          <w:szCs w:val="16"/>
          <w:color w:val="auto"/>
        </w:rPr>
      </w:pPr>
    </w:p>
    <w:p>
      <w:pPr>
        <w:ind w:left="480" w:right="220" w:firstLine="3"/>
        <w:spacing w:after="0" w:line="267" w:lineRule="auto"/>
        <w:tabs>
          <w:tab w:leader="none" w:pos="707" w:val="left"/>
        </w:tabs>
        <w:numPr>
          <w:ilvl w:val="2"/>
          <w:numId w:val="2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/s/David E. Bullwinkle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ectPr>
          <w:pgSz w:w="11900" w:h="16838" w:orient="portrait"/>
          <w:cols w:equalWidth="0" w:num="1">
            <w:col w:w="10580"/>
          </w:cols>
          <w:pgMar w:left="620" w:top="121" w:right="69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(32.1)</w:t>
      </w:r>
    </w:p>
    <w:p>
      <w:pPr>
        <w:spacing w:after="0" w:line="23"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6"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2"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2016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54" w:lineRule="exact"/>
        <w:rPr>
          <w:sz w:val="20"/>
          <w:szCs w:val="20"/>
          <w:color w:val="auto"/>
        </w:rPr>
      </w:pPr>
    </w:p>
    <w:p>
      <w:pPr>
        <w:ind w:left="480" w:hanging="236"/>
        <w:spacing w:after="0"/>
        <w:tabs>
          <w:tab w:leader="none" w:pos="4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480" w:hanging="236"/>
        <w:spacing w:after="0"/>
        <w:tabs>
          <w:tab w:leader="none" w:pos="4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/s/Jeffrey J. Clarke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ectPr>
          <w:pgSz w:w="11900" w:h="16838" w:orient="portrait"/>
          <w:cols w:equalWidth="0" w:num="1">
            <w:col w:w="10840"/>
          </w:cols>
          <w:pgMar w:left="240" w:top="334" w:right="81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(32.2)</w:t>
      </w:r>
    </w:p>
    <w:p>
      <w:pPr>
        <w:spacing w:after="0" w:line="23"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6"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2"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2016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54" w:lineRule="exact"/>
        <w:rPr>
          <w:sz w:val="20"/>
          <w:szCs w:val="20"/>
          <w:color w:val="auto"/>
        </w:rPr>
      </w:pPr>
    </w:p>
    <w:p>
      <w:pPr>
        <w:ind w:left="600" w:hanging="237"/>
        <w:spacing w:after="0"/>
        <w:tabs>
          <w:tab w:leader="none" w:pos="6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360" w:right="700" w:firstLine="3"/>
        <w:spacing w:after="0" w:line="267" w:lineRule="auto"/>
        <w:tabs>
          <w:tab w:leader="none" w:pos="59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/s/David E. Bullwinkle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ectPr>
          <w:pgSz w:w="11900" w:h="16838" w:orient="portrait"/>
          <w:cols w:equalWidth="0" w:num="1">
            <w:col w:w="10840"/>
          </w:cols>
          <w:pgMar w:left="240" w:top="334" w:right="81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13(r) DISCLOSURE</w:t>
      </w:r>
    </w:p>
    <w:p>
      <w:pPr>
        <w:spacing w:after="0" w:line="200" w:lineRule="exact"/>
        <w:rPr>
          <w:sz w:val="20"/>
          <w:szCs w:val="20"/>
          <w:color w:val="auto"/>
        </w:rPr>
      </w:pPr>
    </w:p>
    <w:p>
      <w:pPr>
        <w:spacing w:after="0" w:line="222" w:lineRule="exact"/>
        <w:rPr>
          <w:sz w:val="20"/>
          <w:szCs w:val="20"/>
          <w:color w:val="auto"/>
        </w:rPr>
      </w:pPr>
    </w:p>
    <w:p>
      <w:pPr>
        <w:ind w:right="100" w:firstLine="878"/>
        <w:spacing w:after="0" w:line="257" w:lineRule="auto"/>
        <w:rPr>
          <w:sz w:val="20"/>
          <w:szCs w:val="20"/>
          <w:color w:val="auto"/>
        </w:rPr>
      </w:pPr>
      <w:r>
        <w:rPr>
          <w:rFonts w:ascii="Arial" w:cs="Arial" w:eastAsia="Arial" w:hAnsi="Arial"/>
          <w:sz w:val="18"/>
          <w:szCs w:val="18"/>
          <w:color w:val="auto"/>
        </w:rPr>
        <w:t>The Blackstone Group L.P. may be deemed to beneficially own approximately 21% of the outstanding common stock of Kodak and has a representative on Kodak’s Board of Directors. Accordingly, The Blackstone Group L.P. may be considered an “affiliate” (as such term is defined in Rule 12b-2 of the Securities in Exchange Act of 1934, as amended) of Kodak.</w:t>
      </w:r>
    </w:p>
    <w:p>
      <w:pPr>
        <w:spacing w:after="0" w:line="188" w:lineRule="exact"/>
        <w:rPr>
          <w:sz w:val="20"/>
          <w:szCs w:val="20"/>
          <w:color w:val="auto"/>
        </w:rPr>
      </w:pPr>
    </w:p>
    <w:p>
      <w:pPr>
        <w:jc w:val="both"/>
        <w:ind w:firstLine="487"/>
        <w:spacing w:after="0" w:line="257" w:lineRule="auto"/>
        <w:rPr>
          <w:sz w:val="20"/>
          <w:szCs w:val="20"/>
          <w:color w:val="auto"/>
        </w:rPr>
      </w:pPr>
      <w:r>
        <w:rPr>
          <w:rFonts w:ascii="Arial" w:cs="Arial" w:eastAsia="Arial" w:hAnsi="Arial"/>
          <w:sz w:val="18"/>
          <w:szCs w:val="18"/>
          <w:color w:val="auto"/>
        </w:rPr>
        <w:t>The Blackstone Group L.P. has indicated in its public filings that it may be considered an affiliate of NCR Corporation (“NCR”). NCR included the disclosure reproduced below in its Form 10-Q for the fiscal quarter ended June 30, 2016. Kodak has neither independently verified nor has it participated in the preparation of the disclosure reproduced below:</w:t>
      </w:r>
    </w:p>
    <w:p>
      <w:pPr>
        <w:spacing w:after="0" w:line="188" w:lineRule="exact"/>
        <w:rPr>
          <w:sz w:val="20"/>
          <w:szCs w:val="20"/>
          <w:color w:val="auto"/>
        </w:rPr>
      </w:pPr>
    </w:p>
    <w:p>
      <w:pPr>
        <w:jc w:val="both"/>
        <w:ind w:firstLine="487"/>
        <w:spacing w:after="0" w:line="283" w:lineRule="auto"/>
        <w:rPr>
          <w:sz w:val="20"/>
          <w:szCs w:val="20"/>
          <w:color w:val="auto"/>
        </w:rPr>
      </w:pPr>
      <w:r>
        <w:rPr>
          <w:rFonts w:ascii="Arial" w:cs="Arial" w:eastAsia="Arial" w:hAnsi="Arial"/>
          <w:sz w:val="16"/>
          <w:szCs w:val="16"/>
          <w:color w:val="auto"/>
        </w:rPr>
        <w:t>“Pursuant to Section 13(r)(1)(D)(iii) of the Securities Exchange Act of 1934, as amended, we note that, during the period from April 1, 2016 through April 30, 2016, we continued to maintain a bank account and guarantees at the Commercial Bank of Syria (“CBS”), which was designated as a Specially Designated National pursuant to Executive Order 13382 (“EO 13382”) on August 10, 2011. This bank account and the guarantees at CBS were maintained in the normal course of business prior to the listing of CBS pursuant to EO 13382. We note that the last known account balance as of April 30, 2016 was approximately $3,468. The bank account did not generate interest from April 1, 2016 through April 30, 2016, and the guarantees did not generate any revenue or profits for the Company. Pursuant to a license granted to the Company by OFAC on January 3, 2013, and subsequent licenses granted on April 29, 2013, July 12, 2013, February 28, 2014, November 12, 2014, and October 24, 2015, the Company had been engaged in winding down its past operations in Syria. The Company’s last such license expired on April 30, 2016. In addition, the Company’s application to renew its license to transact business with CBS, which was submitted to OFAC on May 18, 2015, was not acted upon prior to the expiration of the Company’s last such license. As a result, and in connection with the license expiration, the Company abandoned its remaining property in Syria, which, including the CBS account, was commercially insignificant, and ended the employment of its final two employees in Syria, who had remained employed by the Company to assist with the execution of the Company’s wind-down activities pursuant to authority granted by the OFAC licenses. The Company does not intend to engage in any further business activities with CBS.”</w:t>
      </w:r>
    </w:p>
    <w:sectPr>
      <w:pgSz w:w="11900" w:h="16838" w:orient="portrait"/>
      <w:cols w:equalWidth="0" w:num="1">
        <w:col w:w="11420"/>
      </w:cols>
      <w:pgMar w:left="240" w:top="5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0FEAC"/>
    <w:multiLevelType w:val="hybridMultilevel"/>
    <w:lvl w:ilvl="0">
      <w:lvlJc w:val="left"/>
      <w:lvlText w:val="☒"/>
      <w:numFmt w:val="bullet"/>
      <w:start w:val="1"/>
    </w:lvl>
  </w:abstractNum>
  <w:abstractNum w:abstractNumId="1">
    <w:nsid w:val="4BEE5A5B"/>
    <w:multiLevelType w:val="hybridMultilevel"/>
    <w:lvl w:ilvl="0">
      <w:lvlJc w:val="left"/>
      <w:lvlText w:val="o"/>
      <w:numFmt w:val="bullet"/>
      <w:start w:val="1"/>
    </w:lvl>
  </w:abstractNum>
  <w:abstractNum w:abstractNumId="2">
    <w:nsid w:val="5551B9F3"/>
    <w:multiLevelType w:val="hybridMultilevel"/>
    <w:lvl w:ilvl="0">
      <w:lvlJc w:val="left"/>
      <w:lvlText w:val="(%1)"/>
      <w:numFmt w:val="decimal"/>
      <w:start w:val="1"/>
    </w:lvl>
  </w:abstractNum>
  <w:abstractNum w:abstractNumId="3">
    <w:nsid w:val="24F6AB8E"/>
    <w:multiLevelType w:val="hybridMultilevel"/>
    <w:lvl w:ilvl="0">
      <w:lvlJc w:val="left"/>
      <w:lvlText w:val="(%1)"/>
      <w:numFmt w:val="decimal"/>
      <w:start w:val="1"/>
    </w:lvl>
  </w:abstractNum>
  <w:abstractNum w:abstractNumId="4">
    <w:nsid w:val="634C574C"/>
    <w:multiLevelType w:val="hybridMultilevel"/>
    <w:lvl w:ilvl="0">
      <w:lvlJc w:val="left"/>
      <w:lvlText w:val="(%1)"/>
      <w:numFmt w:val="decimal"/>
      <w:start w:val="4"/>
    </w:lvl>
  </w:abstractNum>
  <w:abstractNum w:abstractNumId="5">
    <w:nsid w:val="24E99DD7"/>
    <w:multiLevelType w:val="hybridMultilevel"/>
    <w:lvl w:ilvl="0">
      <w:lvlJc w:val="left"/>
      <w:lvlText w:val="(%1)"/>
      <w:numFmt w:val="decimal"/>
      <w:start w:val="1"/>
    </w:lvl>
  </w:abstractNum>
  <w:abstractNum w:abstractNumId="6">
    <w:nsid w:val="2A31B62D"/>
    <w:multiLevelType w:val="hybridMultilevel"/>
    <w:lvl w:ilvl="0">
      <w:lvlJc w:val="left"/>
      <w:lvlText w:val="(%1)"/>
      <w:numFmt w:val="lowerLetter"/>
      <w:start w:val="1"/>
    </w:lvl>
  </w:abstractNum>
  <w:abstractNum w:abstractNumId="7">
    <w:nsid w:val="1849C29B"/>
    <w:multiLevelType w:val="hybridMultilevel"/>
    <w:lvl w:ilvl="0">
      <w:lvlJc w:val="left"/>
      <w:lvlText w:val="(%1)"/>
      <w:numFmt w:val="decimal"/>
      <w:start w:val="1"/>
    </w:lvl>
  </w:abstractNum>
  <w:abstractNum w:abstractNumId="8">
    <w:nsid w:val="7DFF9D09"/>
    <w:multiLevelType w:val="hybridMultilevel"/>
    <w:lvl w:ilvl="0">
      <w:lvlJc w:val="left"/>
      <w:lvlText w:val="·"/>
      <w:numFmt w:val="bullet"/>
      <w:start w:val="1"/>
    </w:lvl>
  </w:abstractNum>
  <w:abstractNum w:abstractNumId="9">
    <w:nsid w:val="754342"/>
    <w:multiLevelType w:val="hybridMultilevel"/>
    <w:lvl w:ilvl="0">
      <w:lvlJc w:val="left"/>
      <w:lvlText w:val="·"/>
      <w:numFmt w:val="bullet"/>
      <w:start w:val="1"/>
    </w:lvl>
  </w:abstractNum>
  <w:abstractNum w:abstractNumId="10">
    <w:nsid w:val="69E7F3E5"/>
    <w:multiLevelType w:val="hybridMultilevel"/>
    <w:lvl w:ilvl="0">
      <w:lvlJc w:val="left"/>
      <w:lvlText w:val="·"/>
      <w:numFmt w:val="bullet"/>
      <w:start w:val="1"/>
    </w:lvl>
  </w:abstractNum>
  <w:abstractNum w:abstractNumId="11">
    <w:nsid w:val="2A6DE806"/>
    <w:multiLevelType w:val="hybridMultilevel"/>
    <w:lvl w:ilvl="0">
      <w:lvlJc w:val="left"/>
      <w:lvlText w:val="·"/>
      <w:numFmt w:val="bullet"/>
      <w:start w:val="1"/>
    </w:lvl>
    <w:lvl w:ilvl="1">
      <w:lvlJc w:val="left"/>
      <w:lvlText w:val="·"/>
      <w:numFmt w:val="bullet"/>
      <w:start w:val="1"/>
    </w:lvl>
  </w:abstractNum>
  <w:abstractNum w:abstractNumId="12">
    <w:nsid w:val="1816F8C4"/>
    <w:multiLevelType w:val="hybridMultilevel"/>
    <w:lvl w:ilvl="0">
      <w:lvlJc w:val="left"/>
      <w:lvlText w:val="·"/>
      <w:numFmt w:val="bullet"/>
      <w:start w:val="1"/>
    </w:lvl>
    <w:lvl w:ilvl="1">
      <w:lvlJc w:val="left"/>
      <w:lvlText w:val="·"/>
      <w:numFmt w:val="bullet"/>
      <w:start w:val="1"/>
    </w:lvl>
  </w:abstractNum>
  <w:abstractNum w:abstractNumId="13">
    <w:nsid w:val="37DF2233"/>
    <w:multiLevelType w:val="hybridMultilevel"/>
    <w:lvl w:ilvl="0">
      <w:lvlJc w:val="left"/>
      <w:lvlText w:val="·"/>
      <w:numFmt w:val="bullet"/>
      <w:start w:val="1"/>
    </w:lvl>
    <w:lvl w:ilvl="1">
      <w:lvlJc w:val="left"/>
      <w:lvlText w:val="·"/>
      <w:numFmt w:val="bullet"/>
      <w:start w:val="1"/>
    </w:lvl>
  </w:abstractNum>
  <w:abstractNum w:abstractNumId="14">
    <w:nsid w:val="7AB49DAF"/>
    <w:multiLevelType w:val="hybridMultilevel"/>
    <w:lvl w:ilvl="0">
      <w:lvlJc w:val="left"/>
      <w:lvlText w:val="·"/>
      <w:numFmt w:val="bullet"/>
      <w:start w:val="1"/>
    </w:lvl>
    <w:lvl w:ilvl="1">
      <w:lvlJc w:val="left"/>
      <w:lvlText w:val="·"/>
      <w:numFmt w:val="bullet"/>
      <w:start w:val="1"/>
    </w:lvl>
  </w:abstractNum>
  <w:abstractNum w:abstractNumId="15">
    <w:nsid w:val="759F82CD"/>
    <w:multiLevelType w:val="hybridMultilevel"/>
    <w:lvl w:ilvl="0">
      <w:lvlJc w:val="left"/>
      <w:lvlText w:val="(%1)"/>
      <w:numFmt w:val="decimal"/>
      <w:start w:val="1"/>
    </w:lvl>
  </w:abstractNum>
  <w:abstractNum w:abstractNumId="16">
    <w:nsid w:val="61E74EA3"/>
    <w:multiLevelType w:val="hybridMultilevel"/>
    <w:lvl w:ilvl="0">
      <w:lvlJc w:val="left"/>
      <w:lvlText w:val="(%1)"/>
      <w:numFmt w:val="decimal"/>
      <w:start w:val="1"/>
    </w:lvl>
  </w:abstractNum>
  <w:abstractNum w:abstractNumId="17">
    <w:nsid w:val="597B4D84"/>
    <w:multiLevelType w:val="hybridMultilevel"/>
    <w:lvl w:ilvl="0">
      <w:lvlJc w:val="left"/>
      <w:lvlText w:val="(%1)"/>
      <w:numFmt w:val="lowerLetter"/>
      <w:start w:val="1"/>
    </w:lvl>
  </w:abstractNum>
  <w:abstractNum w:abstractNumId="18">
    <w:nsid w:val="F819E7F"/>
    <w:multiLevelType w:val="hybridMultilevel"/>
    <w:lvl w:ilvl="0">
      <w:lvlJc w:val="left"/>
      <w:lvlText w:val="(%1)"/>
      <w:numFmt w:val="decimal"/>
      <w:start w:val="1"/>
    </w:lvl>
  </w:abstractNum>
  <w:abstractNum w:abstractNumId="19">
    <w:nsid w:val="57C7D42D"/>
    <w:multiLevelType w:val="hybridMultilevel"/>
    <w:lvl w:ilvl="0">
      <w:lvlJc w:val="left"/>
      <w:lvlText w:val="(%1)"/>
      <w:numFmt w:val="lowerLetter"/>
      <w:start w:val="1"/>
    </w:lvl>
  </w:abstractNum>
  <w:abstractNum w:abstractNumId="20">
    <w:nsid w:val="312167AD"/>
    <w:multiLevelType w:val="hybridMultilevel"/>
    <w:lvl w:ilvl="0">
      <w:lvlJc w:val="left"/>
      <w:lvlText w:val="*"/>
      <w:numFmt w:val="bullet"/>
      <w:start w:val="1"/>
    </w:lvl>
  </w:abstractNum>
  <w:abstractNum w:abstractNumId="21">
    <w:nsid w:val="631B64D4"/>
    <w:multiLevelType w:val="hybridMultilevel"/>
    <w:lvl w:ilvl="0">
      <w:lvlJc w:val="left"/>
      <w:lvlText w:val="†"/>
      <w:numFmt w:val="bullet"/>
      <w:start w:val="1"/>
    </w:lvl>
  </w:abstractNum>
  <w:abstractNum w:abstractNumId="22">
    <w:nsid w:val="78B5E776"/>
    <w:multiLevelType w:val="hybridMultilevel"/>
    <w:lvl w:ilvl="0">
      <w:lvlJc w:val="left"/>
      <w:lvlText w:val="***"/>
      <w:numFmt w:val="bullet"/>
      <w:start w:val="1"/>
    </w:lvl>
  </w:abstractNum>
  <w:abstractNum w:abstractNumId="23">
    <w:nsid w:val="75486E47"/>
    <w:multiLevelType w:val="hybridMultilevel"/>
    <w:lvl w:ilvl="0">
      <w:lvlJc w:val="left"/>
      <w:lvlText w:val="(%1)"/>
      <w:numFmt w:val="lowerLetter"/>
      <w:start w:val="1"/>
    </w:lvl>
  </w:abstractNum>
  <w:abstractNum w:abstractNumId="24">
    <w:nsid w:val="6E534CDE"/>
    <w:multiLevelType w:val="hybridMultilevel"/>
    <w:lvl w:ilvl="0">
      <w:lvlJc w:val="left"/>
      <w:lvlText w:val="(%1)"/>
      <w:numFmt w:val="lowerLetter"/>
      <w:start w:val="8"/>
    </w:lvl>
  </w:abstractNum>
  <w:abstractNum w:abstractNumId="25">
    <w:nsid w:val="1A0DDE32"/>
    <w:multiLevelType w:val="hybridMultilevel"/>
    <w:lvl w:ilvl="0">
      <w:lvlJc w:val="left"/>
      <w:lvlText w:val="(%1)"/>
      <w:numFmt w:val="lowerLetter"/>
      <w:start w:val="1"/>
    </w:lvl>
    <w:lvl w:ilvl="1">
      <w:lvlJc w:val="left"/>
      <w:lvlText w:val="(%2)"/>
      <w:numFmt w:val="lowerRoman"/>
      <w:start w:val="2"/>
    </w:lvl>
  </w:abstractNum>
  <w:abstractNum w:abstractNumId="26">
    <w:nsid w:val="65968C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27">
    <w:nsid w:val="46263D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8"/>
    </w:lvl>
  </w:abstractNum>
  <w:abstractNum w:abstractNumId="28">
    <w:nsid w:val="260D8C4A"/>
    <w:multiLevelType w:val="hybridMultilevel"/>
    <w:lvl w:ilvl="0">
      <w:lvlJc w:val="left"/>
      <w:lvlText w:val="(%1)"/>
      <w:numFmt w:val="lowerLetter"/>
      <w:start w:val="1"/>
    </w:lvl>
  </w:abstractNum>
  <w:abstractNum w:abstractNumId="29">
    <w:nsid w:val="73D4D3C4"/>
    <w:multiLevelType w:val="hybridMultilevel"/>
    <w:lvl w:ilvl="0">
      <w:lvlJc w:val="left"/>
      <w:lvlText w:val="(%1)"/>
      <w:numFmt w:val="lowerLetter"/>
      <w:start w:val="9"/>
    </w:lvl>
  </w:abstractNum>
  <w:abstractNum w:abstractNumId="30">
    <w:nsid w:val="746F2E30"/>
    <w:multiLevelType w:val="hybridMultilevel"/>
    <w:lvl w:ilvl="0">
      <w:lvlJc w:val="left"/>
      <w:lvlText w:val="(%1)"/>
      <w:numFmt w:val="lowerLetter"/>
      <w:start w:val="1"/>
    </w:lvl>
  </w:abstractNum>
  <w:abstractNum w:abstractNumId="31">
    <w:nsid w:val="6FDE8AF6"/>
    <w:multiLevelType w:val="hybridMultilevel"/>
    <w:lvl w:ilvl="0">
      <w:lvlJc w:val="left"/>
      <w:lvlText w:val="(%1)"/>
      <w:numFmt w:val="lowerLetter"/>
      <w:start w:val="1"/>
    </w:lvl>
  </w:abstractNum>
  <w:abstractNum w:abstractNumId="32">
    <w:nsid w:val="3FC32E20"/>
    <w:multiLevelType w:val="hybridMultilevel"/>
    <w:lvl w:ilvl="0">
      <w:lvlJc w:val="left"/>
      <w:lvlText w:val="(%1)"/>
      <w:numFmt w:val="lowerLetter"/>
      <w:start w:val="3"/>
    </w:lvl>
  </w:abstractNum>
  <w:abstractNum w:abstractNumId="33">
    <w:nsid w:val="49C0E823"/>
    <w:multiLevelType w:val="hybridMultilevel"/>
    <w:lvl w:ilvl="0">
      <w:lvlJc w:val="left"/>
      <w:lvlText w:val="(%1)"/>
      <w:numFmt w:val="upperLetter"/>
      <w:start w:val="3"/>
    </w:lvl>
    <w:lvl w:ilvl="1">
      <w:lvlJc w:val="left"/>
      <w:lvlText w:val="(%2)"/>
      <w:numFmt w:val="lowerLetter"/>
      <w:start w:val="1"/>
    </w:lvl>
  </w:abstractNum>
  <w:abstractNum w:abstractNumId="34">
    <w:nsid w:val="14D53685"/>
    <w:multiLevelType w:val="hybridMultilevel"/>
    <w:lvl w:ilvl="0">
      <w:lvlJc w:val="left"/>
      <w:lvlText w:val="(%1)"/>
      <w:numFmt w:val="lowerLetter"/>
      <w:start w:val="12"/>
    </w:lvl>
  </w:abstractNum>
  <w:abstractNum w:abstractNumId="35">
    <w:nsid w:val="230F856C"/>
    <w:multiLevelType w:val="hybridMultilevel"/>
    <w:lvl w:ilvl="0">
      <w:lvlJc w:val="left"/>
      <w:lvlText w:val="(%1)"/>
      <w:numFmt w:val="lowerLetter"/>
      <w:start w:val="1"/>
    </w:lvl>
  </w:abstractNum>
  <w:abstractNum w:abstractNumId="36">
    <w:nsid w:val="6EAA85FB"/>
    <w:multiLevelType w:val="hybridMultilevel"/>
    <w:lvl w:ilvl="0">
      <w:lvlJc w:val="left"/>
      <w:lvlText w:val="(%1)"/>
      <w:numFmt w:val="lowerLetter"/>
      <w:start w:val="3"/>
    </w:lvl>
  </w:abstractNum>
  <w:abstractNum w:abstractNumId="37">
    <w:nsid w:val="3F06ECB2"/>
    <w:multiLevelType w:val="hybridMultilevel"/>
    <w:lvl w:ilvl="0">
      <w:lvlJc w:val="left"/>
      <w:lvlText w:val="(%1)"/>
      <w:numFmt w:val="lowerLetter"/>
      <w:start w:val="1"/>
    </w:lvl>
  </w:abstractNum>
  <w:abstractNum w:abstractNumId="38">
    <w:nsid w:val="3B594807"/>
    <w:multiLevelType w:val="hybridMultilevel"/>
    <w:lvl w:ilvl="0">
      <w:lvlJc w:val="left"/>
      <w:lvlText w:val="(%1)"/>
      <w:numFmt w:val="lowerLetter"/>
      <w:start w:val="1"/>
    </w:lvl>
  </w:abstractNum>
  <w:abstractNum w:abstractNumId="39">
    <w:nsid w:val="6CAA2304"/>
    <w:multiLevelType w:val="hybridMultilevel"/>
    <w:lvl w:ilvl="0">
      <w:lvlJc w:val="left"/>
      <w:lvlText w:val="(%1)"/>
      <w:numFmt w:val="upperLetter"/>
      <w:start w:val="1"/>
    </w:lvl>
  </w:abstractNum>
  <w:abstractNum w:abstractNumId="40">
    <w:nsid w:val="3F7C2FF4"/>
    <w:multiLevelType w:val="hybridMultilevel"/>
    <w:lvl w:ilvl="0">
      <w:lvlJc w:val="left"/>
      <w:lvlText w:val="(%1)"/>
      <w:numFmt w:val="lowerLetter"/>
      <w:start w:val="3"/>
    </w:lvl>
  </w:abstractNum>
  <w:abstractNum w:abstractNumId="41">
    <w:nsid w:val="25413BEC"/>
    <w:multiLevelType w:val="hybridMultilevel"/>
    <w:lvl w:ilvl="0">
      <w:lvlJc w:val="left"/>
      <w:lvlText w:val="(%1)"/>
      <w:numFmt w:val="lowerLetter"/>
      <w:start w:val="1"/>
    </w:lvl>
  </w:abstractNum>
  <w:abstractNum w:abstractNumId="42">
    <w:nsid w:val="17180B0B"/>
    <w:multiLevelType w:val="hybridMultilevel"/>
    <w:lvl w:ilvl="0">
      <w:lvlJc w:val="left"/>
      <w:lvlText w:val="(%1)"/>
      <w:numFmt w:val="lowerLetter"/>
      <w:start w:val="4"/>
    </w:lvl>
  </w:abstractNum>
  <w:abstractNum w:abstractNumId="43">
    <w:nsid w:val="579328B9"/>
    <w:multiLevelType w:val="hybridMultilevel"/>
    <w:lvl w:ilvl="0">
      <w:lvlJc w:val="left"/>
      <w:lvlText w:val="(%1)"/>
      <w:numFmt w:val="lowerLetter"/>
      <w:start w:val="1"/>
    </w:lvl>
  </w:abstractNum>
  <w:abstractNum w:abstractNumId="44">
    <w:nsid w:val="5D205E20"/>
    <w:multiLevelType w:val="hybridMultilevel"/>
    <w:lvl w:ilvl="0">
      <w:lvlJc w:val="left"/>
      <w:lvlText w:val="(%1)"/>
      <w:numFmt w:val="lowerLetter"/>
      <w:start w:val="2"/>
    </w:lvl>
  </w:abstractNum>
  <w:abstractNum w:abstractNumId="45">
    <w:nsid w:val="11CCA8BA"/>
    <w:multiLevelType w:val="hybridMultilevel"/>
    <w:lvl w:ilvl="0">
      <w:lvlJc w:val="left"/>
      <w:lvlText w:val="(%1)"/>
      <w:numFmt w:val="lowerLetter"/>
      <w:start w:val="1"/>
    </w:lvl>
  </w:abstractNum>
  <w:abstractNum w:abstractNumId="46">
    <w:nsid w:val="4D32AB86"/>
    <w:multiLevelType w:val="hybridMultilevel"/>
    <w:lvl w:ilvl="0">
      <w:lvlJc w:val="left"/>
      <w:lvlText w:val="(%1)"/>
      <w:numFmt w:val="lowerLetter"/>
      <w:start w:val="1"/>
    </w:lvl>
    <w:lvl w:ilvl="1">
      <w:lvlJc w:val="left"/>
      <w:lvlText w:val="(%2)"/>
      <w:numFmt w:val="lowerRoman"/>
      <w:start w:val="2"/>
    </w:lvl>
  </w:abstractNum>
  <w:abstractNum w:abstractNumId="47">
    <w:nsid w:val="3F07ACC3"/>
    <w:multiLevelType w:val="hybridMultilevel"/>
    <w:lvl w:ilvl="0">
      <w:lvlJc w:val="left"/>
      <w:lvlText w:val="%1"/>
      <w:numFmt w:val="lowerLetter"/>
      <w:start w:val="1"/>
    </w:lvl>
    <w:lvl w:ilvl="1">
      <w:lvlJc w:val="left"/>
      <w:lvlText w:val="(%2)"/>
      <w:numFmt w:val="lowerRoman"/>
      <w:start w:val="6"/>
    </w:lvl>
  </w:abstractNum>
  <w:abstractNum w:abstractNumId="48">
    <w:nsid w:val="6B47F63E"/>
    <w:multiLevelType w:val="hybridMultilevel"/>
    <w:lvl w:ilvl="0">
      <w:lvlJc w:val="left"/>
      <w:lvlText w:val="(%1)"/>
      <w:numFmt w:val="lowerLetter"/>
      <w:start w:val="2"/>
    </w:lvl>
    <w:lvl w:ilvl="1">
      <w:lvlJc w:val="left"/>
      <w:lvlText w:val="%2"/>
      <w:numFmt w:val="lowerRoman"/>
      <w:start w:val="1"/>
    </w:lvl>
  </w:abstractNum>
  <w:abstractNum w:abstractNumId="49">
    <w:nsid w:val="5CB44A05"/>
    <w:multiLevelType w:val="hybridMultilevel"/>
    <w:lvl w:ilvl="0">
      <w:lvlJc w:val="left"/>
      <w:lvlText w:val="(%1)"/>
      <w:numFmt w:val="lowerLetter"/>
      <w:start w:val="5"/>
    </w:lvl>
  </w:abstractNum>
  <w:abstractNum w:abstractNumId="50">
    <w:nsid w:val="16CF80F1"/>
    <w:multiLevelType w:val="hybridMultilevel"/>
    <w:lvl w:ilvl="0">
      <w:lvlJc w:val="left"/>
      <w:lvlText w:val="(%1)"/>
      <w:numFmt w:val="lowerLetter"/>
      <w:start w:val="7"/>
    </w:lvl>
  </w:abstractNum>
  <w:abstractNum w:abstractNumId="51">
    <w:nsid w:val="1C695DEC"/>
    <w:multiLevelType w:val="hybridMultilevel"/>
    <w:lvl w:ilvl="0">
      <w:lvlJc w:val="left"/>
      <w:lvlText w:val="(%1)"/>
      <w:numFmt w:val="lowerLetter"/>
      <w:start w:val="1"/>
    </w:lvl>
    <w:lvl w:ilvl="1">
      <w:lvlJc w:val="left"/>
      <w:lvlText w:val="(%2)"/>
      <w:numFmt w:val="lowerLetter"/>
      <w:start w:val="35"/>
    </w:lvl>
  </w:abstractNum>
  <w:abstractNum w:abstractNumId="52">
    <w:nsid w:val="3FCFAED9"/>
    <w:multiLevelType w:val="hybridMultilevel"/>
    <w:lvl w:ilvl="0">
      <w:lvlJc w:val="left"/>
      <w:lvlText w:val="(%1)"/>
      <w:numFmt w:val="lowerLetter"/>
      <w:start w:val="1"/>
    </w:lvl>
  </w:abstractNum>
  <w:abstractNum w:abstractNumId="53">
    <w:nsid w:val="F856867"/>
    <w:multiLevelType w:val="hybridMultilevel"/>
    <w:lvl w:ilvl="0">
      <w:lvlJc w:val="left"/>
      <w:lvlText w:val="(%1)"/>
      <w:numFmt w:val="lowerLetter"/>
      <w:start w:val="1"/>
    </w:lvl>
  </w:abstractNum>
  <w:abstractNum w:abstractNumId="54">
    <w:nsid w:val="11B1CC33"/>
    <w:multiLevelType w:val="hybridMultilevel"/>
    <w:lvl w:ilvl="0">
      <w:lvlJc w:val="left"/>
      <w:lvlText w:val="(%1)"/>
      <w:numFmt w:val="lowerLetter"/>
      <w:start w:val="1"/>
    </w:lvl>
    <w:lvl w:ilvl="1">
      <w:lvlJc w:val="left"/>
      <w:lvlText w:val="(%2)"/>
      <w:numFmt w:val="lowerRoman"/>
      <w:start w:val="1"/>
    </w:lvl>
  </w:abstractNum>
  <w:abstractNum w:abstractNumId="55">
    <w:nsid w:val="2E22FBB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6">
    <w:nsid w:val="29934699"/>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57">
    <w:nsid w:val="7748585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8">
    <w:nsid w:val="744939A3"/>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59">
    <w:nsid w:val="4FA0D2E3"/>
    <w:multiLevelType w:val="hybridMultilevel"/>
    <w:lvl w:ilvl="0">
      <w:lvlJc w:val="left"/>
      <w:lvlText w:val="(%1)"/>
      <w:numFmt w:val="lowerLetter"/>
      <w:start w:val="1"/>
    </w:lvl>
  </w:abstractNum>
  <w:abstractNum w:abstractNumId="60">
    <w:nsid w:val="6B1D2C14"/>
    <w:multiLevelType w:val="hybridMultilevel"/>
    <w:lvl w:ilvl="0">
      <w:lvlJc w:val="left"/>
      <w:lvlText w:val="(%1)"/>
      <w:numFmt w:val="lowerLetter"/>
      <w:start w:val="25"/>
    </w:lvl>
  </w:abstractNum>
  <w:abstractNum w:abstractNumId="61">
    <w:nsid w:val="68B867D3"/>
    <w:multiLevelType w:val="hybridMultilevel"/>
    <w:lvl w:ilvl="0">
      <w:lvlJc w:val="left"/>
      <w:lvlText w:val="%1"/>
      <w:numFmt w:val="lowerLetter"/>
      <w:start w:val="1"/>
    </w:lvl>
    <w:lvl w:ilvl="1">
      <w:lvlJc w:val="left"/>
      <w:lvlText w:val="(%2)"/>
      <w:numFmt w:val="lowerLetter"/>
      <w:start w:val="2"/>
    </w:lvl>
  </w:abstractNum>
  <w:abstractNum w:abstractNumId="62">
    <w:nsid w:val="3F7F5DD9"/>
    <w:multiLevelType w:val="hybridMultilevel"/>
    <w:lvl w:ilvl="0">
      <w:lvlJc w:val="left"/>
      <w:lvlText w:val="(%1)"/>
      <w:numFmt w:val="lowerLetter"/>
      <w:start w:val="2"/>
    </w:lvl>
    <w:lvl w:ilvl="1">
      <w:lvlJc w:val="left"/>
      <w:lvlText w:val="%2"/>
      <w:numFmt w:val="lowerLetter"/>
      <w:start w:val="1"/>
    </w:lvl>
  </w:abstractNum>
  <w:abstractNum w:abstractNumId="63">
    <w:nsid w:val="2AE05A34"/>
    <w:multiLevelType w:val="hybridMultilevel"/>
    <w:lvl w:ilvl="0">
      <w:lvlJc w:val="left"/>
      <w:lvlText w:val="%1"/>
      <w:numFmt w:val="lowerLetter"/>
      <w:start w:val="1"/>
    </w:lvl>
    <w:lvl w:ilvl="1">
      <w:lvlJc w:val="left"/>
      <w:lvlText w:val="(%2)"/>
      <w:numFmt w:val="lowerLetter"/>
      <w:start w:val="1"/>
    </w:lvl>
  </w:abstractNum>
  <w:abstractNum w:abstractNumId="64">
    <w:nsid w:val="32794FF7"/>
    <w:multiLevelType w:val="hybridMultilevel"/>
    <w:lvl w:ilvl="0">
      <w:lvlJc w:val="left"/>
      <w:lvlText w:val="(%1)"/>
      <w:numFmt w:val="lowerLetter"/>
      <w:start w:val="35"/>
    </w:lvl>
    <w:lvl w:ilvl="1">
      <w:lvlJc w:val="left"/>
      <w:lvlText w:val="%2"/>
      <w:numFmt w:val="lowerLetter"/>
      <w:start w:val="1"/>
    </w:lvl>
  </w:abstractNum>
  <w:abstractNum w:abstractNumId="65">
    <w:nsid w:val="5454945E"/>
    <w:multiLevelType w:val="hybridMultilevel"/>
    <w:lvl w:ilvl="0">
      <w:lvlJc w:val="left"/>
      <w:lvlText w:val="(%1)"/>
      <w:numFmt w:val="lowerLetter"/>
      <w:start w:val="2"/>
    </w:lvl>
  </w:abstractNum>
  <w:abstractNum w:abstractNumId="66">
    <w:nsid w:val="4DEFDFA0"/>
    <w:multiLevelType w:val="hybridMultilevel"/>
    <w:lvl w:ilvl="0">
      <w:lvlJc w:val="left"/>
      <w:lvlText w:val="(%1)"/>
      <w:numFmt w:val="lowerLetter"/>
      <w:start w:val="6"/>
    </w:lvl>
  </w:abstractNum>
  <w:abstractNum w:abstractNumId="67">
    <w:nsid w:val="2123D5F2"/>
    <w:multiLevelType w:val="hybridMultilevel"/>
    <w:lvl w:ilvl="0">
      <w:lvlJc w:val="left"/>
      <w:lvlText w:val="(%1)"/>
      <w:numFmt w:val="lowerLetter"/>
      <w:start w:val="1"/>
    </w:lvl>
  </w:abstractNum>
  <w:abstractNum w:abstractNumId="68">
    <w:nsid w:val="135B8110"/>
    <w:multiLevelType w:val="hybridMultilevel"/>
    <w:lvl w:ilvl="0">
      <w:lvlJc w:val="left"/>
      <w:lvlText w:val="(%1)"/>
      <w:numFmt w:val="lowerLetter"/>
      <w:start w:val="1"/>
    </w:lvl>
  </w:abstractNum>
  <w:abstractNum w:abstractNumId="69">
    <w:nsid w:val="94927A8"/>
    <w:multiLevelType w:val="hybridMultilevel"/>
    <w:lvl w:ilvl="0">
      <w:lvlJc w:val="left"/>
      <w:lvlText w:val="(%1)"/>
      <w:numFmt w:val="lowerLetter"/>
      <w:start w:val="5"/>
    </w:lvl>
    <w:lvl w:ilvl="1">
      <w:lvlJc w:val="left"/>
      <w:lvlText w:val="(%2)"/>
      <w:numFmt w:val="lowerRoman"/>
      <w:start w:val="1"/>
    </w:lvl>
  </w:abstractNum>
  <w:abstractNum w:abstractNumId="70">
    <w:nsid w:val="DCDF8F6"/>
    <w:multiLevelType w:val="hybridMultilevel"/>
    <w:lvl w:ilvl="0">
      <w:lvlJc w:val="left"/>
      <w:lvlText w:val="(%1)"/>
      <w:numFmt w:val="lowerLetter"/>
      <w:start w:val="1"/>
    </w:lvl>
  </w:abstractNum>
  <w:abstractNum w:abstractNumId="71">
    <w:nsid w:val="52D7B105"/>
    <w:multiLevelType w:val="hybridMultilevel"/>
    <w:lvl w:ilvl="0">
      <w:lvlJc w:val="left"/>
      <w:lvlText w:val="(%1)"/>
      <w:numFmt w:val="lowerLetter"/>
      <w:start w:val="2"/>
    </w:lvl>
    <w:lvl w:ilvl="1">
      <w:lvlJc w:val="left"/>
      <w:lvlText w:val="(%2)"/>
      <w:numFmt w:val="lowerRoman"/>
      <w:start w:val="1"/>
    </w:lvl>
  </w:abstractNum>
  <w:abstractNum w:abstractNumId="72">
    <w:nsid w:val="2E8A6394"/>
    <w:multiLevelType w:val="hybridMultilevel"/>
    <w:lvl w:ilvl="0">
      <w:lvlJc w:val="left"/>
      <w:lvlText w:val="(%1)"/>
      <w:numFmt w:val="lowerLetter"/>
      <w:start w:val="3"/>
    </w:lvl>
    <w:lvl w:ilvl="1">
      <w:lvlJc w:val="left"/>
      <w:lvlText w:val="(%2)"/>
      <w:numFmt w:val="lowerRoman"/>
      <w:start w:val="1"/>
    </w:lvl>
  </w:abstractNum>
  <w:abstractNum w:abstractNumId="73">
    <w:nsid w:val="24E60401"/>
    <w:multiLevelType w:val="hybridMultilevel"/>
    <w:lvl w:ilvl="0">
      <w:lvlJc w:val="left"/>
      <w:lvlText w:val="(%1)"/>
      <w:numFmt w:val="lowerLetter"/>
      <w:start w:val="4"/>
    </w:lvl>
  </w:abstractNum>
  <w:abstractNum w:abstractNumId="74">
    <w:nsid w:val="2A6AD9BE"/>
    <w:multiLevelType w:val="hybridMultilevel"/>
    <w:lvl w:ilvl="0">
      <w:lvlJc w:val="left"/>
      <w:lvlText w:val="(%1)"/>
      <w:numFmt w:val="lowerLetter"/>
      <w:start w:val="2"/>
    </w:lvl>
  </w:abstractNum>
  <w:abstractNum w:abstractNumId="75">
    <w:nsid w:val="BAAC1B4"/>
    <w:multiLevelType w:val="hybridMultilevel"/>
    <w:lvl w:ilvl="0">
      <w:lvlJc w:val="left"/>
      <w:lvlText w:val="(%1)"/>
      <w:numFmt w:val="lowerLetter"/>
      <w:start w:val="4"/>
    </w:lvl>
  </w:abstractNum>
  <w:abstractNum w:abstractNumId="76">
    <w:nsid w:val="36B2ACBC"/>
    <w:multiLevelType w:val="hybridMultilevel"/>
    <w:lvl w:ilvl="0">
      <w:lvlJc w:val="left"/>
      <w:lvlText w:val="(%1)"/>
      <w:numFmt w:val="lowerLetter"/>
      <w:start w:val="1"/>
    </w:lvl>
  </w:abstractNum>
  <w:abstractNum w:abstractNumId="77">
    <w:nsid w:val="779D8544"/>
    <w:multiLevelType w:val="hybridMultilevel"/>
    <w:lvl w:ilvl="0">
      <w:lvlJc w:val="left"/>
      <w:lvlText w:val="(%1)"/>
      <w:numFmt w:val="lowerLetter"/>
      <w:start w:val="1"/>
    </w:lvl>
    <w:lvl w:ilvl="1">
      <w:lvlJc w:val="left"/>
      <w:lvlText w:val="(%2)"/>
      <w:numFmt w:val="lowerRoman"/>
      <w:start w:val="1"/>
    </w:lvl>
  </w:abstractNum>
  <w:abstractNum w:abstractNumId="78">
    <w:nsid w:val="4AB26E78"/>
    <w:multiLevelType w:val="hybridMultilevel"/>
    <w:lvl w:ilvl="0">
      <w:lvlJc w:val="left"/>
      <w:lvlText w:val="(%1)"/>
      <w:numFmt w:val="lowerLetter"/>
      <w:start w:val="8"/>
    </w:lvl>
  </w:abstractNum>
  <w:abstractNum w:abstractNumId="79">
    <w:nsid w:val="21FAA2FA"/>
    <w:multiLevelType w:val="hybridMultilevel"/>
    <w:lvl w:ilvl="0">
      <w:lvlJc w:val="left"/>
      <w:lvlText w:val="(%1)"/>
      <w:numFmt w:val="lowerLetter"/>
      <w:start w:val="1"/>
    </w:lvl>
  </w:abstractNum>
  <w:abstractNum w:abstractNumId="80">
    <w:nsid w:val="5451CF49"/>
    <w:multiLevelType w:val="hybridMultilevel"/>
    <w:lvl w:ilvl="0">
      <w:lvlJc w:val="left"/>
      <w:lvlText w:val="(%1)"/>
      <w:numFmt w:val="lowerLetter"/>
      <w:start w:val="1"/>
    </w:lvl>
  </w:abstractNum>
  <w:abstractNum w:abstractNumId="81">
    <w:nsid w:val="6181EF69"/>
    <w:multiLevelType w:val="hybridMultilevel"/>
    <w:lvl w:ilvl="0">
      <w:lvlJc w:val="left"/>
      <w:lvlText w:val="(%1)"/>
      <w:numFmt w:val="lowerLetter"/>
      <w:start w:val="6"/>
    </w:lvl>
  </w:abstractNum>
  <w:abstractNum w:abstractNumId="82">
    <w:nsid w:val="3E6400E6"/>
    <w:multiLevelType w:val="hybridMultilevel"/>
    <w:lvl w:ilvl="0">
      <w:lvlJc w:val="left"/>
      <w:lvlText w:val="(%1)"/>
      <w:numFmt w:val="lowerLetter"/>
      <w:start w:val="19"/>
    </w:lvl>
  </w:abstractNum>
  <w:abstractNum w:abstractNumId="83">
    <w:nsid w:val="14217E23"/>
    <w:multiLevelType w:val="hybridMultilevel"/>
    <w:lvl w:ilvl="0">
      <w:lvlJc w:val="left"/>
      <w:lvlText w:val="(%1)"/>
      <w:numFmt w:val="lowerLetter"/>
      <w:start w:val="27"/>
    </w:lvl>
  </w:abstractNum>
  <w:abstractNum w:abstractNumId="84">
    <w:nsid w:val="710757D0"/>
    <w:multiLevelType w:val="hybridMultilevel"/>
    <w:lvl w:ilvl="0">
      <w:lvlJc w:val="left"/>
      <w:lvlText w:val="(%1)"/>
      <w:numFmt w:val="lowerLetter"/>
      <w:start w:val="1"/>
    </w:lvl>
    <w:lvl w:ilvl="1">
      <w:lvlJc w:val="left"/>
      <w:lvlText w:val="(%2)"/>
      <w:numFmt w:val="lowerRoman"/>
      <w:start w:val="1"/>
    </w:lvl>
  </w:abstractNum>
  <w:abstractNum w:abstractNumId="85">
    <w:nsid w:val="5015CD1A"/>
    <w:multiLevelType w:val="hybridMultilevel"/>
    <w:lvl w:ilvl="0">
      <w:lvlJc w:val="left"/>
      <w:lvlText w:val="%1"/>
      <w:numFmt w:val="lowerLetter"/>
      <w:start w:val="1"/>
    </w:lvl>
    <w:lvl w:ilvl="1">
      <w:lvlJc w:val="left"/>
      <w:lvlText w:val="(%2)"/>
      <w:numFmt w:val="lowerRoman"/>
      <w:start w:val="4"/>
    </w:lvl>
  </w:abstractNum>
  <w:abstractNum w:abstractNumId="86">
    <w:nsid w:val="424479DA"/>
    <w:multiLevelType w:val="hybridMultilevel"/>
    <w:lvl w:ilvl="0">
      <w:lvlJc w:val="left"/>
      <w:lvlText w:val="(%1)"/>
      <w:numFmt w:val="lowerLetter"/>
      <w:start w:val="6"/>
    </w:lvl>
    <w:lvl w:ilvl="1">
      <w:lvlJc w:val="left"/>
      <w:lvlText w:val="(%2)"/>
      <w:numFmt w:val="lowerRoman"/>
      <w:start w:val="1"/>
    </w:lvl>
  </w:abstractNum>
  <w:abstractNum w:abstractNumId="87">
    <w:nsid w:val="1A9A9E69"/>
    <w:multiLevelType w:val="hybridMultilevel"/>
    <w:lvl w:ilvl="0">
      <w:lvlJc w:val="left"/>
      <w:lvlText w:val="%1"/>
      <w:numFmt w:val="upperLetter"/>
      <w:start w:val="1"/>
    </w:lvl>
    <w:lvl w:ilvl="1">
      <w:lvlJc w:val="left"/>
      <w:lvlText w:val="(%2)"/>
      <w:numFmt w:val="lowerRoman"/>
      <w:start w:val="6"/>
    </w:lvl>
  </w:abstractNum>
  <w:abstractNum w:abstractNumId="88">
    <w:nsid w:val="475E256A"/>
    <w:multiLevelType w:val="hybridMultilevel"/>
    <w:lvl w:ilvl="0">
      <w:lvlJc w:val="left"/>
      <w:lvlText w:val="(%1)"/>
      <w:numFmt w:val="upperLetter"/>
      <w:start w:val="3"/>
    </w:lvl>
    <w:lvl w:ilvl="1">
      <w:lvlJc w:val="left"/>
      <w:lvlText w:val="(%2)"/>
      <w:numFmt w:val="lowerRoman"/>
      <w:start w:val="10"/>
    </w:lvl>
  </w:abstractNum>
  <w:abstractNum w:abstractNumId="89">
    <w:nsid w:val="368DB37E"/>
    <w:multiLevelType w:val="hybridMultilevel"/>
    <w:lvl w:ilvl="0">
      <w:lvlJc w:val="left"/>
      <w:lvlText w:val="(%1)"/>
      <w:numFmt w:val="lowerRoman"/>
      <w:start w:val="14"/>
    </w:lvl>
  </w:abstractNum>
  <w:abstractNum w:abstractNumId="90">
    <w:nsid w:val="6A3B714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1">
    <w:nsid w:val="327B517E"/>
    <w:multiLevelType w:val="hybridMultilevel"/>
    <w:lvl w:ilvl="0">
      <w:lvlJc w:val="left"/>
      <w:lvlText w:val="(%1)"/>
      <w:numFmt w:val="lowerLetter"/>
      <w:start w:val="25"/>
    </w:lvl>
    <w:lvl w:ilvl="1">
      <w:lvlJc w:val="left"/>
      <w:lvlText w:val="%2"/>
      <w:numFmt w:val="lowerRoman"/>
      <w:start w:val="1"/>
    </w:lvl>
    <w:lvl w:ilvl="2">
      <w:lvlJc w:val="left"/>
      <w:lvlText w:val="%3"/>
      <w:numFmt w:val="lowerRoman"/>
      <w:start w:val="1"/>
    </w:lvl>
  </w:abstractNum>
  <w:abstractNum w:abstractNumId="92">
    <w:nsid w:val="1F461B51"/>
    <w:multiLevelType w:val="hybridMultilevel"/>
    <w:lvl w:ilvl="0">
      <w:lvlJc w:val="left"/>
      <w:lvlText w:val="(%1)"/>
      <w:numFmt w:val="lowerRoman"/>
      <w:start w:val="3"/>
    </w:lvl>
  </w:abstractNum>
  <w:abstractNum w:abstractNumId="93">
    <w:nsid w:val="29BACF25"/>
    <w:multiLevelType w:val="hybridMultilevel"/>
    <w:lvl w:ilvl="0">
      <w:lvlJc w:val="left"/>
      <w:lvlText w:val="(%1)"/>
      <w:numFmt w:val="lowerLetter"/>
      <w:start w:val="10"/>
    </w:lvl>
    <w:lvl w:ilvl="1">
      <w:lvlJc w:val="left"/>
      <w:lvlText w:val="(%2)"/>
      <w:numFmt w:val="lowerRoman"/>
      <w:start w:val="1"/>
    </w:lvl>
  </w:abstractNum>
  <w:abstractNum w:abstractNumId="94">
    <w:nsid w:val="5D5BABB3"/>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95">
    <w:nsid w:val="51BF6B48"/>
    <w:multiLevelType w:val="hybridMultilevel"/>
    <w:lvl w:ilvl="0">
      <w:lvlJc w:val="left"/>
      <w:lvlText w:val="(%1)"/>
      <w:numFmt w:val="lowerLetter"/>
      <w:start w:val="35"/>
    </w:lvl>
    <w:lvl w:ilvl="1">
      <w:lvlJc w:val="left"/>
      <w:lvlText w:val="(%2)"/>
      <w:numFmt w:val="lowerLetter"/>
      <w:start w:val="13"/>
    </w:lvl>
    <w:lvl w:ilvl="2">
      <w:lvlJc w:val="left"/>
      <w:lvlText w:val="(%3)"/>
      <w:numFmt w:val="lowerRoman"/>
      <w:start w:val="2"/>
    </w:lvl>
  </w:abstractNum>
  <w:abstractNum w:abstractNumId="96">
    <w:nsid w:val="7E0F6384"/>
    <w:multiLevelType w:val="hybridMultilevel"/>
    <w:lvl w:ilvl="0">
      <w:lvlJc w:val="left"/>
      <w:lvlText w:val="(%1)"/>
      <w:numFmt w:val="lowerLetter"/>
      <w:start w:val="17"/>
    </w:lvl>
    <w:lvl w:ilvl="1">
      <w:lvlJc w:val="left"/>
      <w:lvlText w:val="(%2)"/>
      <w:numFmt w:val="lowerRoman"/>
      <w:start w:val="1"/>
    </w:lvl>
  </w:abstractNum>
  <w:abstractNum w:abstractNumId="97">
    <w:nsid w:val="2B4B8B53"/>
    <w:multiLevelType w:val="hybridMultilevel"/>
    <w:lvl w:ilvl="0">
      <w:lvlJc w:val="left"/>
      <w:lvlText w:val="(%1)"/>
      <w:numFmt w:val="lowerLetter"/>
      <w:start w:val="1"/>
    </w:lvl>
    <w:lvl w:ilvl="1">
      <w:lvlJc w:val="left"/>
      <w:lvlText w:val="(%2)"/>
      <w:numFmt w:val="lowerRoman"/>
      <w:start w:val="1"/>
    </w:lvl>
  </w:abstractNum>
  <w:abstractNum w:abstractNumId="98">
    <w:nsid w:val="72E3413A"/>
    <w:multiLevelType w:val="hybridMultilevel"/>
    <w:lvl w:ilvl="0">
      <w:lvlJc w:val="left"/>
      <w:lvlText w:val="(%1)"/>
      <w:numFmt w:val="lowerRoman"/>
      <w:start w:val="5"/>
    </w:lvl>
  </w:abstractNum>
  <w:abstractNum w:abstractNumId="99">
    <w:nsid w:val="116AE494"/>
    <w:multiLevelType w:val="hybridMultilevel"/>
    <w:lvl w:ilvl="0">
      <w:lvlJc w:val="left"/>
      <w:lvlText w:val="%1"/>
      <w:numFmt w:val="lowerLetter"/>
      <w:start w:val="1"/>
    </w:lvl>
    <w:lvl w:ilvl="1">
      <w:lvlJc w:val="left"/>
      <w:lvlText w:val="(%2)"/>
      <w:numFmt w:val="lowerRoman"/>
      <w:start w:val="22"/>
    </w:lvl>
  </w:abstractNum>
  <w:abstractNum w:abstractNumId="100">
    <w:nsid w:val="3494B2FB"/>
    <w:multiLevelType w:val="hybridMultilevel"/>
    <w:lvl w:ilvl="0">
      <w:lvlJc w:val="left"/>
      <w:lvlText w:val="(%1)"/>
      <w:numFmt w:val="lowerLetter"/>
      <w:start w:val="2"/>
    </w:lvl>
    <w:lvl w:ilvl="1">
      <w:lvlJc w:val="left"/>
      <w:lvlText w:val="(%2)"/>
      <w:numFmt w:val="lowerRoman"/>
      <w:start w:val="1"/>
    </w:lvl>
  </w:abstractNum>
  <w:abstractNum w:abstractNumId="101">
    <w:nsid w:val="B13A31"/>
    <w:multiLevelType w:val="hybridMultilevel"/>
    <w:lvl w:ilvl="0">
      <w:lvlJc w:val="left"/>
      <w:lvlText w:val="%1"/>
      <w:numFmt w:val="lowerRoman"/>
      <w:start w:val="1"/>
    </w:lvl>
    <w:lvl w:ilvl="1">
      <w:lvlJc w:val="left"/>
      <w:lvlText w:val="(%2)"/>
      <w:numFmt w:val="lowerRoman"/>
      <w:start w:val="3"/>
    </w:lvl>
  </w:abstractNum>
  <w:abstractNum w:abstractNumId="102">
    <w:nsid w:val="64429599"/>
    <w:multiLevelType w:val="hybridMultilevel"/>
    <w:lvl w:ilvl="0">
      <w:lvlJc w:val="left"/>
      <w:lvlText w:val="(%1)"/>
      <w:numFmt w:val="lowerRoman"/>
      <w:start w:val="15"/>
    </w:lvl>
    <w:lvl w:ilvl="1">
      <w:lvlJc w:val="left"/>
      <w:lvlText w:val="(%2)"/>
      <w:numFmt w:val="lowerRoman"/>
      <w:start w:val="5"/>
    </w:lvl>
  </w:abstractNum>
  <w:abstractNum w:abstractNumId="103">
    <w:nsid w:val="631F1690"/>
    <w:multiLevelType w:val="hybridMultilevel"/>
    <w:lvl w:ilvl="0">
      <w:lvlJc w:val="left"/>
      <w:lvlText w:val="(%1)"/>
      <w:numFmt w:val="lowerRoman"/>
      <w:start w:val="16"/>
    </w:lvl>
  </w:abstractNum>
  <w:abstractNum w:abstractNumId="104">
    <w:nsid w:val="25973E32"/>
    <w:multiLevelType w:val="hybridMultilevel"/>
    <w:lvl w:ilvl="0">
      <w:lvlJc w:val="left"/>
      <w:lvlText w:val="(%1)"/>
      <w:numFmt w:val="lowerRoman"/>
      <w:start w:val="32"/>
    </w:lvl>
  </w:abstractNum>
  <w:abstractNum w:abstractNumId="105">
    <w:nsid w:val="EAD6F57"/>
    <w:multiLevelType w:val="hybridMultilevel"/>
    <w:lvl w:ilvl="0">
      <w:lvlJc w:val="left"/>
      <w:lvlText w:val="(%1)"/>
      <w:numFmt w:val="lowerLetter"/>
      <w:start w:val="5"/>
    </w:lvl>
    <w:lvl w:ilvl="1">
      <w:lvlJc w:val="left"/>
      <w:lvlText w:val="(%2)"/>
      <w:numFmt w:val="lowerRoman"/>
      <w:start w:val="1"/>
    </w:lvl>
  </w:abstractNum>
  <w:abstractNum w:abstractNumId="106">
    <w:nsid w:val="6EC9D84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107">
    <w:nsid w:val="5C49EAEE"/>
    <w:multiLevelType w:val="hybridMultilevel"/>
    <w:lvl w:ilvl="0">
      <w:lvlJc w:val="left"/>
      <w:lvlText w:val="(%1)"/>
      <w:numFmt w:val="upperLetter"/>
      <w:start w:val="5"/>
    </w:lvl>
    <w:lvl w:ilvl="1">
      <w:lvlJc w:val="left"/>
      <w:lvlText w:val="%2"/>
      <w:numFmt w:val="lowerRoman"/>
      <w:start w:val="1"/>
    </w:lvl>
    <w:lvl w:ilvl="2">
      <w:lvlJc w:val="left"/>
      <w:lvlText w:val="(%3)"/>
      <w:numFmt w:val="lowerRoman"/>
      <w:start w:val="2"/>
    </w:lvl>
    <w:lvl w:ilvl="3">
      <w:lvlJc w:val="left"/>
      <w:lvlText w:val="(%4)"/>
      <w:numFmt w:val="lowerRoman"/>
      <w:start w:val="9"/>
    </w:lvl>
  </w:abstractNum>
  <w:abstractNum w:abstractNumId="108">
    <w:nsid w:val="64AF49B"/>
    <w:multiLevelType w:val="hybridMultilevel"/>
    <w:lvl w:ilvl="0">
      <w:lvlJc w:val="left"/>
      <w:lvlText w:val="(%1)"/>
      <w:numFmt w:val="lowerRoman"/>
      <w:start w:val="10"/>
    </w:lvl>
  </w:abstractNum>
  <w:abstractNum w:abstractNumId="109">
    <w:nsid w:val="397C46B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4"/>
    </w:lvl>
  </w:abstractNum>
  <w:abstractNum w:abstractNumId="110">
    <w:nsid w:val="7E448DE9"/>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111">
    <w:nsid w:val="5A9CC3E5"/>
    <w:multiLevelType w:val="hybridMultilevel"/>
    <w:lvl w:ilvl="0">
      <w:lvlJc w:val="left"/>
      <w:lvlText w:val="(%1)"/>
      <w:numFmt w:val="upperLetter"/>
      <w:start w:val="3"/>
    </w:lvl>
    <w:lvl w:ilvl="1">
      <w:lvlJc w:val="left"/>
      <w:lvlText w:val="(%2)"/>
      <w:numFmt w:val="lowerLetter"/>
      <w:start w:val="11"/>
    </w:lvl>
    <w:lvl w:ilvl="2">
      <w:lvlJc w:val="left"/>
      <w:lvlText w:val="%3"/>
      <w:numFmt w:val="lowerRoman"/>
      <w:start w:val="1"/>
    </w:lvl>
  </w:abstractNum>
  <w:abstractNum w:abstractNumId="112">
    <w:nsid w:val="1AFE3625"/>
    <w:multiLevelType w:val="hybridMultilevel"/>
    <w:lvl w:ilvl="0">
      <w:lvlJc w:val="left"/>
      <w:lvlText w:val="(%1)"/>
      <w:numFmt w:val="lowerLetter"/>
      <w:start w:val="1"/>
    </w:lvl>
  </w:abstractNum>
  <w:abstractNum w:abstractNumId="113">
    <w:nsid w:val="3CA88ECF"/>
    <w:multiLevelType w:val="hybridMultilevel"/>
    <w:lvl w:ilvl="0">
      <w:lvlJc w:val="left"/>
      <w:lvlText w:val="(%1)"/>
      <w:numFmt w:val="lowerLetter"/>
      <w:start w:val="4"/>
    </w:lvl>
  </w:abstractNum>
  <w:abstractNum w:abstractNumId="114">
    <w:nsid w:val="6EBE4208"/>
    <w:multiLevelType w:val="hybridMultilevel"/>
    <w:lvl w:ilvl="0">
      <w:lvlJc w:val="left"/>
      <w:lvlText w:val="(%1)"/>
      <w:numFmt w:val="lowerLetter"/>
      <w:start w:val="7"/>
    </w:lvl>
  </w:abstractNum>
  <w:abstractNum w:abstractNumId="115">
    <w:nsid w:val="C058DF5"/>
    <w:multiLevelType w:val="hybridMultilevel"/>
    <w:lvl w:ilvl="0">
      <w:lvlJc w:val="left"/>
      <w:lvlText w:val="(%1)"/>
      <w:numFmt w:val="lowerLetter"/>
      <w:start w:val="1"/>
    </w:lvl>
  </w:abstractNum>
  <w:abstractNum w:abstractNumId="116">
    <w:nsid w:val="CBE5BE9"/>
    <w:multiLevelType w:val="hybridMultilevel"/>
    <w:lvl w:ilvl="0">
      <w:lvlJc w:val="left"/>
      <w:lvlText w:val="(%1)"/>
      <w:numFmt w:val="lowerLetter"/>
      <w:start w:val="1"/>
    </w:lvl>
  </w:abstractNum>
  <w:abstractNum w:abstractNumId="117">
    <w:nsid w:val="3102BBE2"/>
    <w:multiLevelType w:val="hybridMultilevel"/>
    <w:lvl w:ilvl="0">
      <w:lvlJc w:val="left"/>
      <w:lvlText w:val="(%1)"/>
      <w:numFmt w:val="lowerLetter"/>
      <w:start w:val="3"/>
    </w:lvl>
  </w:abstractNum>
  <w:abstractNum w:abstractNumId="118">
    <w:nsid w:val="26A02C5E"/>
    <w:multiLevelType w:val="hybridMultilevel"/>
    <w:lvl w:ilvl="0">
      <w:lvlJc w:val="left"/>
      <w:lvlText w:val="(%1)"/>
      <w:numFmt w:val="lowerLetter"/>
      <w:start w:val="1"/>
    </w:lvl>
  </w:abstractNum>
  <w:abstractNum w:abstractNumId="119">
    <w:nsid w:val="541C8153"/>
    <w:multiLevelType w:val="hybridMultilevel"/>
    <w:lvl w:ilvl="0">
      <w:lvlJc w:val="left"/>
      <w:lvlText w:val="(%1)"/>
      <w:numFmt w:val="lowerLetter"/>
      <w:start w:val="1"/>
    </w:lvl>
  </w:abstractNum>
  <w:abstractNum w:abstractNumId="120">
    <w:nsid w:val="67906F60"/>
    <w:multiLevelType w:val="hybridMultilevel"/>
    <w:lvl w:ilvl="0">
      <w:lvlJc w:val="left"/>
      <w:lvlText w:val="(%1)"/>
      <w:numFmt w:val="lowerLetter"/>
      <w:start w:val="3"/>
    </w:lvl>
  </w:abstractNum>
  <w:abstractNum w:abstractNumId="121">
    <w:nsid w:val="10DB9DAA"/>
    <w:multiLevelType w:val="hybridMultilevel"/>
    <w:lvl w:ilvl="0">
      <w:lvlJc w:val="left"/>
      <w:lvlText w:val="(%1)"/>
      <w:numFmt w:val="lowerLetter"/>
      <w:start w:val="1"/>
    </w:lvl>
  </w:abstractNum>
  <w:abstractNum w:abstractNumId="122">
    <w:nsid w:val="697D2D2"/>
    <w:multiLevelType w:val="hybridMultilevel"/>
    <w:lvl w:ilvl="0">
      <w:lvlJc w:val="left"/>
      <w:lvlText w:val="(%1)"/>
      <w:numFmt w:val="lowerLetter"/>
      <w:start w:val="2"/>
    </w:lvl>
  </w:abstractNum>
  <w:abstractNum w:abstractNumId="123">
    <w:nsid w:val="6D68AB2"/>
    <w:multiLevelType w:val="hybridMultilevel"/>
    <w:lvl w:ilvl="0">
      <w:lvlJc w:val="left"/>
      <w:lvlText w:val="(%1)"/>
      <w:numFmt w:val="lowerLetter"/>
      <w:start w:val="1"/>
    </w:lvl>
  </w:abstractNum>
  <w:abstractNum w:abstractNumId="124">
    <w:nsid w:val="3A966CD0"/>
    <w:multiLevelType w:val="hybridMultilevel"/>
    <w:lvl w:ilvl="0">
      <w:lvlJc w:val="left"/>
      <w:lvlText w:val="%1"/>
      <w:numFmt w:val="lowerRoman"/>
      <w:start w:val="1"/>
    </w:lvl>
    <w:lvl w:ilvl="1">
      <w:lvlJc w:val="left"/>
      <w:lvlText w:val="(%2)"/>
      <w:numFmt w:val="lowerLetter"/>
      <w:start w:val="2"/>
    </w:lvl>
  </w:abstractNum>
  <w:abstractNum w:abstractNumId="125">
    <w:nsid w:val="63F37E85"/>
    <w:multiLevelType w:val="hybridMultilevel"/>
    <w:lvl w:ilvl="0">
      <w:lvlJc w:val="left"/>
      <w:lvlText w:val="(%1)"/>
      <w:numFmt w:val="lowerRoman"/>
      <w:start w:val="4"/>
    </w:lvl>
    <w:lvl w:ilvl="1">
      <w:lvlJc w:val="left"/>
      <w:lvlText w:val="(%2)"/>
      <w:numFmt w:val="lowerLetter"/>
      <w:start w:val="3"/>
    </w:lvl>
  </w:abstractNum>
  <w:abstractNum w:abstractNumId="126">
    <w:nsid w:val="5895F5FA"/>
    <w:multiLevelType w:val="hybridMultilevel"/>
    <w:lvl w:ilvl="0">
      <w:lvlJc w:val="left"/>
      <w:lvlText w:val="(%1)"/>
      <w:numFmt w:val="lowerLetter"/>
      <w:start w:val="1"/>
    </w:lvl>
  </w:abstractNum>
  <w:abstractNum w:abstractNumId="127">
    <w:nsid w:val="38A5D054"/>
    <w:multiLevelType w:val="hybridMultilevel"/>
    <w:lvl w:ilvl="0">
      <w:lvlJc w:val="left"/>
      <w:lvlText w:val="(%1)"/>
      <w:numFmt w:val="lowerLetter"/>
      <w:start w:val="1"/>
    </w:lvl>
  </w:abstractNum>
  <w:abstractNum w:abstractNumId="128">
    <w:nsid w:val="F3F09D8"/>
    <w:multiLevelType w:val="hybridMultilevel"/>
    <w:lvl w:ilvl="0">
      <w:lvlJc w:val="left"/>
      <w:lvlText w:val="(%1)"/>
      <w:numFmt w:val="lowerLetter"/>
      <w:start w:val="2"/>
    </w:lvl>
  </w:abstractNum>
  <w:abstractNum w:abstractNumId="129">
    <w:nsid w:val="4B793735"/>
    <w:multiLevelType w:val="hybridMultilevel"/>
    <w:lvl w:ilvl="0">
      <w:lvlJc w:val="left"/>
      <w:lvlText w:val="(%1)"/>
      <w:numFmt w:val="lowerLetter"/>
      <w:start w:val="1"/>
    </w:lvl>
  </w:abstractNum>
  <w:abstractNum w:abstractNumId="130">
    <w:nsid w:val="4A10B4E8"/>
    <w:multiLevelType w:val="hybridMultilevel"/>
    <w:lvl w:ilvl="0">
      <w:lvlJc w:val="left"/>
      <w:lvlText w:val="(%1)"/>
      <w:numFmt w:val="lowerLetter"/>
      <w:start w:val="3"/>
    </w:lvl>
  </w:abstractNum>
  <w:abstractNum w:abstractNumId="131">
    <w:nsid w:val="43D3BCD4"/>
    <w:multiLevelType w:val="hybridMultilevel"/>
    <w:lvl w:ilvl="0">
      <w:lvlJc w:val="left"/>
      <w:lvlText w:val="%1"/>
      <w:numFmt w:val="lowerLetter"/>
      <w:start w:val="1"/>
    </w:lvl>
    <w:lvl w:ilvl="1">
      <w:lvlJc w:val="left"/>
      <w:lvlText w:val="(%2)"/>
      <w:numFmt w:val="lowerLetter"/>
      <w:start w:val="1"/>
    </w:lvl>
  </w:abstractNum>
  <w:abstractNum w:abstractNumId="132">
    <w:nsid w:val="4C2A7166"/>
    <w:multiLevelType w:val="hybridMultilevel"/>
    <w:lvl w:ilvl="0">
      <w:lvlJc w:val="left"/>
      <w:lvlText w:val="(%1)"/>
      <w:numFmt w:val="lowerLetter"/>
      <w:start w:val="61"/>
    </w:lvl>
    <w:lvl w:ilvl="1">
      <w:lvlJc w:val="left"/>
      <w:lvlText w:val="%2"/>
      <w:numFmt w:val="lowerLetter"/>
      <w:start w:val="1"/>
    </w:lvl>
  </w:abstractNum>
  <w:abstractNum w:abstractNumId="133">
    <w:nsid w:val="2E534A82"/>
    <w:multiLevelType w:val="hybridMultilevel"/>
    <w:lvl w:ilvl="0">
      <w:lvlJc w:val="left"/>
      <w:lvlText w:val="(%1)"/>
      <w:numFmt w:val="lowerLetter"/>
      <w:start w:val="1"/>
    </w:lvl>
  </w:abstractNum>
  <w:abstractNum w:abstractNumId="134">
    <w:nsid w:val="26F2D364"/>
    <w:multiLevelType w:val="hybridMultilevel"/>
    <w:lvl w:ilvl="0">
      <w:lvlJc w:val="left"/>
      <w:lvlText w:val="(%1)"/>
      <w:numFmt w:val="lowerLetter"/>
      <w:start w:val="2"/>
    </w:lvl>
    <w:lvl w:ilvl="1">
      <w:lvlJc w:val="left"/>
      <w:lvlText w:val="(%2)"/>
      <w:numFmt w:val="upperLetter"/>
      <w:start w:val="1"/>
    </w:lvl>
  </w:abstractNum>
  <w:abstractNum w:abstractNumId="135">
    <w:nsid w:val="71C1AF98"/>
    <w:multiLevelType w:val="hybridMultilevel"/>
    <w:lvl w:ilvl="0">
      <w:lvlJc w:val="left"/>
      <w:lvlText w:val="(%1)"/>
      <w:numFmt w:val="lowerLetter"/>
      <w:start w:val="1"/>
    </w:lvl>
  </w:abstractNum>
  <w:abstractNum w:abstractNumId="136">
    <w:nsid w:val="3D00B9D9"/>
    <w:multiLevelType w:val="hybridMultilevel"/>
    <w:lvl w:ilvl="0">
      <w:lvlJc w:val="left"/>
      <w:lvlText w:val="(%1)"/>
      <w:numFmt w:val="lowerLetter"/>
      <w:start w:val="1"/>
    </w:lvl>
  </w:abstractNum>
  <w:abstractNum w:abstractNumId="137">
    <w:nsid w:val="15BCABA8"/>
    <w:multiLevelType w:val="hybridMultilevel"/>
    <w:lvl w:ilvl="0">
      <w:lvlJc w:val="left"/>
      <w:lvlText w:val="(%1)"/>
      <w:numFmt w:val="lowerLetter"/>
      <w:start w:val="1"/>
    </w:lvl>
  </w:abstractNum>
  <w:abstractNum w:abstractNumId="138">
    <w:nsid w:val="4E0B9A87"/>
    <w:multiLevelType w:val="hybridMultilevel"/>
    <w:lvl w:ilvl="0">
      <w:lvlJc w:val="left"/>
      <w:lvlText w:val="(%1)"/>
      <w:numFmt w:val="lowerLetter"/>
      <w:start w:val="3"/>
    </w:lvl>
  </w:abstractNum>
  <w:abstractNum w:abstractNumId="139">
    <w:nsid w:val="434BAE75"/>
    <w:multiLevelType w:val="hybridMultilevel"/>
    <w:lvl w:ilvl="0">
      <w:lvlJc w:val="left"/>
      <w:lvlText w:val="(%1)"/>
      <w:numFmt w:val="lowerLetter"/>
      <w:start w:val="1"/>
    </w:lvl>
    <w:lvl w:ilvl="1">
      <w:lvlJc w:val="left"/>
      <w:lvlText w:val="(%2)"/>
      <w:numFmt w:val="lowerRoman"/>
      <w:start w:val="1"/>
    </w:lvl>
  </w:abstractNum>
  <w:abstractNum w:abstractNumId="140">
    <w:nsid w:val="4F38F265"/>
    <w:multiLevelType w:val="hybridMultilevel"/>
    <w:lvl w:ilvl="0">
      <w:lvlJc w:val="left"/>
      <w:lvlText w:val="(%1)"/>
      <w:numFmt w:val="lowerLetter"/>
      <w:start w:val="1"/>
    </w:lvl>
  </w:abstractNum>
  <w:abstractNum w:abstractNumId="141">
    <w:nsid w:val="4C502870"/>
    <w:multiLevelType w:val="hybridMultilevel"/>
    <w:lvl w:ilvl="0">
      <w:lvlJc w:val="left"/>
      <w:lvlText w:val="(%1)"/>
      <w:numFmt w:val="lowerRoman"/>
      <w:start w:val="2"/>
    </w:lvl>
  </w:abstractNum>
  <w:abstractNum w:abstractNumId="142">
    <w:nsid w:val="1DE8725A"/>
    <w:multiLevelType w:val="hybridMultilevel"/>
    <w:lvl w:ilvl="0">
      <w:lvlJc w:val="left"/>
      <w:lvlText w:val="(%1)"/>
      <w:numFmt w:val="lowerLetter"/>
      <w:start w:val="2"/>
    </w:lvl>
    <w:lvl w:ilvl="1">
      <w:lvlJc w:val="left"/>
      <w:lvlText w:val="(%2)"/>
      <w:numFmt w:val="lowerRoman"/>
      <w:start w:val="1"/>
    </w:lvl>
  </w:abstractNum>
  <w:abstractNum w:abstractNumId="143">
    <w:nsid w:val="6A37288A"/>
    <w:multiLevelType w:val="hybridMultilevel"/>
    <w:lvl w:ilvl="0">
      <w:lvlJc w:val="left"/>
      <w:lvlText w:val="(%1)"/>
      <w:numFmt w:val="lowerLetter"/>
      <w:start w:val="3"/>
    </w:lvl>
    <w:lvl w:ilvl="1">
      <w:lvlJc w:val="left"/>
      <w:lvlText w:val="(%2)"/>
      <w:numFmt w:val="lowerRoman"/>
      <w:start w:val="1"/>
    </w:lvl>
  </w:abstractNum>
  <w:abstractNum w:abstractNumId="144">
    <w:nsid w:val="8F8B73F"/>
    <w:multiLevelType w:val="hybridMultilevel"/>
    <w:lvl w:ilvl="0">
      <w:lvlJc w:val="left"/>
      <w:lvlText w:val="(%1)"/>
      <w:numFmt w:val="lowerLetter"/>
      <w:start w:val="1"/>
    </w:lvl>
    <w:lvl w:ilvl="1">
      <w:lvlJc w:val="left"/>
      <w:lvlText w:val="(%2)"/>
      <w:numFmt w:val="lowerRoman"/>
      <w:start w:val="1"/>
    </w:lvl>
  </w:abstractNum>
  <w:abstractNum w:abstractNumId="145">
    <w:nsid w:val="CA6B462"/>
    <w:multiLevelType w:val="hybridMultilevel"/>
    <w:lvl w:ilvl="0">
      <w:lvlJc w:val="left"/>
      <w:lvlText w:val="%1"/>
      <w:numFmt w:val="lowerLetter"/>
      <w:start w:val="1"/>
    </w:lvl>
    <w:lvl w:ilvl="1">
      <w:lvlJc w:val="left"/>
      <w:lvlText w:val="(%2)"/>
      <w:numFmt w:val="lowerRoman"/>
      <w:start w:val="4"/>
    </w:lvl>
  </w:abstractNum>
  <w:abstractNum w:abstractNumId="146">
    <w:nsid w:val="763CB680"/>
    <w:multiLevelType w:val="hybridMultilevel"/>
    <w:lvl w:ilvl="0">
      <w:lvlJc w:val="left"/>
      <w:lvlText w:val="(%1)"/>
      <w:numFmt w:val="lowerLetter"/>
      <w:start w:val="3"/>
    </w:lvl>
    <w:lvl w:ilvl="1">
      <w:lvlJc w:val="left"/>
      <w:lvlText w:val="%2"/>
      <w:numFmt w:val="lowerRoman"/>
      <w:start w:val="1"/>
    </w:lvl>
  </w:abstractNum>
  <w:abstractNum w:abstractNumId="147">
    <w:nsid w:val="15B71329"/>
    <w:multiLevelType w:val="hybridMultilevel"/>
    <w:lvl w:ilvl="0">
      <w:lvlJc w:val="left"/>
      <w:lvlText w:val="(%1)"/>
      <w:numFmt w:val="lowerLetter"/>
      <w:start w:val="1"/>
    </w:lvl>
    <w:lvl w:ilvl="1">
      <w:lvlJc w:val="left"/>
      <w:lvlText w:val="(%2)"/>
      <w:numFmt w:val="lowerRoman"/>
      <w:start w:val="1"/>
    </w:lvl>
  </w:abstractNum>
  <w:abstractNum w:abstractNumId="148">
    <w:nsid w:val="3DA97044"/>
    <w:multiLevelType w:val="hybridMultilevel"/>
    <w:lvl w:ilvl="0">
      <w:lvlJc w:val="left"/>
      <w:lvlText w:val="(%1)"/>
      <w:numFmt w:val="lowerLetter"/>
      <w:start w:val="2"/>
    </w:lvl>
  </w:abstractNum>
  <w:abstractNum w:abstractNumId="149">
    <w:nsid w:val="1CDCE2DE"/>
    <w:multiLevelType w:val="hybridMultilevel"/>
    <w:lvl w:ilvl="0">
      <w:lvlJc w:val="left"/>
      <w:lvlText w:val="(%1)"/>
      <w:numFmt w:val="lowerLetter"/>
      <w:start w:val="4"/>
    </w:lvl>
  </w:abstractNum>
  <w:abstractNum w:abstractNumId="150">
    <w:nsid w:val="69D3947C"/>
    <w:multiLevelType w:val="hybridMultilevel"/>
    <w:lvl w:ilvl="0">
      <w:lvlJc w:val="left"/>
      <w:lvlText w:val="(%1)"/>
      <w:numFmt w:val="lowerLetter"/>
      <w:start w:val="1"/>
    </w:lvl>
  </w:abstractNum>
  <w:abstractNum w:abstractNumId="151">
    <w:nsid w:val="2539DFA5"/>
    <w:multiLevelType w:val="hybridMultilevel"/>
    <w:lvl w:ilvl="0">
      <w:lvlJc w:val="left"/>
      <w:lvlText w:val="(%1)"/>
      <w:numFmt w:val="lowerLetter"/>
      <w:start w:val="5"/>
    </w:lvl>
  </w:abstractNum>
  <w:abstractNum w:abstractNumId="152">
    <w:nsid w:val="2DB88089"/>
    <w:multiLevelType w:val="hybridMultilevel"/>
    <w:lvl w:ilvl="0">
      <w:lvlJc w:val="left"/>
      <w:lvlText w:val="(%1)"/>
      <w:numFmt w:val="lowerLetter"/>
      <w:start w:val="1"/>
    </w:lvl>
  </w:abstractNum>
  <w:abstractNum w:abstractNumId="153">
    <w:nsid w:val="706B674E"/>
    <w:multiLevelType w:val="hybridMultilevel"/>
    <w:lvl w:ilvl="0">
      <w:lvlJc w:val="left"/>
      <w:lvlText w:val="(%1)"/>
      <w:numFmt w:val="lowerLetter"/>
      <w:start w:val="24"/>
    </w:lvl>
    <w:lvl w:ilvl="1">
      <w:lvlJc w:val="left"/>
      <w:lvlText w:val="(%2)"/>
      <w:numFmt w:val="lowerLetter"/>
      <w:start w:val="2"/>
    </w:lvl>
  </w:abstractNum>
  <w:abstractNum w:abstractNumId="154">
    <w:nsid w:val="2C106A57"/>
    <w:multiLevelType w:val="hybridMultilevel"/>
    <w:lvl w:ilvl="0">
      <w:lvlJc w:val="left"/>
      <w:lvlText w:val="(%1)"/>
      <w:numFmt w:val="lowerLetter"/>
      <w:start w:val="5"/>
    </w:lvl>
  </w:abstractNum>
  <w:abstractNum w:abstractNumId="155">
    <w:nsid w:val="684EED59"/>
    <w:multiLevelType w:val="hybridMultilevel"/>
    <w:lvl w:ilvl="0">
      <w:lvlJc w:val="left"/>
      <w:lvlText w:val="(%1)"/>
      <w:numFmt w:val="lowerLetter"/>
      <w:start w:val="2"/>
    </w:lvl>
  </w:abstractNum>
  <w:abstractNum w:abstractNumId="156">
    <w:nsid w:val="545EE5D3"/>
    <w:multiLevelType w:val="hybridMultilevel"/>
    <w:lvl w:ilvl="0">
      <w:lvlJc w:val="left"/>
      <w:lvlText w:val="(%1)"/>
      <w:numFmt w:val="lowerLetter"/>
      <w:start w:val="1"/>
    </w:lvl>
  </w:abstractNum>
  <w:abstractNum w:abstractNumId="157">
    <w:nsid w:val="4A66051"/>
    <w:multiLevelType w:val="hybridMultilevel"/>
    <w:lvl w:ilvl="0">
      <w:lvlJc w:val="left"/>
      <w:lvlText w:val="(%1)"/>
      <w:numFmt w:val="lowerLetter"/>
      <w:start w:val="2"/>
    </w:lvl>
  </w:abstractNum>
  <w:abstractNum w:abstractNumId="158">
    <w:nsid w:val="20F4BDAD"/>
    <w:multiLevelType w:val="hybridMultilevel"/>
    <w:lvl w:ilvl="0">
      <w:lvlJc w:val="left"/>
      <w:lvlText w:val="(%1)"/>
      <w:numFmt w:val="lowerLetter"/>
      <w:start w:val="1"/>
    </w:lvl>
  </w:abstractNum>
  <w:abstractNum w:abstractNumId="159">
    <w:nsid w:val="639DEFAC"/>
    <w:multiLevelType w:val="hybridMultilevel"/>
    <w:lvl w:ilvl="0">
      <w:lvlJc w:val="left"/>
      <w:lvlText w:val="(%1)"/>
      <w:numFmt w:val="lowerLetter"/>
      <w:start w:val="1"/>
    </w:lvl>
  </w:abstractNum>
  <w:abstractNum w:abstractNumId="160">
    <w:nsid w:val="501F9786"/>
    <w:multiLevelType w:val="hybridMultilevel"/>
    <w:lvl w:ilvl="0">
      <w:lvlJc w:val="left"/>
      <w:lvlText w:val="(%1)"/>
      <w:numFmt w:val="lowerLetter"/>
      <w:start w:val="1"/>
    </w:lvl>
    <w:lvl w:ilvl="1">
      <w:lvlJc w:val="left"/>
      <w:lvlText w:val="(%2)"/>
      <w:numFmt w:val="lowerRoman"/>
      <w:start w:val="1"/>
    </w:lvl>
  </w:abstractNum>
  <w:abstractNum w:abstractNumId="161">
    <w:nsid w:val="6B057295"/>
    <w:multiLevelType w:val="hybridMultilevel"/>
    <w:lvl w:ilvl="0">
      <w:lvlJc w:val="left"/>
      <w:lvlText w:val="***"/>
      <w:numFmt w:val="bullet"/>
      <w:start w:val="1"/>
    </w:lvl>
  </w:abstractNum>
  <w:abstractNum w:abstractNumId="162">
    <w:nsid w:val="2771AC80"/>
    <w:multiLevelType w:val="hybridMultilevel"/>
    <w:lvl w:ilvl="0">
      <w:lvlJc w:val="left"/>
      <w:lvlText w:val="***"/>
      <w:numFmt w:val="bullet"/>
      <w:start w:val="1"/>
    </w:lvl>
  </w:abstractNum>
  <w:abstractNum w:abstractNumId="163">
    <w:nsid w:val="1C4A08EC"/>
    <w:multiLevelType w:val="hybridMultilevel"/>
    <w:lvl w:ilvl="0">
      <w:lvlJc w:val="left"/>
      <w:lvlText w:val="***"/>
      <w:numFmt w:val="bullet"/>
      <w:start w:val="1"/>
    </w:lvl>
  </w:abstractNum>
  <w:abstractNum w:abstractNumId="164">
    <w:nsid w:val="1958BD17"/>
    <w:multiLevelType w:val="hybridMultilevel"/>
    <w:lvl w:ilvl="0">
      <w:lvlJc w:val="left"/>
      <w:lvlText w:val="2"/>
      <w:numFmt w:val="bullet"/>
      <w:start w:val="1"/>
    </w:lvl>
  </w:abstractNum>
  <w:abstractNum w:abstractNumId="165">
    <w:nsid w:val="4E647FE4"/>
    <w:multiLevelType w:val="hybridMultilevel"/>
    <w:lvl w:ilvl="0">
      <w:lvlJc w:val="left"/>
      <w:lvlText w:val="%1."/>
      <w:numFmt w:val="decimal"/>
      <w:start w:val="1"/>
    </w:lvl>
  </w:abstractNum>
  <w:abstractNum w:abstractNumId="166">
    <w:nsid w:val="E0BB885"/>
    <w:multiLevelType w:val="hybridMultilevel"/>
    <w:lvl w:ilvl="0">
      <w:lvlJc w:val="left"/>
      <w:lvlText w:val="3"/>
      <w:numFmt w:val="bullet"/>
      <w:start w:val="1"/>
    </w:lvl>
  </w:abstractNum>
  <w:abstractNum w:abstractNumId="167">
    <w:nsid w:val="565976F1"/>
    <w:multiLevelType w:val="hybridMultilevel"/>
    <w:lvl w:ilvl="0">
      <w:lvlJc w:val="left"/>
      <w:lvlText w:val="***"/>
      <w:numFmt w:val="bullet"/>
      <w:start w:val="1"/>
    </w:lvl>
  </w:abstractNum>
  <w:abstractNum w:abstractNumId="168">
    <w:nsid w:val="64212B8C"/>
    <w:multiLevelType w:val="hybridMultilevel"/>
    <w:lvl w:ilvl="0">
      <w:lvlJc w:val="left"/>
      <w:lvlText w:val="%1."/>
      <w:numFmt w:val="decimal"/>
      <w:start w:val="1"/>
    </w:lvl>
  </w:abstractNum>
  <w:abstractNum w:abstractNumId="169">
    <w:nsid w:val="5C17530C"/>
    <w:multiLevelType w:val="hybridMultilevel"/>
    <w:lvl w:ilvl="0">
      <w:lvlJc w:val="left"/>
      <w:lvlText w:val="%1."/>
      <w:numFmt w:val="decimal"/>
      <w:start w:val="1"/>
    </w:lvl>
  </w:abstractNum>
  <w:abstractNum w:abstractNumId="170">
    <w:nsid w:val="19A52566"/>
    <w:multiLevelType w:val="hybridMultilevel"/>
    <w:lvl w:ilvl="0">
      <w:lvlJc w:val="left"/>
      <w:lvlText w:val="(%1)"/>
      <w:numFmt w:val="lowerRoman"/>
      <w:start w:val="1"/>
    </w:lvl>
  </w:abstractNum>
  <w:abstractNum w:abstractNumId="171">
    <w:nsid w:val="335A1DF1"/>
    <w:multiLevelType w:val="hybridMultilevel"/>
    <w:lvl w:ilvl="0">
      <w:lvlJc w:val="left"/>
      <w:lvlText w:val="(%1)"/>
      <w:numFmt w:val="upperLetter"/>
      <w:start w:val="1"/>
    </w:lvl>
  </w:abstractNum>
  <w:abstractNum w:abstractNumId="172">
    <w:nsid w:val="28677B7C"/>
    <w:multiLevelType w:val="hybridMultilevel"/>
    <w:lvl w:ilvl="0">
      <w:lvlJc w:val="left"/>
      <w:lvlText w:val="4"/>
      <w:numFmt w:val="bullet"/>
      <w:start w:val="1"/>
    </w:lvl>
  </w:abstractNum>
  <w:abstractNum w:abstractNumId="173">
    <w:nsid w:val="378D97C0"/>
    <w:multiLevelType w:val="hybridMultilevel"/>
    <w:lvl w:ilvl="0">
      <w:lvlJc w:val="left"/>
      <w:lvlText w:val="(%1)"/>
      <w:numFmt w:val="upperLetter"/>
      <w:start w:val="3"/>
    </w:lvl>
  </w:abstractNum>
  <w:abstractNum w:abstractNumId="174">
    <w:nsid w:val="1D91467C"/>
    <w:multiLevelType w:val="hybridMultilevel"/>
    <w:lvl w:ilvl="0">
      <w:lvlJc w:val="left"/>
      <w:lvlText w:val="%1"/>
      <w:numFmt w:val="lowerRoman"/>
      <w:start w:val="1"/>
    </w:lvl>
    <w:lvl w:ilvl="1">
      <w:lvlJc w:val="left"/>
      <w:lvlText w:val="(%2)"/>
      <w:numFmt w:val="lowerRoman"/>
      <w:start w:val="1"/>
    </w:lvl>
  </w:abstractNum>
  <w:abstractNum w:abstractNumId="175">
    <w:nsid w:val="316032BB"/>
    <w:multiLevelType w:val="hybridMultilevel"/>
    <w:lvl w:ilvl="0">
      <w:lvlJc w:val="left"/>
      <w:lvlText w:val="(%1)"/>
      <w:numFmt w:val="lowerRoman"/>
      <w:start w:val="2"/>
    </w:lvl>
    <w:lvl w:ilvl="1">
      <w:lvlJc w:val="left"/>
      <w:lvlText w:val="%2"/>
      <w:numFmt w:val="lowerRoman"/>
      <w:start w:val="1"/>
    </w:lvl>
  </w:abstractNum>
  <w:abstractNum w:abstractNumId="176">
    <w:nsid w:val="44344C22"/>
    <w:multiLevelType w:val="hybridMultilevel"/>
    <w:lvl w:ilvl="0">
      <w:lvlJc w:val="left"/>
      <w:lvlText w:val="(%1)"/>
      <w:numFmt w:val="upperLetter"/>
      <w:start w:val="1"/>
    </w:lvl>
  </w:abstractNum>
  <w:abstractNum w:abstractNumId="177">
    <w:nsid w:val="13CDFCFC"/>
    <w:multiLevelType w:val="hybridMultilevel"/>
    <w:lvl w:ilvl="0">
      <w:lvlJc w:val="left"/>
      <w:lvlText w:val="(%1)"/>
      <w:numFmt w:val="upperLetter"/>
      <w:start w:val="4"/>
    </w:lvl>
  </w:abstractNum>
  <w:abstractNum w:abstractNumId="178">
    <w:nsid w:val="471745E4"/>
    <w:multiLevelType w:val="hybridMultilevel"/>
    <w:lvl w:ilvl="0">
      <w:lvlJc w:val="left"/>
      <w:lvlText w:val="%1."/>
      <w:numFmt w:val="decimal"/>
      <w:start w:val="1"/>
    </w:lvl>
  </w:abstractNum>
  <w:abstractNum w:abstractNumId="179">
    <w:nsid w:val="1DDBC66"/>
    <w:multiLevelType w:val="hybridMultilevel"/>
    <w:lvl w:ilvl="0">
      <w:lvlJc w:val="left"/>
      <w:lvlText w:val="%1."/>
      <w:numFmt w:val="decimal"/>
      <w:start w:val="7"/>
    </w:lvl>
  </w:abstractNum>
  <w:abstractNum w:abstractNumId="180">
    <w:nsid w:val="30AADFDA"/>
    <w:multiLevelType w:val="hybridMultilevel"/>
    <w:lvl w:ilvl="0">
      <w:lvlJc w:val="left"/>
      <w:lvlText w:val="%1."/>
      <w:numFmt w:val="decimal"/>
      <w:start w:val="1"/>
    </w:lvl>
    <w:lvl w:ilvl="1">
      <w:lvlJc w:val="left"/>
      <w:lvlText w:val="%2."/>
      <w:numFmt w:val="decimal"/>
      <w:start w:val="3"/>
    </w:lvl>
  </w:abstractNum>
  <w:abstractNum w:abstractNumId="181">
    <w:nsid w:val="30EADA61"/>
    <w:multiLevelType w:val="hybridMultilevel"/>
    <w:lvl w:ilvl="0">
      <w:lvlJc w:val="left"/>
      <w:lvlText w:val="5"/>
      <w:numFmt w:val="bullet"/>
      <w:start w:val="1"/>
    </w:lvl>
  </w:abstractNum>
  <w:abstractNum w:abstractNumId="182">
    <w:nsid w:val="27179C0B"/>
    <w:multiLevelType w:val="hybridMultilevel"/>
    <w:lvl w:ilvl="0">
      <w:lvlJc w:val="left"/>
      <w:lvlText w:val="%1"/>
      <w:numFmt w:val="decimal"/>
      <w:start w:val="10"/>
    </w:lvl>
  </w:abstractNum>
  <w:abstractNum w:abstractNumId="183">
    <w:nsid w:val="5E636063"/>
    <w:multiLevelType w:val="hybridMultilevel"/>
    <w:lvl w:ilvl="0">
      <w:lvlJc w:val="left"/>
      <w:lvlText w:val="%1."/>
      <w:numFmt w:val="decimal"/>
      <w:start w:val="1"/>
    </w:lvl>
  </w:abstractNum>
  <w:abstractNum w:abstractNumId="184">
    <w:nsid w:val="215641AF"/>
    <w:multiLevelType w:val="hybridMultilevel"/>
    <w:lvl w:ilvl="0">
      <w:lvlJc w:val="left"/>
      <w:lvlText w:val="(%1)"/>
      <w:numFmt w:val="lowerLetter"/>
      <w:start w:val="2"/>
    </w:lvl>
  </w:abstractNum>
  <w:abstractNum w:abstractNumId="185">
    <w:nsid w:val="53280662"/>
    <w:multiLevelType w:val="hybridMultilevel"/>
    <w:lvl w:ilvl="0">
      <w:lvlJc w:val="left"/>
      <w:lvlText w:val="(%1)"/>
      <w:numFmt w:val="lowerLetter"/>
      <w:start w:val="2"/>
    </w:lvl>
  </w:abstractNum>
  <w:abstractNum w:abstractNumId="186">
    <w:nsid w:val="46B24DBC"/>
    <w:multiLevelType w:val="hybridMultilevel"/>
    <w:lvl w:ilvl="0">
      <w:lvlJc w:val="left"/>
      <w:lvlText w:val="(%1)"/>
      <w:numFmt w:val="lowerLetter"/>
      <w:start w:val="3"/>
    </w:lvl>
  </w:abstractNum>
  <w:abstractNum w:abstractNumId="187">
    <w:nsid w:val="75B52783"/>
    <w:multiLevelType w:val="hybridMultilevel"/>
    <w:lvl w:ilvl="0">
      <w:lvlJc w:val="left"/>
      <w:lvlText w:val="%1"/>
      <w:numFmt w:val="decimal"/>
      <w:start w:val="14"/>
    </w:lvl>
  </w:abstractNum>
  <w:abstractNum w:abstractNumId="188">
    <w:nsid w:val="57CE66B4"/>
    <w:multiLevelType w:val="hybridMultilevel"/>
    <w:lvl w:ilvl="0">
      <w:lvlJc w:val="left"/>
      <w:lvlText w:val="(%1)"/>
      <w:numFmt w:val="decimal"/>
      <w:start w:val="1"/>
    </w:lvl>
  </w:abstractNum>
  <w:abstractNum w:abstractNumId="189">
    <w:nsid w:val="67A70B69"/>
    <w:multiLevelType w:val="hybridMultilevel"/>
    <w:lvl w:ilvl="0">
      <w:lvlJc w:val="left"/>
      <w:lvlText w:val="%1."/>
      <w:numFmt w:val="decimal"/>
      <w:start w:val="1"/>
    </w:lvl>
  </w:abstractNum>
  <w:abstractNum w:abstractNumId="190">
    <w:nsid w:val="5953172F"/>
    <w:multiLevelType w:val="hybridMultilevel"/>
    <w:lvl w:ilvl="0">
      <w:lvlJc w:val="left"/>
      <w:lvlText w:val="%1"/>
      <w:numFmt w:val="decimal"/>
      <w:start w:val="15"/>
    </w:lvl>
  </w:abstractNum>
  <w:abstractNum w:abstractNumId="191">
    <w:nsid w:val="27EDFE3A"/>
    <w:multiLevelType w:val="hybridMultilevel"/>
    <w:lvl w:ilvl="0">
      <w:lvlJc w:val="left"/>
      <w:lvlText w:val="%1."/>
      <w:numFmt w:val="decimal"/>
      <w:start w:val="3"/>
    </w:lvl>
  </w:abstractNum>
  <w:abstractNum w:abstractNumId="192">
    <w:nsid w:val="52AC7DFF"/>
    <w:multiLevelType w:val="hybridMultilevel"/>
    <w:lvl w:ilvl="0">
      <w:lvlJc w:val="left"/>
      <w:lvlText w:val="(%1)"/>
      <w:numFmt w:val="lowerRoman"/>
      <w:start w:val="1"/>
    </w:lvl>
  </w:abstractNum>
  <w:abstractNum w:abstractNumId="193">
    <w:nsid w:val="C4C3AF"/>
    <w:multiLevelType w:val="hybridMultilevel"/>
    <w:lvl w:ilvl="0">
      <w:lvlJc w:val="left"/>
      <w:lvlText w:val="(%1)"/>
      <w:numFmt w:val="upperLetter"/>
      <w:start w:val="1"/>
    </w:lvl>
  </w:abstractNum>
  <w:abstractNum w:abstractNumId="194">
    <w:nsid w:val="44380727"/>
    <w:multiLevelType w:val="hybridMultilevel"/>
    <w:lvl w:ilvl="0">
      <w:lvlJc w:val="left"/>
      <w:lvlText w:val="%1."/>
      <w:numFmt w:val="decimal"/>
      <w:start w:val="1"/>
    </w:lvl>
  </w:abstractNum>
  <w:abstractNum w:abstractNumId="195">
    <w:nsid w:val="6C053B16"/>
    <w:multiLevelType w:val="hybridMultilevel"/>
    <w:lvl w:ilvl="0">
      <w:lvlJc w:val="left"/>
      <w:lvlText w:val="%1"/>
      <w:numFmt w:val="decimal"/>
      <w:start w:val="19"/>
    </w:lvl>
  </w:abstractNum>
  <w:abstractNum w:abstractNumId="196">
    <w:nsid w:val="4F294393"/>
    <w:multiLevelType w:val="hybridMultilevel"/>
    <w:lvl w:ilvl="0">
      <w:lvlJc w:val="left"/>
      <w:lvlText w:val="%1."/>
      <w:numFmt w:val="decimal"/>
      <w:start w:val="3"/>
    </w:lvl>
  </w:abstractNum>
  <w:abstractNum w:abstractNumId="197">
    <w:nsid w:val="5243BFAC"/>
    <w:multiLevelType w:val="hybridMultilevel"/>
    <w:lvl w:ilvl="0">
      <w:lvlJc w:val="left"/>
      <w:lvlText w:val="***"/>
      <w:numFmt w:val="bullet"/>
      <w:start w:val="1"/>
    </w:lvl>
  </w:abstractNum>
  <w:abstractNum w:abstractNumId="198">
    <w:nsid w:val="425EB207"/>
    <w:multiLevelType w:val="hybridMultilevel"/>
    <w:lvl w:ilvl="0">
      <w:lvlJc w:val="left"/>
      <w:lvlText w:val="(%1)"/>
      <w:numFmt w:val="decimal"/>
      <w:start w:val="1"/>
    </w:lvl>
  </w:abstractNum>
  <w:abstractNum w:abstractNumId="199">
    <w:nsid w:val="334A6F1F"/>
    <w:multiLevelType w:val="hybridMultilevel"/>
    <w:lvl w:ilvl="0">
      <w:lvlJc w:val="left"/>
      <w:lvlText w:val="(%1)"/>
      <w:numFmt w:val="lowerLetter"/>
      <w:start w:val="1"/>
    </w:lvl>
    <w:lvl w:ilvl="1">
      <w:lvlJc w:val="left"/>
      <w:lvlText w:val="(%2)"/>
      <w:numFmt w:val="lowerRoman"/>
      <w:start w:val="1"/>
    </w:lvl>
  </w:abstractNum>
  <w:abstractNum w:abstractNumId="200">
    <w:nsid w:val="2E5B12B8"/>
    <w:multiLevelType w:val="hybridMultilevel"/>
    <w:lvl w:ilvl="0">
      <w:lvlJc w:val="left"/>
      <w:lvlText w:val="(%1)"/>
      <w:numFmt w:val="lowerLetter"/>
      <w:start w:val="5"/>
    </w:lvl>
    <w:lvl w:ilvl="1">
      <w:lvlJc w:val="left"/>
      <w:lvlText w:val="(%2)"/>
      <w:numFmt w:val="lowerRoman"/>
      <w:start w:val="1"/>
    </w:lvl>
  </w:abstractNum>
  <w:abstractNum w:abstractNumId="201">
    <w:nsid w:val="5C03D76D"/>
    <w:multiLevelType w:val="hybridMultilevel"/>
    <w:lvl w:ilvl="0">
      <w:lvlJc w:val="left"/>
      <w:lvlText w:val="(%1)"/>
      <w:numFmt w:val="lowerLetter"/>
      <w:start w:val="12"/>
    </w:lvl>
  </w:abstractNum>
  <w:abstractNum w:abstractNumId="202">
    <w:nsid w:val="66A48D11"/>
    <w:multiLevelType w:val="hybridMultilevel"/>
    <w:lvl w:ilvl="0">
      <w:lvlJc w:val="left"/>
      <w:lvlText w:val="%1"/>
      <w:numFmt w:val="lowerLetter"/>
      <w:start w:val="1"/>
    </w:lvl>
    <w:lvl w:ilvl="1">
      <w:lvlJc w:val="left"/>
      <w:lvlText w:val="(%2)"/>
      <w:numFmt w:val="lowerLetter"/>
      <w:start w:val="2"/>
    </w:lvl>
  </w:abstractNum>
  <w:abstractNum w:abstractNumId="203">
    <w:nsid w:val="56C28E34"/>
    <w:multiLevelType w:val="hybridMultilevel"/>
    <w:lvl w:ilvl="0">
      <w:lvlJc w:val="left"/>
      <w:lvlText w:val="(%1)"/>
      <w:numFmt w:val="lowerLetter"/>
      <w:start w:val="9"/>
    </w:lvl>
    <w:lvl w:ilvl="1">
      <w:lvlJc w:val="left"/>
      <w:lvlText w:val="(%2)"/>
      <w:numFmt w:val="lowerLetter"/>
      <w:start w:val="3"/>
    </w:lvl>
  </w:abstractNum>
  <w:abstractNum w:abstractNumId="204">
    <w:nsid w:val="13916F2D"/>
    <w:multiLevelType w:val="hybridMultilevel"/>
    <w:lvl w:ilvl="0">
      <w:lvlJc w:val="left"/>
      <w:lvlText w:val="(%1)"/>
      <w:numFmt w:val="lowerLetter"/>
      <w:start w:val="1"/>
    </w:lvl>
  </w:abstractNum>
  <w:abstractNum w:abstractNumId="205">
    <w:nsid w:val="435D38D"/>
    <w:multiLevelType w:val="hybridMultilevel"/>
    <w:lvl w:ilvl="0">
      <w:lvlJc w:val="left"/>
      <w:lvlText w:val="(%1)"/>
      <w:numFmt w:val="lowerLetter"/>
      <w:start w:val="10"/>
    </w:lvl>
  </w:abstractNum>
  <w:abstractNum w:abstractNumId="206">
    <w:nsid w:val="822C0EF"/>
    <w:multiLevelType w:val="hybridMultilevel"/>
    <w:lvl w:ilvl="0">
      <w:lvlJc w:val="left"/>
      <w:lvlText w:val="(%1)"/>
      <w:numFmt w:val="lowerLetter"/>
      <w:start w:val="19"/>
    </w:lvl>
    <w:lvl w:ilvl="1">
      <w:lvlJc w:val="left"/>
      <w:lvlText w:val="(%2)"/>
      <w:numFmt w:val="lowerRoman"/>
      <w:start w:val="1"/>
    </w:lvl>
  </w:abstractNum>
  <w:abstractNum w:abstractNumId="207">
    <w:nsid w:val="57C5BB4F"/>
    <w:multiLevelType w:val="hybridMultilevel"/>
    <w:lvl w:ilvl="0">
      <w:lvlJc w:val="left"/>
      <w:lvlText w:val="(%1)"/>
      <w:numFmt w:val="lowerLetter"/>
      <w:start w:val="1"/>
    </w:lvl>
  </w:abstractNum>
  <w:abstractNum w:abstractNumId="208">
    <w:nsid w:val="1803D089"/>
    <w:multiLevelType w:val="hybridMultilevel"/>
    <w:lvl w:ilvl="0">
      <w:lvlJc w:val="left"/>
      <w:lvlText w:val="(%1)"/>
      <w:numFmt w:val="lowerLetter"/>
      <w:start w:val="2"/>
    </w:lvl>
  </w:abstractNum>
  <w:abstractNum w:abstractNumId="209">
    <w:nsid w:val="4F3A06D4"/>
    <w:multiLevelType w:val="hybridMultilevel"/>
    <w:lvl w:ilvl="0">
      <w:lvlJc w:val="left"/>
      <w:lvlText w:val="(%1)"/>
      <w:numFmt w:val="lowerLetter"/>
      <w:start w:val="2"/>
    </w:lvl>
  </w:abstractNum>
  <w:abstractNum w:abstractNumId="210">
    <w:nsid w:val="59A377B6"/>
    <w:multiLevelType w:val="hybridMultilevel"/>
    <w:lvl w:ilvl="0">
      <w:lvlJc w:val="left"/>
      <w:lvlText w:val="(%1)"/>
      <w:numFmt w:val="lowerLetter"/>
      <w:start w:val="2"/>
    </w:lvl>
  </w:abstractNum>
  <w:abstractNum w:abstractNumId="211">
    <w:nsid w:val="48AEB063"/>
    <w:multiLevelType w:val="hybridMultilevel"/>
    <w:lvl w:ilvl="0">
      <w:lvlJc w:val="left"/>
      <w:lvlText w:val="(%1)"/>
      <w:numFmt w:val="lowerLetter"/>
      <w:start w:val="2"/>
    </w:lvl>
  </w:abstractNum>
  <w:abstractNum w:abstractNumId="212">
    <w:nsid w:val="24E135"/>
    <w:multiLevelType w:val="hybridMultilevel"/>
    <w:lvl w:ilvl="0">
      <w:lvlJc w:val="left"/>
      <w:lvlText w:val="(%1)"/>
      <w:numFmt w:val="lowerRoman"/>
      <w:start w:val="1"/>
    </w:lvl>
  </w:abstractNum>
  <w:abstractNum w:abstractNumId="213">
    <w:nsid w:val="BB13C1"/>
    <w:multiLevelType w:val="hybridMultilevel"/>
    <w:lvl w:ilvl="0">
      <w:lvlJc w:val="left"/>
      <w:lvlText w:val="(%1)"/>
      <w:numFmt w:val="lowerLetter"/>
      <w:start w:val="2"/>
    </w:lvl>
    <w:lvl w:ilvl="1">
      <w:lvlJc w:val="left"/>
      <w:lvlText w:val="(%2)"/>
      <w:numFmt w:val="lowerRoman"/>
      <w:start w:val="1"/>
    </w:lvl>
  </w:abstractNum>
  <w:abstractNum w:abstractNumId="214">
    <w:nsid w:val="271210C7"/>
    <w:multiLevelType w:val="hybridMultilevel"/>
    <w:lvl w:ilvl="0">
      <w:lvlJc w:val="left"/>
      <w:lvlText w:val="(%1)"/>
      <w:numFmt w:val="lowerLetter"/>
      <w:start w:val="1"/>
    </w:lvl>
    <w:lvl w:ilvl="1">
      <w:lvlJc w:val="left"/>
      <w:lvlText w:val="(%2)"/>
      <w:numFmt w:val="lowerRoman"/>
      <w:start w:val="1"/>
    </w:lvl>
  </w:abstractNum>
  <w:abstractNum w:abstractNumId="215">
    <w:nsid w:val="217B22E4"/>
    <w:multiLevelType w:val="hybridMultilevel"/>
    <w:lvl w:ilvl="0">
      <w:lvlJc w:val="left"/>
      <w:lvlText w:val="(%1)"/>
      <w:numFmt w:val="lowerLetter"/>
      <w:start w:val="2"/>
    </w:lvl>
  </w:abstractNum>
  <w:abstractNum w:abstractNumId="216">
    <w:nsid w:val="53E31A24"/>
    <w:multiLevelType w:val="hybridMultilevel"/>
    <w:lvl w:ilvl="0">
      <w:lvlJc w:val="left"/>
      <w:lvlText w:val="(%1)"/>
      <w:numFmt w:val="lowerLetter"/>
      <w:start w:val="2"/>
    </w:lvl>
  </w:abstractNum>
  <w:abstractNum w:abstractNumId="217">
    <w:nsid w:val="6DC45E83"/>
    <w:multiLevelType w:val="hybridMultilevel"/>
    <w:lvl w:ilvl="0">
      <w:lvlJc w:val="left"/>
      <w:lvlText w:val="(%1)"/>
      <w:numFmt w:val="lowerLetter"/>
      <w:start w:val="1"/>
    </w:lvl>
  </w:abstractNum>
  <w:abstractNum w:abstractNumId="218">
    <w:nsid w:val="17304A67"/>
    <w:multiLevelType w:val="hybridMultilevel"/>
    <w:lvl w:ilvl="0">
      <w:lvlJc w:val="left"/>
      <w:lvlText w:val="(%1)"/>
      <w:numFmt w:val="lowerLetter"/>
      <w:start w:val="2"/>
    </w:lvl>
  </w:abstractNum>
  <w:abstractNum w:abstractNumId="219">
    <w:nsid w:val="2BB180D8"/>
    <w:multiLevelType w:val="hybridMultilevel"/>
    <w:lvl w:ilvl="0">
      <w:lvlJc w:val="left"/>
      <w:lvlText w:val="%1"/>
      <w:numFmt w:val="decimal"/>
      <w:start w:val="1"/>
    </w:lvl>
    <w:lvl w:ilvl="1">
      <w:lvlJc w:val="left"/>
      <w:lvlText w:val="(%2)"/>
      <w:numFmt w:val="lowerLetter"/>
      <w:start w:val="1"/>
    </w:lvl>
  </w:abstractNum>
  <w:abstractNum w:abstractNumId="220">
    <w:nsid w:val="556B69ED"/>
    <w:multiLevelType w:val="hybridMultilevel"/>
    <w:lvl w:ilvl="0">
      <w:lvlJc w:val="left"/>
      <w:lvlText w:val="(%1)"/>
      <w:numFmt w:val="decimal"/>
      <w:start w:val="10"/>
    </w:lvl>
    <w:lvl w:ilvl="1">
      <w:lvlJc w:val="left"/>
      <w:lvlText w:val="(%2)"/>
      <w:numFmt w:val="lowerLetter"/>
      <w:start w:val="2"/>
    </w:lvl>
  </w:abstractNum>
  <w:abstractNum w:abstractNumId="221">
    <w:nsid w:val="70836196"/>
    <w:multiLevelType w:val="hybridMultilevel"/>
    <w:lvl w:ilvl="0">
      <w:lvlJc w:val="left"/>
      <w:lvlText w:val="(%1)"/>
      <w:numFmt w:val="lowerLetter"/>
      <w:start w:val="3"/>
    </w:lvl>
  </w:abstractNum>
  <w:abstractNum w:abstractNumId="222">
    <w:nsid w:val="539F7F12"/>
    <w:multiLevelType w:val="hybridMultilevel"/>
    <w:lvl w:ilvl="0">
      <w:lvlJc w:val="left"/>
      <w:lvlText w:val="(%1)"/>
      <w:numFmt w:val="lowerLetter"/>
      <w:start w:val="2"/>
    </w:lvl>
  </w:abstractNum>
  <w:abstractNum w:abstractNumId="223">
    <w:nsid w:val="2817E7EC"/>
    <w:multiLevelType w:val="hybridMultilevel"/>
    <w:lvl w:ilvl="0">
      <w:lvlJc w:val="left"/>
      <w:lvlText w:val="(%1)"/>
      <w:numFmt w:val="lowerLetter"/>
      <w:start w:val="2"/>
    </w:lvl>
  </w:abstractNum>
  <w:abstractNum w:abstractNumId="224">
    <w:nsid w:val="71482545"/>
    <w:multiLevelType w:val="hybridMultilevel"/>
    <w:lvl w:ilvl="0">
      <w:lvlJc w:val="left"/>
      <w:lvlText w:val="(%1)"/>
      <w:numFmt w:val="lowerLetter"/>
      <w:start w:val="2"/>
    </w:lvl>
  </w:abstractNum>
  <w:abstractNum w:abstractNumId="225">
    <w:nsid w:val="17D78639"/>
    <w:multiLevelType w:val="hybridMultilevel"/>
    <w:lvl w:ilvl="0">
      <w:lvlJc w:val="left"/>
      <w:lvlText w:val="(%1)"/>
      <w:numFmt w:val="upperLetter"/>
      <w:start w:val="2"/>
    </w:lvl>
    <w:lvl w:ilvl="1">
      <w:lvlJc w:val="left"/>
      <w:lvlText w:val="(%2)"/>
      <w:numFmt w:val="lowerLetter"/>
      <w:start w:val="2"/>
    </w:lvl>
  </w:abstractNum>
  <w:abstractNum w:abstractNumId="226">
    <w:nsid w:val="141D2302"/>
    <w:multiLevelType w:val="hybridMultilevel"/>
    <w:lvl w:ilvl="0">
      <w:lvlJc w:val="left"/>
      <w:lvlText w:val="(%1)"/>
      <w:numFmt w:val="lowerLetter"/>
      <w:start w:val="2"/>
    </w:lvl>
  </w:abstractNum>
  <w:abstractNum w:abstractNumId="227">
    <w:nsid w:val="407168D8"/>
    <w:multiLevelType w:val="hybridMultilevel"/>
    <w:lvl w:ilvl="0">
      <w:lvlJc w:val="left"/>
      <w:lvlText w:val="1"/>
      <w:numFmt w:val="bullet"/>
      <w:start w:val="1"/>
    </w:lvl>
  </w:abstractNum>
  <w:abstractNum w:abstractNumId="228">
    <w:nsid w:val="6A1B45E5"/>
    <w:multiLevelType w:val="hybridMultilevel"/>
    <w:lvl w:ilvl="0">
      <w:lvlJc w:val="left"/>
      <w:lvlText w:val="***"/>
      <w:numFmt w:val="bullet"/>
      <w:start w:val="1"/>
    </w:lvl>
  </w:abstractNum>
  <w:abstractNum w:abstractNumId="229">
    <w:nsid w:val="567BD50A"/>
    <w:multiLevelType w:val="hybridMultilevel"/>
    <w:lvl w:ilvl="0">
      <w:lvlJc w:val="left"/>
      <w:lvlText w:val="***"/>
      <w:numFmt w:val="bullet"/>
      <w:start w:val="1"/>
    </w:lvl>
  </w:abstractNum>
  <w:abstractNum w:abstractNumId="230">
    <w:nsid w:val="73BBD7F8"/>
    <w:multiLevelType w:val="hybridMultilevel"/>
    <w:lvl w:ilvl="0">
      <w:lvlJc w:val="left"/>
      <w:lvlText w:val="(%1)"/>
      <w:numFmt w:val="lowerRoman"/>
      <w:start w:val="1"/>
    </w:lvl>
  </w:abstractNum>
  <w:abstractNum w:abstractNumId="231">
    <w:nsid w:val="1876589D"/>
    <w:multiLevelType w:val="hybridMultilevel"/>
    <w:lvl w:ilvl="0">
      <w:lvlJc w:val="left"/>
      <w:lvlText w:val="(%1)"/>
      <w:numFmt w:val="lowerRoman"/>
      <w:start w:val="1"/>
    </w:lvl>
  </w:abstractNum>
  <w:abstractNum w:abstractNumId="232">
    <w:nsid w:val="327FAC77"/>
    <w:multiLevelType w:val="hybridMultilevel"/>
    <w:lvl w:ilvl="0">
      <w:lvlJc w:val="left"/>
      <w:lvlText w:val="(%1)"/>
      <w:numFmt w:val="lowerLetter"/>
      <w:start w:val="2"/>
    </w:lvl>
  </w:abstractNum>
  <w:abstractNum w:abstractNumId="233">
    <w:nsid w:val="5A606509"/>
    <w:multiLevelType w:val="hybridMultilevel"/>
    <w:lvl w:ilvl="0">
      <w:lvlJc w:val="left"/>
      <w:lvlText w:val="1"/>
      <w:numFmt w:val="bullet"/>
      <w:start w:val="1"/>
    </w:lvl>
  </w:abstractNum>
  <w:abstractNum w:abstractNumId="234">
    <w:nsid w:val="6F38E6D1"/>
    <w:multiLevelType w:val="hybridMultilevel"/>
    <w:lvl w:ilvl="0">
      <w:lvlJc w:val="left"/>
      <w:lvlText w:val="%1."/>
      <w:numFmt w:val="decimal"/>
      <w:start w:val="1"/>
    </w:lvl>
  </w:abstractNum>
  <w:abstractNum w:abstractNumId="235">
    <w:nsid w:val="46111BA5"/>
    <w:multiLevelType w:val="hybridMultilevel"/>
    <w:lvl w:ilvl="0">
      <w:lvlJc w:val="left"/>
      <w:lvlText w:val="%1."/>
      <w:numFmt w:val="decimal"/>
      <w:start w:val="2"/>
    </w:lvl>
    <w:lvl w:ilvl="1">
      <w:lvlJc w:val="left"/>
      <w:lvlText w:val="(%2)"/>
      <w:numFmt w:val="lowerLetter"/>
      <w:start w:val="1"/>
    </w:lvl>
  </w:abstractNum>
  <w:abstractNum w:abstractNumId="236">
    <w:nsid w:val="5E963896"/>
    <w:multiLevelType w:val="hybridMultilevel"/>
    <w:lvl w:ilvl="0">
      <w:lvlJc w:val="left"/>
      <w:lvlText w:val="%1"/>
      <w:numFmt w:val="decimal"/>
      <w:start w:val="1"/>
    </w:lvl>
    <w:lvl w:ilvl="1">
      <w:lvlJc w:val="left"/>
      <w:lvlText w:val="(%2)"/>
      <w:numFmt w:val="lowerLetter"/>
      <w:start w:val="3"/>
    </w:lvl>
  </w:abstractNum>
  <w:abstractNum w:abstractNumId="237">
    <w:nsid w:val="775BA7C1"/>
    <w:multiLevelType w:val="hybridMultilevel"/>
    <w:lvl w:ilvl="0">
      <w:lvlJc w:val="left"/>
      <w:lvlText w:val="%1."/>
      <w:numFmt w:val="decimal"/>
      <w:start w:val="4"/>
    </w:lvl>
    <w:lvl w:ilvl="1">
      <w:lvlJc w:val="left"/>
      <w:lvlText w:val="%2"/>
      <w:numFmt w:val="lowerLetter"/>
      <w:start w:val="1"/>
    </w:lvl>
  </w:abstractNum>
  <w:abstractNum w:abstractNumId="238">
    <w:nsid w:val="1DD6D6F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39">
    <w:nsid w:val="769A091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40">
    <w:nsid w:val="4695AE95"/>
    <w:multiLevelType w:val="hybridMultilevel"/>
    <w:lvl w:ilvl="0">
      <w:lvlJc w:val="left"/>
      <w:lvlText w:val="(%1)"/>
      <w:numFmt w:val="decimal"/>
      <w:start w:val="2"/>
    </w:lvl>
  </w:abstractNum>
  <w:abstractNum w:abstractNumId="241">
    <w:nsid w:val="777A4EAA"/>
    <w:multiLevelType w:val="hybridMultilevel"/>
    <w:lvl w:ilvl="0">
      <w:lvlJc w:val="left"/>
      <w:lvlText w:val="(%1)"/>
      <w:numFmt w:val="upperLetter"/>
      <w:start w:val="1"/>
    </w:lvl>
  </w:abstractNum>
  <w:abstractNum w:abstractNumId="242">
    <w:nsid w:val="3F48B982"/>
    <w:multiLevelType w:val="hybridMultilevel"/>
    <w:lvl w:ilvl="0">
      <w:lvlJc w:val="left"/>
      <w:lvlText w:val="(%1)"/>
      <w:numFmt w:val="upperLetter"/>
      <w:start w:val="2"/>
    </w:lvl>
  </w:abstractNum>
  <w:abstractNum w:abstractNumId="243">
    <w:nsid w:val="46BA8FCA"/>
    <w:multiLevelType w:val="hybridMultilevel"/>
    <w:lvl w:ilvl="0">
      <w:lvlJc w:val="left"/>
      <w:lvlText w:val="(%1)"/>
      <w:numFmt w:val="upperLetter"/>
      <w:start w:val="3"/>
    </w:lvl>
  </w:abstractNum>
  <w:abstractNum w:abstractNumId="244">
    <w:nsid w:val="7835626C"/>
    <w:multiLevelType w:val="hybridMultilevel"/>
    <w:lvl w:ilvl="0">
      <w:lvlJc w:val="left"/>
      <w:lvlText w:val="(%1)"/>
      <w:numFmt w:val="decimal"/>
      <w:start w:val="1"/>
    </w:lvl>
  </w:abstractNum>
  <w:abstractNum w:abstractNumId="245">
    <w:nsid w:val="665ACA49"/>
    <w:multiLevelType w:val="hybridMultilevel"/>
    <w:lvl w:ilvl="0">
      <w:lvlJc w:val="left"/>
      <w:lvlText w:val="(%1)"/>
      <w:numFmt w:val="decimal"/>
      <w:start w:val="2"/>
    </w:lvl>
  </w:abstractNum>
  <w:abstractNum w:abstractNumId="246">
    <w:nsid w:val="6835B2AE"/>
    <w:multiLevelType w:val="hybridMultilevel"/>
    <w:lvl w:ilvl="0">
      <w:lvlJc w:val="left"/>
      <w:lvlText w:val="(%1)"/>
      <w:numFmt w:val="lowerLetter"/>
      <w:start w:val="4"/>
    </w:lvl>
    <w:lvl w:ilvl="1">
      <w:lvlJc w:val="left"/>
      <w:lvlText w:val="(%2)"/>
      <w:numFmt w:val="decimal"/>
      <w:start w:val="1"/>
    </w:lvl>
  </w:abstractNum>
  <w:abstractNum w:abstractNumId="247">
    <w:nsid w:val="4C187C90"/>
    <w:multiLevelType w:val="hybridMultilevel"/>
    <w:lvl w:ilvl="0">
      <w:lvlJc w:val="left"/>
      <w:lvlText w:val="(%1)"/>
      <w:numFmt w:val="lowerLetter"/>
      <w:start w:val="9"/>
    </w:lvl>
  </w:abstractNum>
  <w:abstractNum w:abstractNumId="248">
    <w:nsid w:val="541F28C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49">
    <w:nsid w:val="7F65FD16"/>
    <w:multiLevelType w:val="hybridMultilevel"/>
    <w:lvl w:ilvl="0">
      <w:lvlJc w:val="left"/>
      <w:lvlText w:val="%1"/>
      <w:numFmt w:val="decimal"/>
      <w:start w:val="1"/>
    </w:lvl>
    <w:lvl w:ilvl="1">
      <w:lvlJc w:val="left"/>
      <w:lvlText w:val="(%2)"/>
      <w:numFmt w:val="lowerLetter"/>
      <w:start w:val="2"/>
    </w:lvl>
  </w:abstractNum>
  <w:abstractNum w:abstractNumId="250">
    <w:nsid w:val="77C9FD68"/>
    <w:multiLevelType w:val="hybridMultilevel"/>
    <w:lvl w:ilvl="0">
      <w:lvlJc w:val="left"/>
      <w:lvlText w:val="%1."/>
      <w:numFmt w:val="decimal"/>
      <w:start w:val="8"/>
    </w:lvl>
    <w:lvl w:ilvl="1">
      <w:lvlJc w:val="left"/>
      <w:lvlText w:val="(%2)"/>
      <w:numFmt w:val="lowerLetter"/>
      <w:start w:val="1"/>
    </w:lvl>
  </w:abstractNum>
  <w:abstractNum w:abstractNumId="251">
    <w:nsid w:val="298A92BA"/>
    <w:multiLevelType w:val="hybridMultilevel"/>
    <w:lvl w:ilvl="0">
      <w:lvlJc w:val="left"/>
      <w:lvlText w:val="(%1)"/>
      <w:numFmt w:val="lowerLetter"/>
      <w:start w:val="3"/>
    </w:lvl>
  </w:abstractNum>
  <w:abstractNum w:abstractNumId="252">
    <w:nsid w:val="6FE95EAC"/>
    <w:multiLevelType w:val="hybridMultilevel"/>
    <w:lvl w:ilvl="0">
      <w:lvlJc w:val="left"/>
      <w:lvlText w:val="(%1)"/>
      <w:numFmt w:val="lowerLetter"/>
      <w:start w:val="7"/>
    </w:lvl>
  </w:abstractNum>
  <w:abstractNum w:abstractNumId="253">
    <w:nsid w:val="4B697C7A"/>
    <w:multiLevelType w:val="hybridMultilevel"/>
    <w:lvl w:ilvl="0">
      <w:lvlJc w:val="left"/>
      <w:lvlText w:val="(%1)"/>
      <w:numFmt w:val="lowerLetter"/>
      <w:start w:val="9"/>
    </w:lvl>
  </w:abstractNum>
  <w:abstractNum w:abstractNumId="254">
    <w:nsid w:val="51A27AA6"/>
    <w:multiLevelType w:val="hybridMultilevel"/>
    <w:lvl w:ilvl="0">
      <w:lvlJc w:val="left"/>
      <w:lvlText w:val="2"/>
      <w:numFmt w:val="bullet"/>
      <w:start w:val="1"/>
    </w:lvl>
  </w:abstractNum>
  <w:abstractNum w:abstractNumId="255">
    <w:nsid w:val="613183F2"/>
    <w:multiLevelType w:val="hybridMultilevel"/>
    <w:lvl w:ilvl="0">
      <w:lvlJc w:val="left"/>
      <w:lvlText w:val="%1."/>
      <w:numFmt w:val="decimal"/>
      <w:start w:val="1"/>
    </w:lvl>
    <w:lvl w:ilvl="1">
      <w:lvlJc w:val="left"/>
      <w:lvlText w:val="%2."/>
      <w:numFmt w:val="upperLetter"/>
      <w:start w:val="1"/>
    </w:lvl>
  </w:abstractNum>
  <w:abstractNum w:abstractNumId="256">
    <w:nsid w:val="634102B4"/>
    <w:multiLevelType w:val="hybridMultilevel"/>
    <w:lvl w:ilvl="0">
      <w:lvlJc w:val="left"/>
      <w:lvlText w:val="%1"/>
      <w:numFmt w:val="decimal"/>
      <w:start w:val="1"/>
    </w:lvl>
    <w:lvl w:ilvl="1">
      <w:lvlJc w:val="left"/>
      <w:lvlText w:val="%2."/>
      <w:numFmt w:val="upperLetter"/>
      <w:start w:val="8"/>
    </w:lvl>
  </w:abstractNum>
  <w:abstractNum w:abstractNumId="257">
    <w:nsid w:val="65BF9DA8"/>
    <w:multiLevelType w:val="hybridMultilevel"/>
    <w:lvl w:ilvl="0">
      <w:lvlJc w:val="left"/>
      <w:lvlText w:val="%1."/>
      <w:numFmt w:val="decimal"/>
      <w:start w:val="2"/>
    </w:lvl>
    <w:lvl w:ilvl="1">
      <w:lvlJc w:val="left"/>
      <w:lvlText w:val="%2."/>
      <w:numFmt w:val="upperLetter"/>
      <w:start w:val="1"/>
    </w:lvl>
  </w:abstractNum>
  <w:abstractNum w:abstractNumId="258">
    <w:nsid w:val="21A2ECCA"/>
    <w:multiLevelType w:val="hybridMultilevel"/>
    <w:lvl w:ilvl="0">
      <w:lvlJc w:val="left"/>
      <w:lvlText w:val="%1."/>
      <w:numFmt w:val="upperLetter"/>
      <w:start w:val="2"/>
    </w:lvl>
  </w:abstractNum>
  <w:abstractNum w:abstractNumId="259">
    <w:nsid w:val="4D5C4899"/>
    <w:multiLevelType w:val="hybridMultilevel"/>
    <w:lvl w:ilvl="0">
      <w:lvlJc w:val="left"/>
      <w:lvlText w:val="%1"/>
      <w:numFmt w:val="decimal"/>
      <w:start w:val="1"/>
    </w:lvl>
    <w:lvl w:ilvl="1">
      <w:lvlJc w:val="left"/>
      <w:lvlText w:val="%2."/>
      <w:numFmt w:val="upperLetter"/>
      <w:start w:val="7"/>
    </w:lvl>
  </w:abstractNum>
  <w:abstractNum w:abstractNumId="260">
    <w:nsid w:val="3C3B72B2"/>
    <w:multiLevelType w:val="hybridMultilevel"/>
    <w:lvl w:ilvl="0">
      <w:lvlJc w:val="left"/>
      <w:lvlText w:val="%1."/>
      <w:numFmt w:val="decimal"/>
      <w:start w:val="3"/>
    </w:lvl>
    <w:lvl w:ilvl="1">
      <w:lvlJc w:val="left"/>
      <w:lvlText w:val="%2."/>
      <w:numFmt w:val="upperLetter"/>
      <w:start w:val="1"/>
    </w:lvl>
  </w:abstractNum>
  <w:abstractNum w:abstractNumId="261">
    <w:nsid w:val="155EC4C2"/>
    <w:multiLevelType w:val="hybridMultilevel"/>
    <w:lvl w:ilvl="0">
      <w:lvlJc w:val="left"/>
      <w:lvlText w:val="%1."/>
      <w:numFmt w:val="decimal"/>
      <w:start w:val="5"/>
    </w:lvl>
    <w:lvl w:ilvl="1">
      <w:lvlJc w:val="left"/>
      <w:lvlText w:val="%2."/>
      <w:numFmt w:val="upperLetter"/>
      <w:start w:val="1"/>
    </w:lvl>
  </w:abstractNum>
  <w:abstractNum w:abstractNumId="262">
    <w:nsid w:val="65D2A137"/>
    <w:multiLevelType w:val="hybridMultilevel"/>
    <w:lvl w:ilvl="0">
      <w:lvlJc w:val="left"/>
      <w:lvlText w:val="%1."/>
      <w:numFmt w:val="upperLetter"/>
      <w:start w:val="2"/>
    </w:lvl>
  </w:abstractNum>
  <w:abstractNum w:abstractNumId="263">
    <w:nsid w:val="6EBB1F2A"/>
    <w:multiLevelType w:val="hybridMultilevel"/>
    <w:lvl w:ilvl="0">
      <w:lvlJc w:val="left"/>
      <w:lvlText w:val="%1."/>
      <w:numFmt w:val="upperLetter"/>
      <w:start w:val="8"/>
    </w:lvl>
  </w:abstractNum>
  <w:abstractNum w:abstractNumId="264">
    <w:nsid w:val="6FBF29CB"/>
    <w:multiLevelType w:val="hybridMultilevel"/>
    <w:lvl w:ilvl="0">
      <w:lvlJc w:val="left"/>
      <w:lvlText w:val="*"/>
      <w:numFmt w:val="bullet"/>
      <w:start w:val="1"/>
    </w:lvl>
  </w:abstractNum>
  <w:abstractNum w:abstractNumId="265">
    <w:nsid w:val="550B8808"/>
    <w:multiLevelType w:val="hybridMultilevel"/>
    <w:lvl w:ilvl="0">
      <w:lvlJc w:val="left"/>
      <w:lvlText w:val="%1:"/>
      <w:numFmt w:val="lowerLetter"/>
      <w:start w:val="29"/>
    </w:lvl>
  </w:abstractNum>
  <w:abstractNum w:abstractNumId="266">
    <w:nsid w:val="34CC3ACF"/>
    <w:multiLevelType w:val="hybridMultilevel"/>
    <w:lvl w:ilvl="0">
      <w:lvlJc w:val="left"/>
      <w:lvlText w:val="*"/>
      <w:numFmt w:val="bullet"/>
      <w:start w:val="1"/>
    </w:lvl>
  </w:abstractNum>
  <w:abstractNum w:abstractNumId="267">
    <w:nsid w:val="4E556261"/>
    <w:multiLevelType w:val="hybridMultilevel"/>
    <w:lvl w:ilvl="0">
      <w:lvlJc w:val="left"/>
      <w:lvlText w:val="·"/>
      <w:numFmt w:val="bullet"/>
      <w:start w:val="1"/>
    </w:lvl>
  </w:abstractNum>
  <w:abstractNum w:abstractNumId="268">
    <w:nsid w:val="4C672FC9"/>
    <w:multiLevelType w:val="hybridMultilevel"/>
    <w:lvl w:ilvl="0">
      <w:lvlJc w:val="left"/>
      <w:lvlText w:val="%1)"/>
      <w:numFmt w:val="decimal"/>
      <w:start w:val="1"/>
    </w:lvl>
    <w:lvl w:ilvl="1">
      <w:lvlJc w:val="left"/>
      <w:lvlText w:val="%2)"/>
      <w:numFmt w:val="lowerLetter"/>
      <w:start w:val="1"/>
    </w:lvl>
  </w:abstractNum>
  <w:abstractNum w:abstractNumId="269">
    <w:nsid w:val="52A311C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0">
    <w:nsid w:val="44EF6B80"/>
    <w:multiLevelType w:val="hybridMultilevel"/>
    <w:lvl w:ilvl="0">
      <w:lvlJc w:val="left"/>
      <w:lvlText w:val="%1)"/>
      <w:numFmt w:val="decimal"/>
      <w:start w:val="1"/>
    </w:lvl>
  </w:abstractNum>
  <w:abstractNum w:abstractNumId="271">
    <w:nsid w:val="12FCDE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2019-12-29T11:11:29Z</dcterms:created>
  <dcterms:modified xsi:type="dcterms:W3CDTF">2019-12-29T11:11:29Z</dcterms:modified>
</cp:coreProperties>
</file>